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44804" w14:textId="77777777" w:rsidR="00EE03B9" w:rsidRPr="00ED2711" w:rsidRDefault="00EE03B9" w:rsidP="00EE03B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Garamond" w:hAnsi="Garamond" w:cs="Arial"/>
          <w:b/>
          <w:bCs/>
        </w:rPr>
      </w:pPr>
      <w:r w:rsidRPr="006E0F86">
        <w:rPr>
          <w:rFonts w:ascii="Garamond" w:hAnsi="Garamond" w:cs="Arial"/>
          <w:b/>
          <w:bCs/>
        </w:rPr>
        <w:t>FONDS DE CONSOLIDATION DE LA PAIX (FCP)</w:t>
      </w:r>
    </w:p>
    <w:p w14:paraId="210B93A7" w14:textId="14783DB0" w:rsidR="00CD3814" w:rsidRPr="00ED2711" w:rsidRDefault="00317066" w:rsidP="00CD3814">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Garamond" w:hAnsi="Garamond" w:cs="Arial"/>
          <w:b/>
          <w:spacing w:val="-3"/>
          <w:u w:val="single"/>
        </w:rPr>
      </w:pPr>
      <w:r w:rsidRPr="00ED2711">
        <w:rPr>
          <w:rFonts w:ascii="Garamond" w:hAnsi="Garamond" w:cs="Arial"/>
          <w:b/>
          <w:spacing w:val="-3"/>
          <w:u w:val="single"/>
        </w:rPr>
        <w:t xml:space="preserve">Rapport </w:t>
      </w:r>
      <w:r w:rsidR="00BD5220" w:rsidRPr="00ED2711">
        <w:rPr>
          <w:rFonts w:ascii="Garamond" w:hAnsi="Garamond" w:cs="Arial"/>
          <w:b/>
          <w:spacing w:val="-3"/>
          <w:u w:val="single"/>
        </w:rPr>
        <w:t>de mise à jour t</w:t>
      </w:r>
      <w:r w:rsidRPr="00ED2711">
        <w:rPr>
          <w:rFonts w:ascii="Garamond" w:hAnsi="Garamond" w:cs="Arial"/>
          <w:b/>
          <w:spacing w:val="-3"/>
          <w:u w:val="single"/>
        </w:rPr>
        <w:t>rimestriel</w:t>
      </w:r>
      <w:r w:rsidR="00764F27" w:rsidRPr="00ED2711">
        <w:rPr>
          <w:rFonts w:ascii="Garamond" w:hAnsi="Garamond" w:cs="Arial"/>
          <w:b/>
          <w:spacing w:val="-3"/>
          <w:u w:val="single"/>
        </w:rPr>
        <w:t xml:space="preserve"> (</w:t>
      </w:r>
      <w:r w:rsidR="00C72BE0" w:rsidRPr="00ED2711">
        <w:rPr>
          <w:rFonts w:ascii="Garamond" w:hAnsi="Garamond" w:cs="Arial"/>
          <w:b/>
          <w:spacing w:val="-3"/>
          <w:u w:val="single"/>
        </w:rPr>
        <w:t xml:space="preserve">avril </w:t>
      </w:r>
      <w:r w:rsidR="0027741B" w:rsidRPr="00ED2711">
        <w:rPr>
          <w:rFonts w:ascii="Garamond" w:hAnsi="Garamond" w:cs="Arial"/>
          <w:b/>
          <w:spacing w:val="-3"/>
          <w:u w:val="single"/>
        </w:rPr>
        <w:t xml:space="preserve">à </w:t>
      </w:r>
      <w:r w:rsidR="00C72BE0" w:rsidRPr="00ED2711">
        <w:rPr>
          <w:rFonts w:ascii="Garamond" w:hAnsi="Garamond" w:cs="Arial"/>
          <w:b/>
          <w:spacing w:val="-3"/>
          <w:u w:val="single"/>
        </w:rPr>
        <w:t xml:space="preserve">juin </w:t>
      </w:r>
      <w:r w:rsidR="0027741B" w:rsidRPr="00ED2711">
        <w:rPr>
          <w:rFonts w:ascii="Garamond" w:hAnsi="Garamond" w:cs="Arial"/>
          <w:b/>
          <w:spacing w:val="-3"/>
          <w:u w:val="single"/>
        </w:rPr>
        <w:t>2012</w:t>
      </w:r>
      <w:r w:rsidR="00147B9E" w:rsidRPr="00ED2711">
        <w:rPr>
          <w:rFonts w:ascii="Garamond" w:hAnsi="Garamond" w:cs="Arial"/>
          <w:b/>
          <w:spacing w:val="-3"/>
          <w:u w:val="single"/>
        </w:rPr>
        <w:t>)</w:t>
      </w:r>
    </w:p>
    <w:p w14:paraId="542C2B1C" w14:textId="77777777" w:rsidR="00CD3814" w:rsidRPr="00ED2711" w:rsidRDefault="00CD3814" w:rsidP="00CD3814">
      <w:pPr>
        <w:rPr>
          <w:rFonts w:ascii="Garamond" w:hAnsi="Garamond"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36"/>
        <w:gridCol w:w="2480"/>
        <w:gridCol w:w="2551"/>
        <w:gridCol w:w="1985"/>
        <w:gridCol w:w="3244"/>
      </w:tblGrid>
      <w:tr w:rsidR="00CD3814" w:rsidRPr="00DD27C0" w14:paraId="3913744B" w14:textId="77777777" w:rsidTr="008B06F4">
        <w:trPr>
          <w:trHeight w:val="345"/>
        </w:trPr>
        <w:tc>
          <w:tcPr>
            <w:tcW w:w="2664" w:type="dxa"/>
            <w:shd w:val="clear" w:color="auto" w:fill="E6E6E6"/>
          </w:tcPr>
          <w:p w14:paraId="3D7EA8EA" w14:textId="77777777" w:rsidR="00CD3814" w:rsidRPr="00ED2711" w:rsidRDefault="00C025B5" w:rsidP="003F182F">
            <w:pPr>
              <w:rPr>
                <w:rFonts w:ascii="Garamond" w:hAnsi="Garamond" w:cs="Arial"/>
                <w:b/>
              </w:rPr>
            </w:pPr>
            <w:r w:rsidRPr="00ED2711">
              <w:rPr>
                <w:rFonts w:ascii="Garamond" w:hAnsi="Garamond" w:cs="Arial"/>
                <w:b/>
              </w:rPr>
              <w:t>Période</w:t>
            </w:r>
            <w:r w:rsidR="00CD3814" w:rsidRPr="00ED2711">
              <w:rPr>
                <w:rFonts w:ascii="Garamond" w:hAnsi="Garamond" w:cs="Arial"/>
                <w:b/>
              </w:rPr>
              <w:t xml:space="preserve"> couvert (</w:t>
            </w:r>
            <w:r w:rsidR="00317066" w:rsidRPr="00ED2711">
              <w:rPr>
                <w:rFonts w:ascii="Garamond" w:hAnsi="Garamond" w:cs="Arial"/>
                <w:b/>
              </w:rPr>
              <w:t>T</w:t>
            </w:r>
            <w:r w:rsidRPr="00ED2711">
              <w:rPr>
                <w:rFonts w:ascii="Garamond" w:hAnsi="Garamond" w:cs="Arial"/>
                <w:b/>
              </w:rPr>
              <w:t>rimestre</w:t>
            </w:r>
            <w:r w:rsidR="00317066" w:rsidRPr="00ED2711">
              <w:rPr>
                <w:rFonts w:ascii="Garamond" w:hAnsi="Garamond" w:cs="Arial"/>
                <w:b/>
              </w:rPr>
              <w:t>)</w:t>
            </w:r>
          </w:p>
        </w:tc>
        <w:tc>
          <w:tcPr>
            <w:tcW w:w="10296" w:type="dxa"/>
            <w:gridSpan w:val="5"/>
            <w:shd w:val="clear" w:color="auto" w:fill="auto"/>
            <w:vAlign w:val="center"/>
          </w:tcPr>
          <w:p w14:paraId="3F22E762" w14:textId="5F1B1741" w:rsidR="00CD3814" w:rsidRPr="00ED2711" w:rsidRDefault="00F816FC" w:rsidP="00F816FC">
            <w:pPr>
              <w:rPr>
                <w:rFonts w:ascii="Garamond" w:hAnsi="Garamond" w:cs="Arial"/>
              </w:rPr>
            </w:pPr>
            <w:r w:rsidRPr="00ED2711">
              <w:rPr>
                <w:rFonts w:ascii="Garamond" w:hAnsi="Garamond" w:cs="Arial"/>
              </w:rPr>
              <w:t xml:space="preserve">Avril </w:t>
            </w:r>
            <w:r w:rsidR="00342193" w:rsidRPr="00ED2711">
              <w:rPr>
                <w:rFonts w:ascii="Garamond" w:hAnsi="Garamond" w:cs="Arial"/>
              </w:rPr>
              <w:t xml:space="preserve">2011 – </w:t>
            </w:r>
            <w:r w:rsidRPr="00ED2711">
              <w:rPr>
                <w:rFonts w:ascii="Garamond" w:hAnsi="Garamond" w:cs="Arial"/>
              </w:rPr>
              <w:t xml:space="preserve">Juin </w:t>
            </w:r>
            <w:r w:rsidR="00342193" w:rsidRPr="00ED2711">
              <w:rPr>
                <w:rFonts w:ascii="Garamond" w:hAnsi="Garamond" w:cs="Arial"/>
              </w:rPr>
              <w:t>2012</w:t>
            </w:r>
            <w:r w:rsidR="0027741B" w:rsidRPr="00ED2711">
              <w:rPr>
                <w:rFonts w:ascii="Garamond" w:hAnsi="Garamond" w:cs="Arial"/>
              </w:rPr>
              <w:t xml:space="preserve"> </w:t>
            </w:r>
            <w:r w:rsidR="0027741B" w:rsidRPr="00ED2711">
              <w:rPr>
                <w:rFonts w:ascii="Garamond" w:hAnsi="Garamond" w:cs="Arial"/>
                <w:i/>
              </w:rPr>
              <w:t>(accord avec BEA signé en Septembre 2011)</w:t>
            </w:r>
          </w:p>
        </w:tc>
      </w:tr>
      <w:tr w:rsidR="00CD3814" w:rsidRPr="00DD27C0" w14:paraId="5E6E2736" w14:textId="77777777" w:rsidTr="008B06F4">
        <w:trPr>
          <w:trHeight w:val="345"/>
        </w:trPr>
        <w:tc>
          <w:tcPr>
            <w:tcW w:w="2664" w:type="dxa"/>
            <w:shd w:val="clear" w:color="auto" w:fill="E6E6E6"/>
          </w:tcPr>
          <w:p w14:paraId="3A6124FB" w14:textId="77777777" w:rsidR="00764F27" w:rsidRPr="00DD27C0" w:rsidRDefault="00C025B5" w:rsidP="003F182F">
            <w:pPr>
              <w:rPr>
                <w:rFonts w:ascii="Garamond" w:hAnsi="Garamond" w:cs="Arial"/>
                <w:b/>
              </w:rPr>
            </w:pPr>
            <w:r w:rsidRPr="00DD27C0">
              <w:rPr>
                <w:rFonts w:ascii="Garamond" w:hAnsi="Garamond" w:cs="Arial"/>
                <w:b/>
              </w:rPr>
              <w:t>Numéro</w:t>
            </w:r>
            <w:r w:rsidR="008F0D90" w:rsidRPr="00DD27C0">
              <w:rPr>
                <w:rFonts w:ascii="Garamond" w:hAnsi="Garamond" w:cs="Arial"/>
                <w:b/>
              </w:rPr>
              <w:t xml:space="preserve"> du</w:t>
            </w:r>
            <w:r w:rsidR="00CD3814" w:rsidRPr="00DD27C0">
              <w:rPr>
                <w:rFonts w:ascii="Garamond" w:hAnsi="Garamond" w:cs="Arial"/>
                <w:b/>
              </w:rPr>
              <w:t xml:space="preserve"> projet et </w:t>
            </w:r>
            <w:r w:rsidR="005E7876" w:rsidRPr="00DD27C0">
              <w:rPr>
                <w:rFonts w:ascii="Garamond" w:hAnsi="Garamond" w:cs="Arial"/>
                <w:b/>
              </w:rPr>
              <w:t xml:space="preserve">le </w:t>
            </w:r>
            <w:r w:rsidR="00027A16" w:rsidRPr="00DD27C0">
              <w:rPr>
                <w:rFonts w:ascii="Garamond" w:hAnsi="Garamond" w:cs="Arial"/>
                <w:b/>
              </w:rPr>
              <w:t>titre</w:t>
            </w:r>
            <w:r w:rsidR="005E7876" w:rsidRPr="00DD27C0">
              <w:rPr>
                <w:rFonts w:ascii="Garamond" w:hAnsi="Garamond" w:cs="Arial"/>
                <w:b/>
              </w:rPr>
              <w:t xml:space="preserve"> du projet</w:t>
            </w:r>
          </w:p>
        </w:tc>
        <w:tc>
          <w:tcPr>
            <w:tcW w:w="10296" w:type="dxa"/>
            <w:gridSpan w:val="5"/>
            <w:shd w:val="clear" w:color="auto" w:fill="auto"/>
            <w:vAlign w:val="center"/>
          </w:tcPr>
          <w:p w14:paraId="3BD492D1" w14:textId="77777777" w:rsidR="00FC089D" w:rsidRPr="00DD27C0" w:rsidRDefault="00FC089D" w:rsidP="00FC089D">
            <w:pPr>
              <w:rPr>
                <w:rFonts w:ascii="Garamond" w:hAnsi="Garamond" w:cs="Arial"/>
              </w:rPr>
            </w:pPr>
          </w:p>
          <w:p w14:paraId="65112966" w14:textId="77777777" w:rsidR="00CD3814" w:rsidRPr="00DD27C0" w:rsidRDefault="00342193" w:rsidP="004420B6">
            <w:pPr>
              <w:rPr>
                <w:rFonts w:ascii="Garamond" w:hAnsi="Garamond" w:cs="Arial"/>
              </w:rPr>
            </w:pPr>
            <w:r w:rsidRPr="00DD27C0">
              <w:rPr>
                <w:rFonts w:ascii="Garamond" w:hAnsi="Garamond" w:cs="Arial"/>
              </w:rPr>
              <w:t>La bio-économie intégrée pour l’amélioration des conditions et de la qualité de vie des populations rurales / Sud Kivu</w:t>
            </w:r>
          </w:p>
        </w:tc>
      </w:tr>
      <w:tr w:rsidR="00CD3814" w:rsidRPr="00DD27C0" w14:paraId="44D83FD4" w14:textId="77777777" w:rsidTr="008B06F4">
        <w:trPr>
          <w:trHeight w:val="436"/>
        </w:trPr>
        <w:tc>
          <w:tcPr>
            <w:tcW w:w="2664" w:type="dxa"/>
            <w:tcBorders>
              <w:bottom w:val="single" w:sz="4" w:space="0" w:color="auto"/>
            </w:tcBorders>
            <w:shd w:val="clear" w:color="auto" w:fill="E6E6E6"/>
          </w:tcPr>
          <w:p w14:paraId="42E337CE" w14:textId="77777777" w:rsidR="00CD3814" w:rsidRPr="00DD27C0" w:rsidRDefault="00CD3814" w:rsidP="003F182F">
            <w:pPr>
              <w:rPr>
                <w:rFonts w:ascii="Garamond" w:hAnsi="Garamond" w:cs="Arial"/>
              </w:rPr>
            </w:pPr>
            <w:r w:rsidRPr="00DD27C0">
              <w:rPr>
                <w:rFonts w:ascii="Garamond" w:hAnsi="Garamond" w:cs="Arial"/>
                <w:b/>
              </w:rPr>
              <w:t xml:space="preserve">Agence </w:t>
            </w:r>
            <w:r w:rsidR="004A55DB" w:rsidRPr="00DD27C0">
              <w:rPr>
                <w:rFonts w:ascii="Garamond" w:hAnsi="Garamond" w:cs="Arial"/>
                <w:b/>
              </w:rPr>
              <w:t>bénéficière</w:t>
            </w:r>
            <w:r w:rsidRPr="00DD27C0">
              <w:rPr>
                <w:rFonts w:ascii="Garamond" w:hAnsi="Garamond" w:cs="Arial"/>
                <w:b/>
              </w:rPr>
              <w:t xml:space="preserve">:  </w:t>
            </w:r>
          </w:p>
        </w:tc>
        <w:tc>
          <w:tcPr>
            <w:tcW w:w="10296" w:type="dxa"/>
            <w:gridSpan w:val="5"/>
            <w:vAlign w:val="center"/>
          </w:tcPr>
          <w:p w14:paraId="21E0B6F9" w14:textId="77777777" w:rsidR="00CD3814" w:rsidRPr="00DD27C0" w:rsidRDefault="00342193" w:rsidP="00684E57">
            <w:pPr>
              <w:rPr>
                <w:rFonts w:ascii="Garamond" w:hAnsi="Garamond" w:cs="Arial"/>
              </w:rPr>
            </w:pPr>
            <w:r w:rsidRPr="00DD27C0">
              <w:rPr>
                <w:rFonts w:ascii="Garamond" w:hAnsi="Garamond" w:cs="Arial"/>
              </w:rPr>
              <w:t>Le Programme des Nations Unies pour le Développent (PNUD)</w:t>
            </w:r>
          </w:p>
        </w:tc>
      </w:tr>
      <w:tr w:rsidR="00684E57" w:rsidRPr="00DD27C0" w14:paraId="3C7ED80C" w14:textId="77777777" w:rsidTr="008B06F4">
        <w:trPr>
          <w:trHeight w:val="345"/>
        </w:trPr>
        <w:tc>
          <w:tcPr>
            <w:tcW w:w="2664" w:type="dxa"/>
            <w:shd w:val="clear" w:color="auto" w:fill="E6E6E6"/>
          </w:tcPr>
          <w:p w14:paraId="37158BE5" w14:textId="77777777" w:rsidR="00684E57" w:rsidRPr="00DD27C0" w:rsidRDefault="00684E57" w:rsidP="003F182F">
            <w:pPr>
              <w:rPr>
                <w:rFonts w:ascii="Garamond" w:hAnsi="Garamond" w:cs="Arial"/>
                <w:bCs/>
              </w:rPr>
            </w:pPr>
            <w:r w:rsidRPr="00DD27C0">
              <w:rPr>
                <w:rFonts w:ascii="Garamond" w:hAnsi="Garamond" w:cs="Arial"/>
                <w:b/>
              </w:rPr>
              <w:t>Partenaires d’exécution (Agence Gouvernementale, Agences NU, Organisations de la Société Civile)</w:t>
            </w:r>
          </w:p>
        </w:tc>
        <w:tc>
          <w:tcPr>
            <w:tcW w:w="10296" w:type="dxa"/>
            <w:gridSpan w:val="5"/>
          </w:tcPr>
          <w:p w14:paraId="50A4AEE6" w14:textId="77777777" w:rsidR="002A6C67" w:rsidRPr="00DD27C0" w:rsidRDefault="00022CA2" w:rsidP="008B06F4">
            <w:pPr>
              <w:rPr>
                <w:rFonts w:ascii="Garamond" w:hAnsi="Garamond" w:cs="Arial"/>
                <w:bCs/>
              </w:rPr>
            </w:pPr>
            <w:r w:rsidRPr="00DD27C0">
              <w:rPr>
                <w:rFonts w:ascii="Garamond" w:hAnsi="Garamond" w:cs="Arial"/>
              </w:rPr>
              <w:t xml:space="preserve"> </w:t>
            </w:r>
          </w:p>
          <w:p w14:paraId="58D69E2C" w14:textId="7D22E225" w:rsidR="00022CA2" w:rsidRPr="00DD27C0" w:rsidRDefault="00D77038" w:rsidP="00D77038">
            <w:pPr>
              <w:rPr>
                <w:rFonts w:ascii="Garamond" w:hAnsi="Garamond" w:cs="Arial"/>
                <w:bCs/>
              </w:rPr>
            </w:pPr>
            <w:proofErr w:type="spellStart"/>
            <w:r w:rsidRPr="00DD27C0">
              <w:rPr>
                <w:rFonts w:ascii="Garamond" w:hAnsi="Garamond" w:cs="Arial"/>
                <w:bCs/>
              </w:rPr>
              <w:t>Bioeconomy</w:t>
            </w:r>
            <w:proofErr w:type="spellEnd"/>
            <w:r w:rsidRPr="00DD27C0">
              <w:rPr>
                <w:rFonts w:ascii="Garamond" w:hAnsi="Garamond" w:cs="Arial"/>
                <w:bCs/>
              </w:rPr>
              <w:t xml:space="preserve"> </w:t>
            </w:r>
            <w:proofErr w:type="spellStart"/>
            <w:r w:rsidRPr="00DD27C0">
              <w:rPr>
                <w:rFonts w:ascii="Garamond" w:hAnsi="Garamond" w:cs="Arial"/>
                <w:bCs/>
              </w:rPr>
              <w:t>Africa</w:t>
            </w:r>
            <w:proofErr w:type="spellEnd"/>
            <w:r w:rsidR="00CB7FC5" w:rsidRPr="00DD27C0">
              <w:rPr>
                <w:rFonts w:ascii="Garamond" w:hAnsi="Garamond" w:cs="Arial"/>
                <w:bCs/>
              </w:rPr>
              <w:t xml:space="preserve"> (BEA)</w:t>
            </w:r>
          </w:p>
        </w:tc>
      </w:tr>
      <w:tr w:rsidR="00684E57" w:rsidRPr="00DD27C0" w14:paraId="6E123B54" w14:textId="77777777" w:rsidTr="008B06F4">
        <w:trPr>
          <w:trHeight w:val="345"/>
        </w:trPr>
        <w:tc>
          <w:tcPr>
            <w:tcW w:w="2664" w:type="dxa"/>
            <w:shd w:val="clear" w:color="auto" w:fill="E6E6E6"/>
          </w:tcPr>
          <w:p w14:paraId="69332AEF" w14:textId="77777777" w:rsidR="00684E57" w:rsidRPr="00DD27C0" w:rsidRDefault="00684E57" w:rsidP="003F182F">
            <w:pPr>
              <w:rPr>
                <w:rFonts w:ascii="Garamond" w:hAnsi="Garamond" w:cs="Arial"/>
                <w:b/>
              </w:rPr>
            </w:pPr>
            <w:r w:rsidRPr="00DD27C0">
              <w:rPr>
                <w:rFonts w:ascii="Garamond" w:hAnsi="Garamond" w:cs="Arial"/>
                <w:b/>
              </w:rPr>
              <w:t>Date d’approbation par le Comité de Pilotage:</w:t>
            </w:r>
          </w:p>
        </w:tc>
        <w:tc>
          <w:tcPr>
            <w:tcW w:w="10296" w:type="dxa"/>
            <w:gridSpan w:val="5"/>
            <w:vAlign w:val="center"/>
          </w:tcPr>
          <w:p w14:paraId="6B030636" w14:textId="77777777" w:rsidR="00684E57" w:rsidRPr="00DD27C0" w:rsidRDefault="00684E57" w:rsidP="00022CA2">
            <w:pPr>
              <w:rPr>
                <w:rFonts w:ascii="Garamond" w:hAnsi="Garamond" w:cs="Arial"/>
              </w:rPr>
            </w:pPr>
          </w:p>
        </w:tc>
      </w:tr>
      <w:tr w:rsidR="004420B6" w:rsidRPr="00DD27C0" w14:paraId="47B81613" w14:textId="77777777" w:rsidTr="008B06F4">
        <w:trPr>
          <w:trHeight w:val="345"/>
        </w:trPr>
        <w:tc>
          <w:tcPr>
            <w:tcW w:w="2664" w:type="dxa"/>
            <w:shd w:val="clear" w:color="auto" w:fill="E6E6E6"/>
          </w:tcPr>
          <w:p w14:paraId="4C7AED24" w14:textId="77777777" w:rsidR="004420B6" w:rsidRPr="00DD27C0" w:rsidRDefault="004420B6" w:rsidP="003F182F">
            <w:pPr>
              <w:rPr>
                <w:rFonts w:ascii="Garamond" w:hAnsi="Garamond" w:cs="Arial"/>
                <w:b/>
              </w:rPr>
            </w:pPr>
            <w:r w:rsidRPr="00DD27C0">
              <w:rPr>
                <w:rFonts w:ascii="Garamond" w:hAnsi="Garamond" w:cs="Arial"/>
                <w:b/>
              </w:rPr>
              <w:t>Budget total alloué</w:t>
            </w:r>
          </w:p>
        </w:tc>
        <w:tc>
          <w:tcPr>
            <w:tcW w:w="10296" w:type="dxa"/>
            <w:gridSpan w:val="5"/>
            <w:vAlign w:val="center"/>
          </w:tcPr>
          <w:p w14:paraId="22E86003" w14:textId="4B6180D0" w:rsidR="004420B6" w:rsidRPr="00DD27C0" w:rsidRDefault="00D77038" w:rsidP="008E7187">
            <w:pPr>
              <w:rPr>
                <w:rFonts w:ascii="Garamond" w:hAnsi="Garamond" w:cs="Arial"/>
              </w:rPr>
            </w:pPr>
            <w:r w:rsidRPr="00DD27C0">
              <w:rPr>
                <w:rFonts w:ascii="Garamond" w:hAnsi="Garamond" w:cs="Arial"/>
              </w:rPr>
              <w:t>$ 770,</w:t>
            </w:r>
            <w:r w:rsidR="00E96641">
              <w:rPr>
                <w:rFonts w:ascii="Garamond" w:hAnsi="Garamond" w:cs="Arial"/>
              </w:rPr>
              <w:t>0</w:t>
            </w:r>
            <w:bookmarkStart w:id="0" w:name="_GoBack"/>
            <w:bookmarkEnd w:id="0"/>
            <w:r w:rsidRPr="00DD27C0">
              <w:rPr>
                <w:rFonts w:ascii="Garamond" w:hAnsi="Garamond" w:cs="Arial"/>
              </w:rPr>
              <w:t>00</w:t>
            </w:r>
          </w:p>
        </w:tc>
      </w:tr>
      <w:tr w:rsidR="004420B6" w:rsidRPr="00DD27C0" w14:paraId="39CA9EE0" w14:textId="77777777" w:rsidTr="000A299A">
        <w:trPr>
          <w:trHeight w:val="345"/>
        </w:trPr>
        <w:tc>
          <w:tcPr>
            <w:tcW w:w="2664" w:type="dxa"/>
            <w:shd w:val="clear" w:color="auto" w:fill="E6E6E6"/>
          </w:tcPr>
          <w:p w14:paraId="7C33BF93" w14:textId="77777777" w:rsidR="004420B6" w:rsidRPr="00ED2711" w:rsidRDefault="004420B6" w:rsidP="003F182F">
            <w:pPr>
              <w:rPr>
                <w:rFonts w:ascii="Garamond" w:hAnsi="Garamond" w:cs="Arial"/>
                <w:b/>
              </w:rPr>
            </w:pPr>
            <w:r w:rsidRPr="00DD27C0">
              <w:rPr>
                <w:rFonts w:ascii="Garamond" w:hAnsi="Garamond" w:cs="Arial"/>
                <w:b/>
              </w:rPr>
              <w:t>Fonds engagés du budget total alloué</w:t>
            </w:r>
            <w:r w:rsidRPr="006E0F86">
              <w:rPr>
                <w:rStyle w:val="FootnoteReference"/>
                <w:rFonts w:ascii="Garamond" w:hAnsi="Garamond" w:cs="Arial"/>
                <w:b/>
              </w:rPr>
              <w:footnoteReference w:id="1"/>
            </w:r>
            <w:r w:rsidRPr="006E0F86">
              <w:rPr>
                <w:rFonts w:ascii="Garamond" w:hAnsi="Garamond" w:cs="Arial"/>
                <w:b/>
              </w:rPr>
              <w:t xml:space="preserve"> </w:t>
            </w:r>
          </w:p>
        </w:tc>
        <w:tc>
          <w:tcPr>
            <w:tcW w:w="2516" w:type="dxa"/>
            <w:gridSpan w:val="2"/>
            <w:tcBorders>
              <w:bottom w:val="single" w:sz="4" w:space="0" w:color="auto"/>
            </w:tcBorders>
            <w:vAlign w:val="center"/>
          </w:tcPr>
          <w:p w14:paraId="68496116" w14:textId="7262D57F" w:rsidR="004420B6" w:rsidRPr="00DD27C0" w:rsidRDefault="00DB6626" w:rsidP="00C72BE0">
            <w:pPr>
              <w:rPr>
                <w:rFonts w:ascii="Garamond" w:hAnsi="Garamond" w:cs="Arial"/>
              </w:rPr>
            </w:pPr>
            <w:r w:rsidRPr="00ED2711">
              <w:rPr>
                <w:rFonts w:ascii="Garamond" w:hAnsi="Garamond" w:cs="Arial"/>
              </w:rPr>
              <w:t>$</w:t>
            </w:r>
            <w:r w:rsidR="00C72BE0" w:rsidRPr="00ED2711">
              <w:rPr>
                <w:rFonts w:ascii="Garamond" w:hAnsi="Garamond" w:cs="Arial"/>
              </w:rPr>
              <w:t>663 551</w:t>
            </w:r>
          </w:p>
        </w:tc>
        <w:tc>
          <w:tcPr>
            <w:tcW w:w="2551" w:type="dxa"/>
            <w:shd w:val="clear" w:color="auto" w:fill="E6E6E6"/>
            <w:vAlign w:val="center"/>
          </w:tcPr>
          <w:p w14:paraId="621E7E67" w14:textId="77777777" w:rsidR="004420B6" w:rsidRPr="00DD27C0" w:rsidRDefault="004420B6" w:rsidP="00684E57">
            <w:pPr>
              <w:rPr>
                <w:rFonts w:ascii="Garamond" w:hAnsi="Garamond" w:cs="Arial"/>
                <w:b/>
              </w:rPr>
            </w:pPr>
            <w:r w:rsidRPr="006E0F86">
              <w:rPr>
                <w:rFonts w:ascii="Garamond" w:hAnsi="Garamond" w:cs="Arial"/>
                <w:b/>
              </w:rPr>
              <w:t>% de fonds engagés</w:t>
            </w:r>
            <w:r w:rsidR="00226C2B" w:rsidRPr="00ED2711">
              <w:rPr>
                <w:rFonts w:ascii="Garamond" w:hAnsi="Garamond" w:cs="Arial"/>
                <w:b/>
              </w:rPr>
              <w:t xml:space="preserve"> </w:t>
            </w:r>
            <w:r w:rsidRPr="00ED2711">
              <w:rPr>
                <w:rFonts w:ascii="Garamond" w:hAnsi="Garamond" w:cs="Arial"/>
                <w:b/>
              </w:rPr>
              <w:t>/ budget total alloué:</w:t>
            </w:r>
          </w:p>
        </w:tc>
        <w:tc>
          <w:tcPr>
            <w:tcW w:w="5229" w:type="dxa"/>
            <w:gridSpan w:val="2"/>
            <w:tcBorders>
              <w:bottom w:val="single" w:sz="4" w:space="0" w:color="auto"/>
            </w:tcBorders>
            <w:vAlign w:val="center"/>
          </w:tcPr>
          <w:p w14:paraId="46E42775" w14:textId="4A02A2A6" w:rsidR="004420B6" w:rsidRPr="00DD27C0" w:rsidRDefault="00C72BE0" w:rsidP="008E7187">
            <w:pPr>
              <w:keepNext/>
              <w:keepLines/>
              <w:spacing w:before="200"/>
              <w:outlineLvl w:val="8"/>
              <w:rPr>
                <w:rFonts w:ascii="Garamond" w:hAnsi="Garamond" w:cs="Arial"/>
              </w:rPr>
            </w:pPr>
            <w:r w:rsidRPr="00DD27C0">
              <w:rPr>
                <w:rFonts w:ascii="Garamond" w:hAnsi="Garamond" w:cs="Arial"/>
              </w:rPr>
              <w:t>86.1</w:t>
            </w:r>
            <w:r w:rsidR="00D77038" w:rsidRPr="00DD27C0">
              <w:rPr>
                <w:rFonts w:ascii="Garamond" w:hAnsi="Garamond" w:cs="Arial"/>
              </w:rPr>
              <w:t>%</w:t>
            </w:r>
          </w:p>
        </w:tc>
      </w:tr>
      <w:tr w:rsidR="004420B6" w:rsidRPr="00DD27C0" w14:paraId="7321F9FB" w14:textId="77777777" w:rsidTr="000A299A">
        <w:trPr>
          <w:trHeight w:val="345"/>
        </w:trPr>
        <w:tc>
          <w:tcPr>
            <w:tcW w:w="2664" w:type="dxa"/>
            <w:shd w:val="clear" w:color="auto" w:fill="E6E6E6"/>
          </w:tcPr>
          <w:p w14:paraId="2D3DDC61" w14:textId="77777777" w:rsidR="004420B6" w:rsidRPr="00DD27C0" w:rsidRDefault="004420B6" w:rsidP="003F182F">
            <w:pPr>
              <w:rPr>
                <w:rFonts w:ascii="Garamond" w:hAnsi="Garamond" w:cs="Arial"/>
                <w:b/>
              </w:rPr>
            </w:pPr>
            <w:r w:rsidRPr="00DD27C0">
              <w:rPr>
                <w:rFonts w:ascii="Garamond" w:hAnsi="Garamond" w:cs="Arial"/>
                <w:b/>
              </w:rPr>
              <w:t>Fonds dépensés</w:t>
            </w:r>
            <w:r w:rsidRPr="006E0F86">
              <w:rPr>
                <w:rStyle w:val="FootnoteReference"/>
                <w:rFonts w:ascii="Garamond" w:hAnsi="Garamond" w:cs="Arial"/>
                <w:b/>
              </w:rPr>
              <w:footnoteReference w:id="2"/>
            </w:r>
            <w:r w:rsidRPr="006E0F86">
              <w:rPr>
                <w:rFonts w:ascii="Garamond" w:hAnsi="Garamond" w:cs="Arial"/>
                <w:b/>
              </w:rPr>
              <w:t xml:space="preserve"> du budget total alloué:</w:t>
            </w:r>
          </w:p>
        </w:tc>
        <w:tc>
          <w:tcPr>
            <w:tcW w:w="2516" w:type="dxa"/>
            <w:gridSpan w:val="2"/>
            <w:shd w:val="clear" w:color="auto" w:fill="auto"/>
            <w:vAlign w:val="center"/>
          </w:tcPr>
          <w:p w14:paraId="58D80DC4" w14:textId="3E42BCEE" w:rsidR="00DB6626" w:rsidRPr="00DD27C0" w:rsidRDefault="00B750AE" w:rsidP="0027741B">
            <w:pPr>
              <w:rPr>
                <w:rFonts w:ascii="Garamond" w:hAnsi="Garamond" w:cs="Arial"/>
              </w:rPr>
            </w:pPr>
            <w:r w:rsidRPr="00DD27C0">
              <w:rPr>
                <w:rFonts w:ascii="Garamond" w:hAnsi="Garamond" w:cs="Arial"/>
              </w:rPr>
              <w:t>$</w:t>
            </w:r>
            <w:r w:rsidR="00ED2711">
              <w:rPr>
                <w:rFonts w:ascii="Garamond" w:hAnsi="Garamond" w:cs="Arial"/>
              </w:rPr>
              <w:t>529 020 depuis le début du projet</w:t>
            </w:r>
            <w:r w:rsidR="00ED2711" w:rsidRPr="00ED2711" w:rsidDel="00ED2711">
              <w:rPr>
                <w:rFonts w:ascii="Garamond" w:hAnsi="Garamond" w:cs="Arial"/>
              </w:rPr>
              <w:t xml:space="preserve"> </w:t>
            </w:r>
          </w:p>
        </w:tc>
        <w:tc>
          <w:tcPr>
            <w:tcW w:w="2551" w:type="dxa"/>
            <w:shd w:val="clear" w:color="auto" w:fill="E6E6E6"/>
            <w:vAlign w:val="center"/>
          </w:tcPr>
          <w:p w14:paraId="7394F7E2" w14:textId="77777777" w:rsidR="004420B6" w:rsidRPr="00DD27C0" w:rsidRDefault="004420B6" w:rsidP="00684E57">
            <w:pPr>
              <w:rPr>
                <w:rFonts w:ascii="Garamond" w:hAnsi="Garamond" w:cs="Arial"/>
              </w:rPr>
            </w:pPr>
            <w:r w:rsidRPr="006E0F86">
              <w:rPr>
                <w:rFonts w:ascii="Garamond" w:hAnsi="Garamond" w:cs="Arial"/>
                <w:b/>
              </w:rPr>
              <w:t>% de fonds dépensés</w:t>
            </w:r>
            <w:r w:rsidR="00226C2B" w:rsidRPr="00ED2711">
              <w:rPr>
                <w:rFonts w:ascii="Garamond" w:hAnsi="Garamond" w:cs="Arial"/>
                <w:b/>
              </w:rPr>
              <w:t xml:space="preserve"> </w:t>
            </w:r>
            <w:r w:rsidRPr="00ED2711">
              <w:rPr>
                <w:rFonts w:ascii="Garamond" w:hAnsi="Garamond" w:cs="Arial"/>
                <w:b/>
              </w:rPr>
              <w:t>/ budget total alloué:</w:t>
            </w:r>
          </w:p>
        </w:tc>
        <w:tc>
          <w:tcPr>
            <w:tcW w:w="5229" w:type="dxa"/>
            <w:gridSpan w:val="2"/>
            <w:shd w:val="clear" w:color="auto" w:fill="auto"/>
            <w:vAlign w:val="center"/>
          </w:tcPr>
          <w:p w14:paraId="34F69795" w14:textId="2156DDCA" w:rsidR="004420B6" w:rsidRPr="00ED2711" w:rsidRDefault="00ED2711" w:rsidP="008E7187">
            <w:pPr>
              <w:keepNext/>
              <w:keepLines/>
              <w:spacing w:before="200"/>
              <w:outlineLvl w:val="8"/>
              <w:rPr>
                <w:rFonts w:ascii="Garamond" w:hAnsi="Garamond" w:cs="Arial"/>
              </w:rPr>
            </w:pPr>
            <w:r>
              <w:rPr>
                <w:rFonts w:ascii="Garamond" w:hAnsi="Garamond" w:cs="Arial"/>
              </w:rPr>
              <w:t>68</w:t>
            </w:r>
            <w:r w:rsidR="0034523C" w:rsidRPr="00ED2711">
              <w:rPr>
                <w:rFonts w:ascii="Garamond" w:hAnsi="Garamond" w:cs="Arial"/>
              </w:rPr>
              <w:t>%</w:t>
            </w:r>
            <w:r>
              <w:rPr>
                <w:rFonts w:ascii="Garamond" w:hAnsi="Garamond" w:cs="Arial"/>
              </w:rPr>
              <w:t xml:space="preserve"> depuis le début du projet</w:t>
            </w:r>
          </w:p>
        </w:tc>
      </w:tr>
      <w:tr w:rsidR="00684E57" w:rsidRPr="00DD27C0" w14:paraId="67FF279B" w14:textId="77777777" w:rsidTr="008B06F4">
        <w:trPr>
          <w:trHeight w:val="345"/>
        </w:trPr>
        <w:tc>
          <w:tcPr>
            <w:tcW w:w="2664" w:type="dxa"/>
            <w:shd w:val="clear" w:color="auto" w:fill="E6E6E6"/>
          </w:tcPr>
          <w:p w14:paraId="797FFDA1" w14:textId="77777777" w:rsidR="00684E57" w:rsidRPr="00DD27C0" w:rsidRDefault="00684E57" w:rsidP="003F182F">
            <w:pPr>
              <w:rPr>
                <w:rFonts w:ascii="Garamond" w:hAnsi="Garamond" w:cs="Arial"/>
                <w:b/>
              </w:rPr>
            </w:pPr>
            <w:r w:rsidRPr="00DD27C0">
              <w:rPr>
                <w:rFonts w:ascii="Garamond" w:hAnsi="Garamond" w:cs="Arial"/>
                <w:b/>
              </w:rPr>
              <w:t xml:space="preserve">Date de clôture </w:t>
            </w:r>
            <w:r w:rsidRPr="00DD27C0">
              <w:rPr>
                <w:rFonts w:ascii="Garamond" w:hAnsi="Garamond" w:cs="Arial"/>
                <w:b/>
              </w:rPr>
              <w:lastRenderedPageBreak/>
              <w:t xml:space="preserve">prévue: </w:t>
            </w:r>
          </w:p>
        </w:tc>
        <w:tc>
          <w:tcPr>
            <w:tcW w:w="2516" w:type="dxa"/>
            <w:gridSpan w:val="2"/>
            <w:vAlign w:val="center"/>
          </w:tcPr>
          <w:p w14:paraId="3E31F59C" w14:textId="5DC92CAA" w:rsidR="00684E57" w:rsidRPr="00DD27C0" w:rsidRDefault="0054474A" w:rsidP="00684E57">
            <w:pPr>
              <w:keepNext/>
              <w:keepLines/>
              <w:spacing w:before="200"/>
              <w:outlineLvl w:val="8"/>
              <w:rPr>
                <w:rFonts w:ascii="Garamond" w:hAnsi="Garamond" w:cs="Arial"/>
              </w:rPr>
            </w:pPr>
            <w:r w:rsidRPr="00DD27C0">
              <w:rPr>
                <w:rFonts w:ascii="Garamond" w:hAnsi="Garamond" w:cs="Arial"/>
              </w:rPr>
              <w:lastRenderedPageBreak/>
              <w:t xml:space="preserve">30 juin </w:t>
            </w:r>
            <w:r w:rsidR="00D77038" w:rsidRPr="00DD27C0">
              <w:rPr>
                <w:rFonts w:ascii="Garamond" w:hAnsi="Garamond" w:cs="Arial"/>
              </w:rPr>
              <w:t>2012</w:t>
            </w:r>
          </w:p>
        </w:tc>
        <w:tc>
          <w:tcPr>
            <w:tcW w:w="2551" w:type="dxa"/>
            <w:shd w:val="clear" w:color="auto" w:fill="E6E6E6"/>
            <w:vAlign w:val="center"/>
          </w:tcPr>
          <w:p w14:paraId="1DA83FB6" w14:textId="77777777" w:rsidR="00684E57" w:rsidRPr="007B0575" w:rsidRDefault="00684E57" w:rsidP="00684E57">
            <w:pPr>
              <w:rPr>
                <w:rFonts w:ascii="Garamond" w:hAnsi="Garamond" w:cs="Arial"/>
                <w:b/>
              </w:rPr>
            </w:pPr>
            <w:r w:rsidRPr="006E0F86">
              <w:rPr>
                <w:rFonts w:ascii="Garamond" w:hAnsi="Garamond" w:cs="Arial"/>
                <w:b/>
              </w:rPr>
              <w:t xml:space="preserve">Retard éventuel </w:t>
            </w:r>
            <w:r w:rsidRPr="006E0F86">
              <w:rPr>
                <w:rFonts w:ascii="Garamond" w:hAnsi="Garamond" w:cs="Arial"/>
                <w:b/>
              </w:rPr>
              <w:lastRenderedPageBreak/>
              <w:t>(mois):</w:t>
            </w:r>
          </w:p>
        </w:tc>
        <w:tc>
          <w:tcPr>
            <w:tcW w:w="5229" w:type="dxa"/>
            <w:gridSpan w:val="2"/>
            <w:vAlign w:val="center"/>
          </w:tcPr>
          <w:p w14:paraId="5AA0DB05" w14:textId="4E836209" w:rsidR="00684E57" w:rsidRPr="002373E5" w:rsidRDefault="00573003" w:rsidP="007B0575">
            <w:pPr>
              <w:keepNext/>
              <w:keepLines/>
              <w:spacing w:before="200"/>
              <w:outlineLvl w:val="8"/>
              <w:rPr>
                <w:rFonts w:ascii="Garamond" w:hAnsi="Garamond" w:cs="Arial"/>
              </w:rPr>
            </w:pPr>
            <w:r>
              <w:rPr>
                <w:rFonts w:ascii="Garamond" w:hAnsi="Garamond" w:cs="Arial"/>
              </w:rPr>
              <w:lastRenderedPageBreak/>
              <w:t>3</w:t>
            </w:r>
            <w:r w:rsidR="0027741B" w:rsidRPr="00411393">
              <w:rPr>
                <w:rFonts w:ascii="Garamond" w:hAnsi="Garamond" w:cs="Arial"/>
              </w:rPr>
              <w:t xml:space="preserve"> mois</w:t>
            </w:r>
            <w:r w:rsidR="0054474A" w:rsidRPr="00262FB2">
              <w:rPr>
                <w:rFonts w:ascii="Garamond" w:hAnsi="Garamond" w:cs="Arial"/>
              </w:rPr>
              <w:t xml:space="preserve"> </w:t>
            </w:r>
          </w:p>
        </w:tc>
      </w:tr>
      <w:tr w:rsidR="00173E88" w:rsidRPr="00DD27C0" w14:paraId="3C70E645" w14:textId="77777777" w:rsidTr="00885506">
        <w:trPr>
          <w:trHeight w:val="418"/>
        </w:trPr>
        <w:tc>
          <w:tcPr>
            <w:tcW w:w="2700" w:type="dxa"/>
            <w:gridSpan w:val="2"/>
            <w:shd w:val="clear" w:color="auto" w:fill="E6E6E6"/>
          </w:tcPr>
          <w:p w14:paraId="429F4884" w14:textId="77777777" w:rsidR="0074220E" w:rsidRPr="00DD27C0" w:rsidRDefault="0074220E" w:rsidP="003F182F">
            <w:pPr>
              <w:rPr>
                <w:rFonts w:ascii="Garamond" w:hAnsi="Garamond" w:cs="Arial"/>
                <w:b/>
              </w:rPr>
            </w:pPr>
            <w:r w:rsidRPr="00DD27C0">
              <w:rPr>
                <w:rFonts w:ascii="Garamond" w:hAnsi="Garamond" w:cs="Arial"/>
                <w:b/>
              </w:rPr>
              <w:lastRenderedPageBreak/>
              <w:t>Domaine d’investissement :</w:t>
            </w:r>
          </w:p>
          <w:p w14:paraId="73ADB64F" w14:textId="77777777" w:rsidR="00CD3814" w:rsidRPr="00DD27C0" w:rsidRDefault="0074220E" w:rsidP="003F182F">
            <w:pPr>
              <w:rPr>
                <w:rFonts w:ascii="Garamond" w:hAnsi="Garamond" w:cs="Arial"/>
                <w:b/>
              </w:rPr>
            </w:pPr>
            <w:r w:rsidRPr="00DD27C0">
              <w:rPr>
                <w:rFonts w:ascii="Garamond" w:hAnsi="Garamond" w:cs="Arial"/>
                <w:b/>
              </w:rPr>
              <w:t>Résultats stratégiques</w:t>
            </w:r>
            <w:r w:rsidR="00482026" w:rsidRPr="00DD27C0">
              <w:rPr>
                <w:rFonts w:ascii="Garamond" w:hAnsi="Garamond" w:cs="Arial"/>
                <w:b/>
              </w:rPr>
              <w:t xml:space="preserve"> (</w:t>
            </w:r>
            <w:r w:rsidRPr="00DD27C0">
              <w:rPr>
                <w:rFonts w:ascii="Garamond" w:hAnsi="Garamond" w:cs="Arial"/>
                <w:b/>
              </w:rPr>
              <w:t>e</w:t>
            </w:r>
            <w:r w:rsidR="00DB5E35" w:rsidRPr="00DD27C0">
              <w:rPr>
                <w:rFonts w:ascii="Garamond" w:hAnsi="Garamond" w:cs="Arial"/>
                <w:b/>
              </w:rPr>
              <w:t>ffet</w:t>
            </w:r>
            <w:r w:rsidRPr="00DD27C0">
              <w:rPr>
                <w:rFonts w:ascii="Garamond" w:hAnsi="Garamond" w:cs="Arial"/>
                <w:b/>
              </w:rPr>
              <w:t>s</w:t>
            </w:r>
            <w:r w:rsidR="00DB5E35" w:rsidRPr="00DD27C0">
              <w:rPr>
                <w:rFonts w:ascii="Garamond" w:hAnsi="Garamond" w:cs="Arial"/>
                <w:b/>
              </w:rPr>
              <w:t xml:space="preserve"> </w:t>
            </w:r>
            <w:r w:rsidRPr="00DD27C0">
              <w:rPr>
                <w:rFonts w:ascii="Garamond" w:hAnsi="Garamond" w:cs="Arial"/>
                <w:b/>
              </w:rPr>
              <w:t>sectoriels</w:t>
            </w:r>
            <w:r w:rsidR="00482026" w:rsidRPr="00DD27C0">
              <w:rPr>
                <w:rFonts w:ascii="Garamond" w:hAnsi="Garamond" w:cs="Arial"/>
                <w:b/>
              </w:rPr>
              <w:t>)</w:t>
            </w:r>
            <w:r w:rsidR="00CD3814" w:rsidRPr="00DD27C0">
              <w:rPr>
                <w:rFonts w:ascii="Garamond" w:hAnsi="Garamond" w:cs="Arial"/>
                <w:b/>
              </w:rPr>
              <w:t>:</w:t>
            </w:r>
          </w:p>
          <w:p w14:paraId="6A37E40A" w14:textId="77777777" w:rsidR="007A55B1" w:rsidRPr="00DD27C0" w:rsidRDefault="007A55B1" w:rsidP="003F182F">
            <w:pPr>
              <w:rPr>
                <w:rFonts w:ascii="Garamond" w:hAnsi="Garamond" w:cs="Arial"/>
                <w:b/>
              </w:rPr>
            </w:pPr>
            <w:r w:rsidRPr="00DD27C0">
              <w:rPr>
                <w:rFonts w:ascii="Garamond" w:hAnsi="Garamond" w:cs="Arial"/>
                <w:b/>
              </w:rPr>
              <w:t xml:space="preserve">Indicateurs pour </w:t>
            </w:r>
            <w:r w:rsidR="0027741B" w:rsidRPr="00DD27C0">
              <w:rPr>
                <w:rFonts w:ascii="Garamond" w:hAnsi="Garamond" w:cs="Arial"/>
                <w:b/>
              </w:rPr>
              <w:t>mesurer</w:t>
            </w:r>
            <w:r w:rsidRPr="00DD27C0">
              <w:rPr>
                <w:rFonts w:ascii="Garamond" w:hAnsi="Garamond" w:cs="Arial"/>
                <w:b/>
              </w:rPr>
              <w:t xml:space="preserve"> les effets</w:t>
            </w:r>
          </w:p>
          <w:p w14:paraId="7D3450D6" w14:textId="77777777" w:rsidR="0074220E" w:rsidRPr="00DD27C0" w:rsidRDefault="0074220E" w:rsidP="003F182F">
            <w:pPr>
              <w:rPr>
                <w:rFonts w:ascii="Garamond" w:hAnsi="Garamond" w:cs="Arial"/>
                <w:b/>
              </w:rPr>
            </w:pPr>
          </w:p>
        </w:tc>
        <w:tc>
          <w:tcPr>
            <w:tcW w:w="7016" w:type="dxa"/>
            <w:gridSpan w:val="3"/>
            <w:shd w:val="clear" w:color="auto" w:fill="E6E6E6"/>
          </w:tcPr>
          <w:p w14:paraId="5B0E0F96" w14:textId="77777777" w:rsidR="004174D5" w:rsidRPr="00DD27C0" w:rsidRDefault="004174D5" w:rsidP="003F182F">
            <w:pPr>
              <w:rPr>
                <w:rFonts w:ascii="Garamond" w:hAnsi="Garamond" w:cs="Arial"/>
                <w:b/>
              </w:rPr>
            </w:pPr>
            <w:r w:rsidRPr="00DD27C0">
              <w:rPr>
                <w:rFonts w:ascii="Garamond" w:hAnsi="Garamond" w:cs="Arial"/>
                <w:b/>
              </w:rPr>
              <w:t>Domaine de priorité d’investissement :</w:t>
            </w:r>
            <w:r w:rsidR="00D77038" w:rsidRPr="006E0F86">
              <w:rPr>
                <w:rFonts w:ascii="Garamond" w:hAnsi="Garamond" w:cs="Arial"/>
              </w:rPr>
              <w:t xml:space="preserve"> Appui aux initiatives locales de consolidation de la paix, de réconciliation, et des dividendes de la paix économiques au niveau communautaire local</w:t>
            </w:r>
          </w:p>
          <w:p w14:paraId="4578D26C" w14:textId="77777777" w:rsidR="004174D5" w:rsidRPr="00DD27C0" w:rsidRDefault="004174D5" w:rsidP="003F182F">
            <w:pPr>
              <w:rPr>
                <w:rFonts w:ascii="Garamond" w:hAnsi="Garamond" w:cs="Arial"/>
                <w:b/>
              </w:rPr>
            </w:pPr>
            <w:r w:rsidRPr="00DD27C0">
              <w:rPr>
                <w:rFonts w:ascii="Garamond" w:hAnsi="Garamond" w:cs="Arial"/>
                <w:b/>
              </w:rPr>
              <w:t>Résultat stratégique (Cadre stratégique du FCP) :</w:t>
            </w:r>
            <w:r w:rsidR="00D77038" w:rsidRPr="00ED2711">
              <w:rPr>
                <w:rFonts w:ascii="Garamond" w:hAnsi="Garamond" w:cs="Arial"/>
                <w:bCs/>
              </w:rPr>
              <w:t xml:space="preserve"> Le </w:t>
            </w:r>
            <w:r w:rsidR="00D77038" w:rsidRPr="00ED2711">
              <w:rPr>
                <w:rFonts w:ascii="Garamond" w:hAnsi="Garamond" w:cs="Arial"/>
              </w:rPr>
              <w:t>projet contribue à la consolidation de la paix en amé</w:t>
            </w:r>
            <w:r w:rsidR="00D77038" w:rsidRPr="00DD27C0">
              <w:rPr>
                <w:rFonts w:ascii="Garamond" w:hAnsi="Garamond" w:cs="Arial"/>
              </w:rPr>
              <w:t>liorant la sécurité alimentaire, les conditions et la qualité de vie des catégories vulnérables, en augmentant les revenus des populations, avec une attention particulière pour les retournés et les communautés d’accueil.</w:t>
            </w:r>
          </w:p>
          <w:p w14:paraId="472D4669" w14:textId="77777777" w:rsidR="00CD3814" w:rsidRPr="00DD27C0" w:rsidRDefault="00CD3814" w:rsidP="003F182F">
            <w:pPr>
              <w:rPr>
                <w:rFonts w:ascii="Garamond" w:hAnsi="Garamond" w:cs="Arial"/>
                <w:b/>
              </w:rPr>
            </w:pPr>
          </w:p>
        </w:tc>
        <w:tc>
          <w:tcPr>
            <w:tcW w:w="3244" w:type="dxa"/>
            <w:shd w:val="clear" w:color="auto" w:fill="E6E6E6"/>
          </w:tcPr>
          <w:p w14:paraId="2EF3076E" w14:textId="77777777" w:rsidR="005C7B70" w:rsidRPr="006E0F86" w:rsidRDefault="005C7B70" w:rsidP="003F182F">
            <w:pPr>
              <w:rPr>
                <w:rFonts w:ascii="Garamond" w:hAnsi="Garamond" w:cs="Arial"/>
                <w:b/>
              </w:rPr>
            </w:pPr>
          </w:p>
        </w:tc>
      </w:tr>
      <w:tr w:rsidR="00716C54" w:rsidRPr="00DD27C0" w14:paraId="7F8B5DAD" w14:textId="77777777" w:rsidTr="00885506">
        <w:trPr>
          <w:trHeight w:val="1160"/>
        </w:trPr>
        <w:tc>
          <w:tcPr>
            <w:tcW w:w="2700" w:type="dxa"/>
            <w:gridSpan w:val="2"/>
          </w:tcPr>
          <w:p w14:paraId="523EC0B4" w14:textId="77777777" w:rsidR="003B6901" w:rsidRPr="00DD27C0" w:rsidRDefault="005C7B70" w:rsidP="003F182F">
            <w:pPr>
              <w:rPr>
                <w:rFonts w:ascii="Garamond" w:hAnsi="Garamond" w:cs="Arial"/>
                <w:b/>
              </w:rPr>
            </w:pPr>
            <w:r w:rsidRPr="00DD27C0">
              <w:rPr>
                <w:rFonts w:ascii="Garamond" w:hAnsi="Garamond" w:cs="Arial"/>
                <w:b/>
              </w:rPr>
              <w:t>Résultat</w:t>
            </w:r>
            <w:r w:rsidR="003B6901" w:rsidRPr="00DD27C0">
              <w:rPr>
                <w:rFonts w:ascii="Garamond" w:hAnsi="Garamond" w:cs="Arial"/>
                <w:b/>
              </w:rPr>
              <w:t xml:space="preserve">s </w:t>
            </w:r>
            <w:r w:rsidR="007A55B1" w:rsidRPr="00DD27C0">
              <w:rPr>
                <w:rFonts w:ascii="Garamond" w:hAnsi="Garamond" w:cs="Arial"/>
                <w:b/>
              </w:rPr>
              <w:t>immédiats</w:t>
            </w:r>
            <w:r w:rsidRPr="00DD27C0">
              <w:rPr>
                <w:rFonts w:ascii="Garamond" w:hAnsi="Garamond" w:cs="Arial"/>
                <w:b/>
              </w:rPr>
              <w:t> </w:t>
            </w:r>
          </w:p>
          <w:p w14:paraId="4C7398D9" w14:textId="77777777" w:rsidR="00716C54" w:rsidRPr="00ED2711" w:rsidRDefault="003B6901" w:rsidP="003F182F">
            <w:pPr>
              <w:rPr>
                <w:rFonts w:ascii="Garamond" w:hAnsi="Garamond" w:cs="Arial"/>
              </w:rPr>
            </w:pPr>
            <w:r w:rsidRPr="00DD27C0">
              <w:rPr>
                <w:rFonts w:ascii="Garamond" w:hAnsi="Garamond" w:cs="Arial"/>
                <w:b/>
              </w:rPr>
              <w:t>(</w:t>
            </w:r>
            <w:r w:rsidR="007A55B1" w:rsidRPr="00DD27C0">
              <w:rPr>
                <w:rFonts w:ascii="Garamond" w:hAnsi="Garamond" w:cs="Arial"/>
                <w:b/>
              </w:rPr>
              <w:t xml:space="preserve">= </w:t>
            </w:r>
            <w:r w:rsidRPr="00DD27C0">
              <w:rPr>
                <w:rFonts w:ascii="Garamond" w:hAnsi="Garamond" w:cs="Arial"/>
                <w:b/>
              </w:rPr>
              <w:t>produits projet) avec référence aux indicateurs</w:t>
            </w:r>
            <w:r w:rsidR="005C7B70" w:rsidRPr="00DD27C0">
              <w:rPr>
                <w:rFonts w:ascii="Garamond" w:hAnsi="Garamond" w:cs="Arial"/>
                <w:b/>
              </w:rPr>
              <w:t>:</w:t>
            </w:r>
            <w:r w:rsidR="00716C54" w:rsidRPr="00ED2711">
              <w:rPr>
                <w:rFonts w:ascii="Garamond" w:hAnsi="Garamond" w:cs="Arial"/>
              </w:rPr>
              <w:t xml:space="preserve"> </w:t>
            </w:r>
          </w:p>
          <w:p w14:paraId="09BBA669" w14:textId="77777777" w:rsidR="00716C54" w:rsidRPr="00DD27C0" w:rsidRDefault="00716C54" w:rsidP="004B08F8">
            <w:pPr>
              <w:rPr>
                <w:rFonts w:ascii="Garamond" w:hAnsi="Garamond" w:cs="Arial"/>
              </w:rPr>
            </w:pPr>
          </w:p>
        </w:tc>
        <w:tc>
          <w:tcPr>
            <w:tcW w:w="7016" w:type="dxa"/>
            <w:gridSpan w:val="3"/>
          </w:tcPr>
          <w:p w14:paraId="7EEBBAFF" w14:textId="77777777" w:rsidR="00716C54" w:rsidRPr="00DD27C0" w:rsidRDefault="00716C54" w:rsidP="003D1F2D">
            <w:pPr>
              <w:rPr>
                <w:rFonts w:ascii="Garamond" w:hAnsi="Garamond" w:cs="Arial"/>
              </w:rPr>
            </w:pPr>
            <w:r w:rsidRPr="00DD27C0">
              <w:rPr>
                <w:rFonts w:ascii="Garamond" w:hAnsi="Garamond" w:cs="Arial"/>
                <w:b/>
                <w:u w:val="single"/>
              </w:rPr>
              <w:t>Résultat attendu 1</w:t>
            </w:r>
            <w:r w:rsidRPr="00DD27C0">
              <w:rPr>
                <w:rFonts w:ascii="Garamond" w:hAnsi="Garamond" w:cs="Arial"/>
              </w:rPr>
              <w:t xml:space="preserve"> : </w:t>
            </w:r>
          </w:p>
          <w:p w14:paraId="3471B2F6" w14:textId="149432B1" w:rsidR="00ED1D32" w:rsidRPr="00DD27C0" w:rsidRDefault="00ED1D32" w:rsidP="003D1F2D">
            <w:pPr>
              <w:rPr>
                <w:rFonts w:ascii="Garamond" w:hAnsi="Garamond" w:cs="Arial"/>
              </w:rPr>
            </w:pPr>
            <w:r w:rsidRPr="00ED2711">
              <w:rPr>
                <w:rFonts w:ascii="Garamond" w:hAnsi="Garamond" w:cs="Arial"/>
                <w:bCs/>
                <w:i/>
              </w:rPr>
              <w:t>Le</w:t>
            </w:r>
            <w:r w:rsidRPr="00ED2711">
              <w:rPr>
                <w:rFonts w:ascii="Garamond" w:hAnsi="Garamond" w:cs="Arial"/>
                <w:i/>
              </w:rPr>
              <w:t xml:space="preserve"> centre de formation et de démonstration est fonctionnel et des modèles concrets du </w:t>
            </w:r>
            <w:r w:rsidR="000264C8" w:rsidRPr="00DD27C0">
              <w:rPr>
                <w:rFonts w:ascii="Garamond" w:hAnsi="Garamond" w:cs="Arial"/>
                <w:i/>
              </w:rPr>
              <w:t xml:space="preserve">Système </w:t>
            </w:r>
            <w:proofErr w:type="spellStart"/>
            <w:r w:rsidR="000264C8" w:rsidRPr="00DD27C0">
              <w:rPr>
                <w:rFonts w:ascii="Garamond" w:hAnsi="Garamond" w:cs="Arial"/>
                <w:i/>
              </w:rPr>
              <w:t>Bioéconomie</w:t>
            </w:r>
            <w:proofErr w:type="spellEnd"/>
            <w:r w:rsidR="000264C8" w:rsidRPr="00DD27C0">
              <w:rPr>
                <w:rFonts w:ascii="Garamond" w:hAnsi="Garamond" w:cs="Arial"/>
                <w:i/>
              </w:rPr>
              <w:t xml:space="preserve"> Intégrée (SBI)</w:t>
            </w:r>
            <w:r w:rsidRPr="00DD27C0">
              <w:rPr>
                <w:rFonts w:ascii="Garamond" w:hAnsi="Garamond" w:cs="Arial"/>
                <w:i/>
              </w:rPr>
              <w:t xml:space="preserve"> sont installés au niveau des exploitations paysannes</w:t>
            </w:r>
          </w:p>
          <w:p w14:paraId="08EB579E" w14:textId="77777777" w:rsidR="00716C54" w:rsidRPr="00ED2711" w:rsidRDefault="00716C54" w:rsidP="004639DE">
            <w:pPr>
              <w:rPr>
                <w:rFonts w:ascii="Garamond" w:hAnsi="Garamond" w:cs="Arial"/>
              </w:rPr>
            </w:pPr>
          </w:p>
          <w:p w14:paraId="478D107B" w14:textId="77777777" w:rsidR="00ED1D32" w:rsidRPr="00DD27C0" w:rsidRDefault="00716C54" w:rsidP="006F160F">
            <w:pPr>
              <w:rPr>
                <w:rFonts w:ascii="Garamond" w:hAnsi="Garamond" w:cs="Arial"/>
                <w:b/>
              </w:rPr>
            </w:pPr>
            <w:r w:rsidRPr="00DD27C0">
              <w:rPr>
                <w:rFonts w:ascii="Garamond" w:hAnsi="Garamond" w:cs="Arial"/>
                <w:b/>
                <w:u w:val="single"/>
              </w:rPr>
              <w:t>Réalisations accomplies</w:t>
            </w:r>
            <w:r w:rsidRPr="00DD27C0">
              <w:rPr>
                <w:rFonts w:ascii="Garamond" w:hAnsi="Garamond" w:cs="Arial"/>
                <w:b/>
              </w:rPr>
              <w:t> :</w:t>
            </w:r>
          </w:p>
          <w:p w14:paraId="17B547F1" w14:textId="77777777" w:rsidR="005804D5" w:rsidRPr="00DD27C0" w:rsidRDefault="005804D5" w:rsidP="006F160F">
            <w:pPr>
              <w:rPr>
                <w:rFonts w:ascii="Garamond" w:hAnsi="Garamond" w:cs="Arial"/>
                <w:b/>
              </w:rPr>
            </w:pPr>
          </w:p>
          <w:p w14:paraId="0F78E45F" w14:textId="4358D17C" w:rsidR="00D9143D" w:rsidRPr="00DD27C0" w:rsidRDefault="00D9143D" w:rsidP="006F160F">
            <w:pPr>
              <w:rPr>
                <w:rFonts w:ascii="Garamond" w:hAnsi="Garamond" w:cs="Arial"/>
                <w:b/>
              </w:rPr>
            </w:pPr>
            <w:r w:rsidRPr="00DD27C0">
              <w:rPr>
                <w:rFonts w:ascii="Garamond" w:hAnsi="Garamond" w:cs="Arial"/>
                <w:b/>
              </w:rPr>
              <w:t xml:space="preserve">Production de </w:t>
            </w:r>
            <w:proofErr w:type="spellStart"/>
            <w:r w:rsidRPr="00DD27C0">
              <w:rPr>
                <w:rFonts w:ascii="Garamond" w:hAnsi="Garamond" w:cs="Arial"/>
                <w:b/>
              </w:rPr>
              <w:t>biogas</w:t>
            </w:r>
            <w:proofErr w:type="spellEnd"/>
            <w:r w:rsidRPr="00DD27C0">
              <w:rPr>
                <w:rFonts w:ascii="Garamond" w:hAnsi="Garamond" w:cs="Arial"/>
                <w:b/>
              </w:rPr>
              <w:t> :</w:t>
            </w:r>
          </w:p>
          <w:p w14:paraId="78BB4A9B" w14:textId="09691C52" w:rsidR="00ED6F02" w:rsidRPr="00DD27C0" w:rsidRDefault="005054C7" w:rsidP="00592B62">
            <w:pPr>
              <w:numPr>
                <w:ilvl w:val="0"/>
                <w:numId w:val="17"/>
              </w:numPr>
              <w:rPr>
                <w:rFonts w:ascii="Garamond" w:hAnsi="Garamond" w:cs="Arial"/>
              </w:rPr>
            </w:pPr>
            <w:r w:rsidRPr="00DD27C0">
              <w:rPr>
                <w:rFonts w:ascii="Garamond" w:hAnsi="Garamond" w:cs="Arial"/>
              </w:rPr>
              <w:t xml:space="preserve">Cinq cuisines sont construites sur </w:t>
            </w:r>
            <w:r w:rsidR="00262FB2">
              <w:rPr>
                <w:rFonts w:ascii="Garamond" w:hAnsi="Garamond" w:cs="Arial"/>
              </w:rPr>
              <w:t xml:space="preserve">les </w:t>
            </w:r>
            <w:r w:rsidRPr="00DD27C0">
              <w:rPr>
                <w:rFonts w:ascii="Garamond" w:hAnsi="Garamond" w:cs="Arial"/>
              </w:rPr>
              <w:t xml:space="preserve">5 sites </w:t>
            </w:r>
            <w:r w:rsidR="0080547F" w:rsidRPr="00DD27C0">
              <w:rPr>
                <w:rFonts w:ascii="Garamond" w:hAnsi="Garamond" w:cs="Arial"/>
              </w:rPr>
              <w:t xml:space="preserve">de </w:t>
            </w:r>
            <w:proofErr w:type="spellStart"/>
            <w:r w:rsidR="0080547F" w:rsidRPr="00DD27C0">
              <w:rPr>
                <w:rFonts w:ascii="Garamond" w:hAnsi="Garamond" w:cs="Arial"/>
              </w:rPr>
              <w:t>Mushweshwe</w:t>
            </w:r>
            <w:proofErr w:type="spellEnd"/>
            <w:r w:rsidR="0080547F" w:rsidRPr="00DD27C0">
              <w:rPr>
                <w:rFonts w:ascii="Garamond" w:hAnsi="Garamond" w:cs="Arial"/>
              </w:rPr>
              <w:t xml:space="preserve">, </w:t>
            </w:r>
            <w:proofErr w:type="spellStart"/>
            <w:r w:rsidR="0080547F" w:rsidRPr="00DD27C0">
              <w:rPr>
                <w:rFonts w:ascii="Garamond" w:hAnsi="Garamond" w:cs="Arial"/>
              </w:rPr>
              <w:t>Walungu</w:t>
            </w:r>
            <w:proofErr w:type="spellEnd"/>
            <w:r w:rsidR="0080547F" w:rsidRPr="00DD27C0">
              <w:rPr>
                <w:rFonts w:ascii="Garamond" w:hAnsi="Garamond" w:cs="Arial"/>
              </w:rPr>
              <w:t xml:space="preserve">, </w:t>
            </w:r>
            <w:proofErr w:type="spellStart"/>
            <w:r w:rsidR="0080547F" w:rsidRPr="00DD27C0">
              <w:rPr>
                <w:rFonts w:ascii="Garamond" w:hAnsi="Garamond" w:cs="Arial"/>
              </w:rPr>
              <w:t>Kamanyola</w:t>
            </w:r>
            <w:proofErr w:type="spellEnd"/>
            <w:r w:rsidR="0080547F" w:rsidRPr="00DD27C0">
              <w:rPr>
                <w:rFonts w:ascii="Garamond" w:hAnsi="Garamond" w:cs="Arial"/>
              </w:rPr>
              <w:t xml:space="preserve">, </w:t>
            </w:r>
            <w:proofErr w:type="spellStart"/>
            <w:r w:rsidR="0080547F" w:rsidRPr="00DD27C0">
              <w:rPr>
                <w:rFonts w:ascii="Garamond" w:hAnsi="Garamond" w:cs="Arial"/>
              </w:rPr>
              <w:t>Budali</w:t>
            </w:r>
            <w:proofErr w:type="spellEnd"/>
            <w:r w:rsidR="0080547F" w:rsidRPr="00DD27C0">
              <w:rPr>
                <w:rFonts w:ascii="Garamond" w:hAnsi="Garamond" w:cs="Arial"/>
              </w:rPr>
              <w:t xml:space="preserve"> et </w:t>
            </w:r>
            <w:proofErr w:type="spellStart"/>
            <w:r w:rsidR="0080547F" w:rsidRPr="00DD27C0">
              <w:rPr>
                <w:rFonts w:ascii="Garamond" w:hAnsi="Garamond" w:cs="Arial"/>
              </w:rPr>
              <w:t>Mugogo</w:t>
            </w:r>
            <w:proofErr w:type="spellEnd"/>
            <w:r w:rsidR="0080547F" w:rsidRPr="00DD27C0">
              <w:rPr>
                <w:rFonts w:ascii="Garamond" w:hAnsi="Garamond" w:cs="Arial"/>
              </w:rPr>
              <w:t xml:space="preserve"> </w:t>
            </w:r>
            <w:r w:rsidRPr="00DD27C0">
              <w:rPr>
                <w:rFonts w:ascii="Garamond" w:hAnsi="Garamond" w:cs="Arial"/>
              </w:rPr>
              <w:t xml:space="preserve">(un par site) pour permettre l’utilisation du </w:t>
            </w:r>
            <w:proofErr w:type="spellStart"/>
            <w:r w:rsidRPr="00DD27C0">
              <w:rPr>
                <w:rFonts w:ascii="Garamond" w:hAnsi="Garamond" w:cs="Arial"/>
              </w:rPr>
              <w:t>biogas</w:t>
            </w:r>
            <w:proofErr w:type="spellEnd"/>
            <w:r w:rsidRPr="00DD27C0">
              <w:rPr>
                <w:rFonts w:ascii="Garamond" w:hAnsi="Garamond" w:cs="Arial"/>
              </w:rPr>
              <w:t xml:space="preserve"> </w:t>
            </w:r>
            <w:r w:rsidR="00730D2D" w:rsidRPr="00DD27C0">
              <w:rPr>
                <w:rFonts w:ascii="Garamond" w:hAnsi="Garamond" w:cs="Arial"/>
              </w:rPr>
              <w:t xml:space="preserve">(déjà produit sur les 5 sites) </w:t>
            </w:r>
            <w:r w:rsidR="008E4EF1">
              <w:rPr>
                <w:rFonts w:ascii="Garamond" w:hAnsi="Garamond" w:cs="Arial"/>
              </w:rPr>
              <w:t>à</w:t>
            </w:r>
            <w:r w:rsidR="008E4EF1" w:rsidRPr="00DD27C0">
              <w:rPr>
                <w:rFonts w:ascii="Garamond" w:hAnsi="Garamond" w:cs="Arial"/>
              </w:rPr>
              <w:t xml:space="preserve"> </w:t>
            </w:r>
            <w:r w:rsidRPr="00DD27C0">
              <w:rPr>
                <w:rFonts w:ascii="Garamond" w:hAnsi="Garamond" w:cs="Arial"/>
              </w:rPr>
              <w:t xml:space="preserve">la cuisson </w:t>
            </w:r>
            <w:r w:rsidR="002D538C" w:rsidRPr="00DD27C0">
              <w:rPr>
                <w:rFonts w:ascii="Garamond" w:hAnsi="Garamond" w:cs="Arial"/>
              </w:rPr>
              <w:t>et l’éclairage. Les canaux d’acheminement d</w:t>
            </w:r>
            <w:r w:rsidR="008E4EF1">
              <w:rPr>
                <w:rFonts w:ascii="Garamond" w:hAnsi="Garamond" w:cs="Arial"/>
              </w:rPr>
              <w:t>e</w:t>
            </w:r>
            <w:r w:rsidR="002D538C" w:rsidRPr="00DD27C0">
              <w:rPr>
                <w:rFonts w:ascii="Garamond" w:hAnsi="Garamond" w:cs="Arial"/>
              </w:rPr>
              <w:t xml:space="preserve"> </w:t>
            </w:r>
            <w:proofErr w:type="spellStart"/>
            <w:r w:rsidR="002D538C" w:rsidRPr="00DD27C0">
              <w:rPr>
                <w:rFonts w:ascii="Garamond" w:hAnsi="Garamond" w:cs="Arial"/>
              </w:rPr>
              <w:t>biogas</w:t>
            </w:r>
            <w:proofErr w:type="spellEnd"/>
            <w:r w:rsidR="002D538C" w:rsidRPr="00DD27C0">
              <w:rPr>
                <w:rFonts w:ascii="Garamond" w:hAnsi="Garamond" w:cs="Arial"/>
              </w:rPr>
              <w:t xml:space="preserve"> </w:t>
            </w:r>
            <w:r w:rsidR="00C002EB">
              <w:rPr>
                <w:rFonts w:ascii="Garamond" w:hAnsi="Garamond" w:cs="Arial"/>
              </w:rPr>
              <w:t>(</w:t>
            </w:r>
            <w:r w:rsidR="00A93959" w:rsidRPr="00DD27C0">
              <w:rPr>
                <w:rFonts w:ascii="Garamond" w:hAnsi="Garamond" w:cs="Arial"/>
              </w:rPr>
              <w:t xml:space="preserve">vers les cuisines </w:t>
            </w:r>
            <w:r w:rsidR="008E4EF1">
              <w:rPr>
                <w:rFonts w:ascii="Garamond" w:hAnsi="Garamond" w:cs="Arial"/>
              </w:rPr>
              <w:t xml:space="preserve">à partir </w:t>
            </w:r>
            <w:r w:rsidR="002D538C" w:rsidRPr="00DD27C0">
              <w:rPr>
                <w:rFonts w:ascii="Garamond" w:hAnsi="Garamond" w:cs="Arial"/>
              </w:rPr>
              <w:t>d</w:t>
            </w:r>
            <w:r w:rsidR="008E4EF1">
              <w:rPr>
                <w:rFonts w:ascii="Garamond" w:hAnsi="Garamond" w:cs="Arial"/>
              </w:rPr>
              <w:t>u</w:t>
            </w:r>
            <w:r w:rsidR="002D538C" w:rsidRPr="00DD27C0">
              <w:rPr>
                <w:rFonts w:ascii="Garamond" w:hAnsi="Garamond" w:cs="Arial"/>
              </w:rPr>
              <w:t xml:space="preserve"> </w:t>
            </w:r>
            <w:proofErr w:type="spellStart"/>
            <w:r w:rsidR="002D538C" w:rsidRPr="00DD27C0">
              <w:rPr>
                <w:rFonts w:ascii="Garamond" w:hAnsi="Garamond" w:cs="Arial"/>
              </w:rPr>
              <w:t>biodigesteur</w:t>
            </w:r>
            <w:proofErr w:type="spellEnd"/>
            <w:r w:rsidR="00C002EB">
              <w:rPr>
                <w:rFonts w:ascii="Garamond" w:hAnsi="Garamond" w:cs="Arial"/>
              </w:rPr>
              <w:t>)</w:t>
            </w:r>
            <w:r w:rsidR="002D538C" w:rsidRPr="00DD27C0">
              <w:rPr>
                <w:rFonts w:ascii="Garamond" w:hAnsi="Garamond" w:cs="Arial"/>
              </w:rPr>
              <w:t xml:space="preserve"> sont complétés sur les sites de </w:t>
            </w:r>
            <w:proofErr w:type="spellStart"/>
            <w:r w:rsidR="002D538C" w:rsidRPr="00DD27C0">
              <w:rPr>
                <w:rFonts w:ascii="Garamond" w:hAnsi="Garamond" w:cs="Arial"/>
              </w:rPr>
              <w:t>Budali</w:t>
            </w:r>
            <w:proofErr w:type="spellEnd"/>
            <w:r w:rsidR="002D538C" w:rsidRPr="00DD27C0">
              <w:rPr>
                <w:rFonts w:ascii="Garamond" w:hAnsi="Garamond" w:cs="Arial"/>
              </w:rPr>
              <w:t xml:space="preserve"> et </w:t>
            </w:r>
            <w:proofErr w:type="spellStart"/>
            <w:r w:rsidR="002D538C" w:rsidRPr="00DD27C0">
              <w:rPr>
                <w:rFonts w:ascii="Garamond" w:hAnsi="Garamond" w:cs="Arial"/>
              </w:rPr>
              <w:t>Kamanyola</w:t>
            </w:r>
            <w:proofErr w:type="spellEnd"/>
          </w:p>
          <w:p w14:paraId="450839B0" w14:textId="20703302" w:rsidR="004B5D8C" w:rsidRPr="00DD27C0" w:rsidRDefault="00F84933" w:rsidP="00DD27C0">
            <w:pPr>
              <w:numPr>
                <w:ilvl w:val="0"/>
                <w:numId w:val="17"/>
              </w:numPr>
              <w:rPr>
                <w:rFonts w:ascii="Garamond" w:eastAsiaTheme="majorEastAsia" w:hAnsi="Garamond" w:cs="Arial"/>
                <w:b/>
                <w:bCs/>
              </w:rPr>
            </w:pPr>
            <w:r w:rsidRPr="00DD27C0">
              <w:rPr>
                <w:rFonts w:ascii="Garamond" w:hAnsi="Garamond" w:cs="Arial"/>
              </w:rPr>
              <w:t>En plus de l’utilisation des déchets du bétail, u</w:t>
            </w:r>
            <w:r w:rsidR="00375978" w:rsidRPr="00DD27C0">
              <w:rPr>
                <w:rFonts w:ascii="Garamond" w:hAnsi="Garamond" w:cs="Arial"/>
              </w:rPr>
              <w:t>n mécanisme de collecte et de tri de déchets anima</w:t>
            </w:r>
            <w:r w:rsidR="00A20667">
              <w:rPr>
                <w:rFonts w:ascii="Garamond" w:hAnsi="Garamond" w:cs="Arial"/>
              </w:rPr>
              <w:t>ux</w:t>
            </w:r>
            <w:r w:rsidRPr="00DD27C0">
              <w:rPr>
                <w:rFonts w:ascii="Garamond" w:hAnsi="Garamond" w:cs="Arial"/>
              </w:rPr>
              <w:t>, végéta</w:t>
            </w:r>
            <w:r w:rsidR="00A20667">
              <w:rPr>
                <w:rFonts w:ascii="Garamond" w:hAnsi="Garamond" w:cs="Arial"/>
              </w:rPr>
              <w:t>ux</w:t>
            </w:r>
            <w:r w:rsidR="00375978" w:rsidRPr="00DD27C0">
              <w:rPr>
                <w:rFonts w:ascii="Garamond" w:hAnsi="Garamond" w:cs="Arial"/>
              </w:rPr>
              <w:t xml:space="preserve"> et ménagers a été mis en place </w:t>
            </w:r>
            <w:r w:rsidR="00C932DC" w:rsidRPr="00DD27C0">
              <w:rPr>
                <w:rFonts w:ascii="Garamond" w:hAnsi="Garamond" w:cs="Arial"/>
              </w:rPr>
              <w:t xml:space="preserve">sur chaque site </w:t>
            </w:r>
            <w:r w:rsidR="00375978" w:rsidRPr="00DD27C0">
              <w:rPr>
                <w:rFonts w:ascii="Garamond" w:hAnsi="Garamond" w:cs="Arial"/>
              </w:rPr>
              <w:t xml:space="preserve">pour assurer la continuité </w:t>
            </w:r>
            <w:r w:rsidRPr="00DD27C0">
              <w:rPr>
                <w:rFonts w:ascii="Garamond" w:hAnsi="Garamond" w:cs="Arial"/>
              </w:rPr>
              <w:t xml:space="preserve">du </w:t>
            </w:r>
            <w:r w:rsidR="00375978" w:rsidRPr="00DD27C0">
              <w:rPr>
                <w:rFonts w:ascii="Garamond" w:hAnsi="Garamond" w:cs="Arial"/>
              </w:rPr>
              <w:t xml:space="preserve">fonctionnement du </w:t>
            </w:r>
            <w:proofErr w:type="spellStart"/>
            <w:r w:rsidR="00375978" w:rsidRPr="00DD27C0">
              <w:rPr>
                <w:rFonts w:ascii="Garamond" w:hAnsi="Garamond" w:cs="Arial"/>
              </w:rPr>
              <w:t>biodigesteur</w:t>
            </w:r>
            <w:proofErr w:type="spellEnd"/>
            <w:r w:rsidR="00375978" w:rsidRPr="00DD27C0">
              <w:rPr>
                <w:rFonts w:ascii="Garamond" w:hAnsi="Garamond" w:cs="Arial"/>
              </w:rPr>
              <w:t xml:space="preserve">, principal moteur qui déclenche la production de </w:t>
            </w:r>
            <w:proofErr w:type="spellStart"/>
            <w:r w:rsidR="00375978" w:rsidRPr="00DD27C0">
              <w:rPr>
                <w:rFonts w:ascii="Garamond" w:hAnsi="Garamond" w:cs="Arial"/>
              </w:rPr>
              <w:t>biogas</w:t>
            </w:r>
            <w:proofErr w:type="spellEnd"/>
            <w:r w:rsidR="00375978" w:rsidRPr="00DD27C0">
              <w:rPr>
                <w:rFonts w:ascii="Garamond" w:hAnsi="Garamond" w:cs="Arial"/>
              </w:rPr>
              <w:t xml:space="preserve">, de </w:t>
            </w:r>
            <w:proofErr w:type="spellStart"/>
            <w:r w:rsidR="00375978" w:rsidRPr="00DD27C0">
              <w:rPr>
                <w:rFonts w:ascii="Garamond" w:hAnsi="Garamond" w:cs="Arial"/>
              </w:rPr>
              <w:t>biofertilisants</w:t>
            </w:r>
            <w:proofErr w:type="spellEnd"/>
            <w:r w:rsidR="00375978" w:rsidRPr="00DD27C0">
              <w:rPr>
                <w:rFonts w:ascii="Garamond" w:hAnsi="Garamond" w:cs="Arial"/>
              </w:rPr>
              <w:t xml:space="preserve"> et de</w:t>
            </w:r>
            <w:r w:rsidR="009A0CDB" w:rsidRPr="00DD27C0">
              <w:rPr>
                <w:rFonts w:ascii="Garamond" w:hAnsi="Garamond" w:cs="Arial"/>
              </w:rPr>
              <w:t>s</w:t>
            </w:r>
            <w:r w:rsidR="00375978" w:rsidRPr="00DD27C0">
              <w:rPr>
                <w:rFonts w:ascii="Garamond" w:hAnsi="Garamond" w:cs="Arial"/>
              </w:rPr>
              <w:t xml:space="preserve"> produits agricole</w:t>
            </w:r>
            <w:r w:rsidR="009A0CDB" w:rsidRPr="00DD27C0">
              <w:rPr>
                <w:rFonts w:ascii="Garamond" w:hAnsi="Garamond" w:cs="Arial"/>
              </w:rPr>
              <w:t>s</w:t>
            </w:r>
          </w:p>
          <w:p w14:paraId="2810C332" w14:textId="57A612DE" w:rsidR="004B5D8C" w:rsidRPr="00DD27C0" w:rsidRDefault="004B5D8C" w:rsidP="004B5D8C">
            <w:pPr>
              <w:numPr>
                <w:ilvl w:val="0"/>
                <w:numId w:val="17"/>
              </w:numPr>
              <w:rPr>
                <w:rFonts w:ascii="Garamond" w:hAnsi="Garamond" w:cs="Arial"/>
              </w:rPr>
            </w:pPr>
            <w:r w:rsidRPr="00ED2711">
              <w:rPr>
                <w:rFonts w:ascii="Garamond" w:hAnsi="Garamond" w:cs="Arial"/>
              </w:rPr>
              <w:lastRenderedPageBreak/>
              <w:t xml:space="preserve">A </w:t>
            </w:r>
            <w:proofErr w:type="spellStart"/>
            <w:r w:rsidRPr="00ED2711">
              <w:rPr>
                <w:rFonts w:ascii="Garamond" w:hAnsi="Garamond" w:cs="Arial"/>
              </w:rPr>
              <w:t>Kamanyola</w:t>
            </w:r>
            <w:proofErr w:type="spellEnd"/>
            <w:r w:rsidRPr="00ED2711">
              <w:rPr>
                <w:rFonts w:ascii="Garamond" w:hAnsi="Garamond" w:cs="Arial"/>
              </w:rPr>
              <w:t>, l</w:t>
            </w:r>
            <w:r w:rsidR="00C002EB">
              <w:rPr>
                <w:rFonts w:ascii="Garamond" w:hAnsi="Garamond" w:cs="Arial"/>
              </w:rPr>
              <w:t xml:space="preserve">e </w:t>
            </w:r>
            <w:proofErr w:type="spellStart"/>
            <w:r w:rsidR="00C002EB">
              <w:rPr>
                <w:rFonts w:ascii="Garamond" w:hAnsi="Garamond" w:cs="Arial"/>
              </w:rPr>
              <w:t>biogas</w:t>
            </w:r>
            <w:proofErr w:type="spellEnd"/>
            <w:r w:rsidR="00C002EB">
              <w:rPr>
                <w:rFonts w:ascii="Garamond" w:hAnsi="Garamond" w:cs="Arial"/>
              </w:rPr>
              <w:t xml:space="preserve"> est utilisé </w:t>
            </w:r>
            <w:r w:rsidRPr="00ED2711">
              <w:rPr>
                <w:rFonts w:ascii="Garamond" w:hAnsi="Garamond" w:cs="Arial"/>
              </w:rPr>
              <w:t xml:space="preserve"> pour la cuisson </w:t>
            </w:r>
            <w:r w:rsidR="00C002EB">
              <w:rPr>
                <w:rFonts w:ascii="Garamond" w:hAnsi="Garamond" w:cs="Arial"/>
              </w:rPr>
              <w:t xml:space="preserve">et </w:t>
            </w:r>
            <w:r w:rsidRPr="00ED2711">
              <w:rPr>
                <w:rFonts w:ascii="Garamond" w:hAnsi="Garamond" w:cs="Arial"/>
              </w:rPr>
              <w:t xml:space="preserve">a permis </w:t>
            </w:r>
            <w:r w:rsidR="00C002EB" w:rsidRPr="00ED2711">
              <w:rPr>
                <w:rFonts w:ascii="Garamond" w:hAnsi="Garamond" w:cs="Arial"/>
              </w:rPr>
              <w:t xml:space="preserve">de </w:t>
            </w:r>
            <w:r w:rsidR="00C002EB">
              <w:rPr>
                <w:rFonts w:ascii="Garamond" w:hAnsi="Garamond" w:cs="Arial"/>
              </w:rPr>
              <w:t>décourager les</w:t>
            </w:r>
            <w:r w:rsidR="00C002EB" w:rsidRPr="00ED2711">
              <w:rPr>
                <w:rFonts w:ascii="Garamond" w:hAnsi="Garamond" w:cs="Arial"/>
              </w:rPr>
              <w:t xml:space="preserve"> </w:t>
            </w:r>
            <w:r w:rsidRPr="00ED2711">
              <w:rPr>
                <w:rFonts w:ascii="Garamond" w:hAnsi="Garamond" w:cs="Arial"/>
              </w:rPr>
              <w:t xml:space="preserve">Paysans Modèles </w:t>
            </w:r>
            <w:r w:rsidR="00C002EB">
              <w:rPr>
                <w:rFonts w:ascii="Garamond" w:hAnsi="Garamond" w:cs="Arial"/>
              </w:rPr>
              <w:t xml:space="preserve">de pratiquer </w:t>
            </w:r>
            <w:r w:rsidRPr="00ED2711">
              <w:rPr>
                <w:rFonts w:ascii="Garamond" w:hAnsi="Garamond" w:cs="Arial"/>
              </w:rPr>
              <w:t xml:space="preserve">la déforestation et </w:t>
            </w:r>
            <w:r w:rsidR="00C002EB">
              <w:rPr>
                <w:rFonts w:ascii="Garamond" w:hAnsi="Garamond" w:cs="Arial"/>
              </w:rPr>
              <w:t>d’</w:t>
            </w:r>
            <w:r w:rsidR="00302149">
              <w:rPr>
                <w:rFonts w:ascii="Garamond" w:hAnsi="Garamond" w:cs="Arial"/>
              </w:rPr>
              <w:t xml:space="preserve">acheter du </w:t>
            </w:r>
            <w:proofErr w:type="spellStart"/>
            <w:r w:rsidR="00302149">
              <w:rPr>
                <w:rFonts w:ascii="Garamond" w:hAnsi="Garamond" w:cs="Arial"/>
              </w:rPr>
              <w:t>gas</w:t>
            </w:r>
            <w:proofErr w:type="spellEnd"/>
            <w:r w:rsidR="00302149">
              <w:rPr>
                <w:rFonts w:ascii="Garamond" w:hAnsi="Garamond" w:cs="Arial"/>
              </w:rPr>
              <w:t xml:space="preserve"> </w:t>
            </w:r>
            <w:r w:rsidR="00C002EB">
              <w:rPr>
                <w:rFonts w:ascii="Garamond" w:hAnsi="Garamond" w:cs="Arial"/>
              </w:rPr>
              <w:t>ou du</w:t>
            </w:r>
            <w:r w:rsidRPr="00ED2711">
              <w:rPr>
                <w:rFonts w:ascii="Garamond" w:hAnsi="Garamond" w:cs="Arial"/>
              </w:rPr>
              <w:t xml:space="preserve"> bois d chauffe.</w:t>
            </w:r>
          </w:p>
          <w:p w14:paraId="387FAAF5" w14:textId="77777777" w:rsidR="00C1254D" w:rsidRPr="00DD27C0" w:rsidRDefault="00C1254D" w:rsidP="00592B62">
            <w:pPr>
              <w:ind w:left="360"/>
              <w:rPr>
                <w:rFonts w:ascii="Garamond" w:hAnsi="Garamond" w:cs="Arial"/>
              </w:rPr>
            </w:pPr>
          </w:p>
          <w:p w14:paraId="6AA43484" w14:textId="499DA207" w:rsidR="00C1254D" w:rsidRPr="00DD27C0" w:rsidRDefault="00C1254D" w:rsidP="00C1254D">
            <w:pPr>
              <w:rPr>
                <w:rFonts w:ascii="Garamond" w:hAnsi="Garamond" w:cs="Arial"/>
                <w:b/>
              </w:rPr>
            </w:pPr>
            <w:r w:rsidRPr="00DD27C0">
              <w:rPr>
                <w:rFonts w:ascii="Garamond" w:hAnsi="Garamond" w:cs="Arial"/>
                <w:b/>
              </w:rPr>
              <w:t>Production de agricole:</w:t>
            </w:r>
          </w:p>
          <w:p w14:paraId="6A29060E" w14:textId="687B2C7B" w:rsidR="00F80903" w:rsidRPr="00DD27C0" w:rsidRDefault="00F80903" w:rsidP="00F80903">
            <w:pPr>
              <w:rPr>
                <w:rFonts w:ascii="Garamond" w:hAnsi="Garamond" w:cs="Arial"/>
              </w:rPr>
            </w:pPr>
          </w:p>
          <w:p w14:paraId="4259859A" w14:textId="5F0DEEE0" w:rsidR="00B40DA5" w:rsidRPr="00DD27C0" w:rsidRDefault="00ED6F02" w:rsidP="00592B62">
            <w:pPr>
              <w:numPr>
                <w:ilvl w:val="0"/>
                <w:numId w:val="17"/>
              </w:numPr>
              <w:rPr>
                <w:rFonts w:ascii="Garamond" w:hAnsi="Garamond" w:cs="Arial"/>
              </w:rPr>
            </w:pPr>
            <w:r w:rsidRPr="00ED2711">
              <w:rPr>
                <w:rFonts w:ascii="Garamond" w:hAnsi="Garamond"/>
              </w:rPr>
              <w:t xml:space="preserve">les activités de </w:t>
            </w:r>
            <w:r w:rsidR="00F80903" w:rsidRPr="00ED2711">
              <w:rPr>
                <w:rFonts w:ascii="Garamond" w:hAnsi="Garamond"/>
              </w:rPr>
              <w:t>production de semences et</w:t>
            </w:r>
            <w:r w:rsidRPr="00ED2711">
              <w:rPr>
                <w:rFonts w:ascii="Garamond" w:hAnsi="Garamond"/>
              </w:rPr>
              <w:t xml:space="preserve"> </w:t>
            </w:r>
            <w:r w:rsidR="009E4527" w:rsidRPr="00ED2711">
              <w:rPr>
                <w:rFonts w:ascii="Garamond" w:hAnsi="Garamond"/>
              </w:rPr>
              <w:t>l</w:t>
            </w:r>
            <w:r w:rsidRPr="00262FB2">
              <w:rPr>
                <w:rFonts w:ascii="Garamond" w:hAnsi="Garamond"/>
              </w:rPr>
              <w:t>es cultures d’agroforesterie</w:t>
            </w:r>
            <w:r w:rsidR="0064056F" w:rsidRPr="00DD27C0">
              <w:rPr>
                <w:rFonts w:ascii="Garamond" w:hAnsi="Garamond"/>
              </w:rPr>
              <w:t xml:space="preserve"> (manguier et bananier)</w:t>
            </w:r>
            <w:r w:rsidR="00470832" w:rsidRPr="00DD27C0">
              <w:rPr>
                <w:rFonts w:ascii="Garamond" w:hAnsi="Garamond"/>
                <w:b/>
              </w:rPr>
              <w:t xml:space="preserve">, </w:t>
            </w:r>
            <w:r w:rsidR="00470832" w:rsidRPr="00DD27C0">
              <w:rPr>
                <w:rFonts w:ascii="Garamond" w:hAnsi="Garamond"/>
              </w:rPr>
              <w:t>vivrières</w:t>
            </w:r>
            <w:r w:rsidRPr="00DD27C0">
              <w:rPr>
                <w:rFonts w:ascii="Garamond" w:hAnsi="Garamond"/>
              </w:rPr>
              <w:t xml:space="preserve"> </w:t>
            </w:r>
            <w:r w:rsidR="0064056F" w:rsidRPr="00DD27C0">
              <w:rPr>
                <w:rFonts w:ascii="Garamond" w:hAnsi="Garamond"/>
              </w:rPr>
              <w:t xml:space="preserve">(mais, arachide, manioc, </w:t>
            </w:r>
            <w:proofErr w:type="spellStart"/>
            <w:r w:rsidR="0064056F" w:rsidRPr="00DD27C0">
              <w:rPr>
                <w:rFonts w:ascii="Garamond" w:hAnsi="Garamond"/>
              </w:rPr>
              <w:t>cassava</w:t>
            </w:r>
            <w:proofErr w:type="spellEnd"/>
            <w:r w:rsidR="0064056F" w:rsidRPr="00DD27C0">
              <w:rPr>
                <w:rFonts w:ascii="Garamond" w:hAnsi="Garamond"/>
              </w:rPr>
              <w:t>, etc…)</w:t>
            </w:r>
            <w:r w:rsidR="00F80903" w:rsidRPr="00DD27C0">
              <w:rPr>
                <w:rFonts w:ascii="Garamond" w:hAnsi="Garamond"/>
              </w:rPr>
              <w:t xml:space="preserve">, </w:t>
            </w:r>
            <w:r w:rsidRPr="00DD27C0">
              <w:rPr>
                <w:rFonts w:ascii="Garamond" w:hAnsi="Garamond"/>
              </w:rPr>
              <w:t xml:space="preserve">maraîchères </w:t>
            </w:r>
            <w:r w:rsidR="005F282A" w:rsidRPr="00DD27C0">
              <w:rPr>
                <w:rFonts w:ascii="Garamond" w:hAnsi="Garamond"/>
              </w:rPr>
              <w:t xml:space="preserve">(tomates, piment, aubergines, etc…) </w:t>
            </w:r>
            <w:r w:rsidR="0064056F" w:rsidRPr="00DD27C0">
              <w:rPr>
                <w:rFonts w:ascii="Garamond" w:hAnsi="Garamond"/>
              </w:rPr>
              <w:t xml:space="preserve">et des plantes fourragères </w:t>
            </w:r>
            <w:r w:rsidR="00F80903" w:rsidRPr="00DD27C0">
              <w:rPr>
                <w:rFonts w:ascii="Garamond" w:hAnsi="Garamond"/>
              </w:rPr>
              <w:t>(</w:t>
            </w:r>
            <w:r w:rsidR="0064056F" w:rsidRPr="00DD27C0">
              <w:rPr>
                <w:rFonts w:ascii="Garamond" w:hAnsi="Garamond"/>
              </w:rPr>
              <w:t>alimentation du bétail</w:t>
            </w:r>
            <w:r w:rsidR="00F80903" w:rsidRPr="00DD27C0">
              <w:rPr>
                <w:rFonts w:ascii="Garamond" w:hAnsi="Garamond"/>
              </w:rPr>
              <w:t>)</w:t>
            </w:r>
            <w:r w:rsidR="0064056F" w:rsidRPr="00DD27C0">
              <w:rPr>
                <w:rFonts w:ascii="Garamond" w:hAnsi="Garamond"/>
              </w:rPr>
              <w:t xml:space="preserve"> </w:t>
            </w:r>
            <w:r w:rsidRPr="00DD27C0">
              <w:rPr>
                <w:rFonts w:ascii="Garamond" w:hAnsi="Garamond"/>
              </w:rPr>
              <w:t xml:space="preserve">ont continué sur les 5 sites SBI </w:t>
            </w:r>
            <w:r w:rsidR="009E4527" w:rsidRPr="00DD27C0">
              <w:rPr>
                <w:rFonts w:ascii="Garamond" w:hAnsi="Garamond"/>
              </w:rPr>
              <w:t xml:space="preserve">sur </w:t>
            </w:r>
            <w:r w:rsidR="00F80903" w:rsidRPr="00DD27C0">
              <w:rPr>
                <w:rFonts w:ascii="Garamond" w:hAnsi="Garamond"/>
              </w:rPr>
              <w:t>l</w:t>
            </w:r>
            <w:r w:rsidRPr="00DD27C0">
              <w:rPr>
                <w:rFonts w:ascii="Garamond" w:hAnsi="Garamond"/>
              </w:rPr>
              <w:t>es plates-bandes</w:t>
            </w:r>
            <w:r w:rsidR="00B40DA5" w:rsidRPr="00DD27C0">
              <w:rPr>
                <w:rFonts w:ascii="Garamond" w:hAnsi="Garamond"/>
              </w:rPr>
              <w:t xml:space="preserve"> préparés par les Paysans Modèles encadrés par l’équipe de projet </w:t>
            </w:r>
          </w:p>
          <w:p w14:paraId="1E60308F" w14:textId="192EC3D7" w:rsidR="00ED6F02" w:rsidRPr="00DD27C0" w:rsidRDefault="00B40DA5" w:rsidP="00592B62">
            <w:pPr>
              <w:numPr>
                <w:ilvl w:val="0"/>
                <w:numId w:val="17"/>
              </w:numPr>
              <w:rPr>
                <w:rFonts w:ascii="Garamond" w:hAnsi="Garamond" w:cs="Arial"/>
              </w:rPr>
            </w:pPr>
            <w:r w:rsidRPr="00ED2711">
              <w:rPr>
                <w:rFonts w:ascii="Garamond" w:hAnsi="Garamond"/>
              </w:rPr>
              <w:t xml:space="preserve">les cultures </w:t>
            </w:r>
            <w:r w:rsidR="005F282A" w:rsidRPr="00ED2711">
              <w:rPr>
                <w:rFonts w:ascii="Garamond" w:hAnsi="Garamond"/>
              </w:rPr>
              <w:t xml:space="preserve">maraîchères </w:t>
            </w:r>
            <w:r w:rsidR="00ED6F02" w:rsidRPr="00ED2711">
              <w:rPr>
                <w:rFonts w:ascii="Garamond" w:hAnsi="Garamond"/>
              </w:rPr>
              <w:t xml:space="preserve">en sac, en pneu, en bois/vertical </w:t>
            </w:r>
            <w:r w:rsidR="008E528C">
              <w:rPr>
                <w:rFonts w:ascii="Garamond" w:hAnsi="Garamond"/>
              </w:rPr>
              <w:t>s</w:t>
            </w:r>
            <w:r w:rsidR="00ED6F02" w:rsidRPr="00ED2711">
              <w:rPr>
                <w:rFonts w:ascii="Garamond" w:hAnsi="Garamond"/>
              </w:rPr>
              <w:t xml:space="preserve">ont </w:t>
            </w:r>
            <w:r w:rsidR="0064056F" w:rsidRPr="00ED2711">
              <w:rPr>
                <w:rFonts w:ascii="Garamond" w:hAnsi="Garamond"/>
              </w:rPr>
              <w:t xml:space="preserve">mis en place et </w:t>
            </w:r>
            <w:r w:rsidR="005F282A" w:rsidRPr="00DD27C0">
              <w:rPr>
                <w:rFonts w:ascii="Garamond" w:hAnsi="Garamond"/>
              </w:rPr>
              <w:t xml:space="preserve">des produits agricoles </w:t>
            </w:r>
            <w:r w:rsidR="00A80921" w:rsidRPr="00DD27C0">
              <w:rPr>
                <w:rFonts w:ascii="Garamond" w:hAnsi="Garamond"/>
              </w:rPr>
              <w:t xml:space="preserve">diversifiés et de bonne qualité </w:t>
            </w:r>
            <w:r w:rsidR="00801C65" w:rsidRPr="00DD27C0">
              <w:rPr>
                <w:rFonts w:ascii="Garamond" w:hAnsi="Garamond"/>
              </w:rPr>
              <w:t xml:space="preserve"> sont cultivés </w:t>
            </w:r>
            <w:r w:rsidR="005F282A" w:rsidRPr="00DD27C0">
              <w:rPr>
                <w:rFonts w:ascii="Garamond" w:hAnsi="Garamond"/>
              </w:rPr>
              <w:t xml:space="preserve">tels que le chou, l’amarante et les carottes </w:t>
            </w:r>
            <w:r w:rsidR="00F45D1B" w:rsidRPr="00DD27C0">
              <w:rPr>
                <w:rFonts w:ascii="Garamond" w:hAnsi="Garamond"/>
              </w:rPr>
              <w:t xml:space="preserve">en utilisant les </w:t>
            </w:r>
            <w:proofErr w:type="spellStart"/>
            <w:r w:rsidR="00F45D1B" w:rsidRPr="00DD27C0">
              <w:rPr>
                <w:rFonts w:ascii="Garamond" w:hAnsi="Garamond"/>
              </w:rPr>
              <w:t>biofertilisants</w:t>
            </w:r>
            <w:proofErr w:type="spellEnd"/>
          </w:p>
          <w:p w14:paraId="1B746744" w14:textId="408F9D98" w:rsidR="000510CA" w:rsidRPr="00DD27C0" w:rsidRDefault="00441119" w:rsidP="002D538C">
            <w:pPr>
              <w:numPr>
                <w:ilvl w:val="0"/>
                <w:numId w:val="17"/>
              </w:numPr>
              <w:rPr>
                <w:rFonts w:ascii="Garamond" w:hAnsi="Garamond" w:cs="Arial"/>
              </w:rPr>
            </w:pPr>
            <w:r w:rsidRPr="00DD27C0">
              <w:rPr>
                <w:rFonts w:ascii="Garamond" w:hAnsi="Garamond" w:cs="Arial"/>
              </w:rPr>
              <w:t xml:space="preserve">des canaux d’eau ont été mis en place à </w:t>
            </w:r>
            <w:proofErr w:type="spellStart"/>
            <w:r w:rsidRPr="00DD27C0">
              <w:rPr>
                <w:rFonts w:ascii="Garamond" w:hAnsi="Garamond" w:cs="Arial"/>
              </w:rPr>
              <w:t>Kamanyola</w:t>
            </w:r>
            <w:proofErr w:type="spellEnd"/>
            <w:r w:rsidRPr="00DD27C0">
              <w:rPr>
                <w:rFonts w:ascii="Garamond" w:hAnsi="Garamond" w:cs="Arial"/>
              </w:rPr>
              <w:t xml:space="preserve"> et à </w:t>
            </w:r>
            <w:proofErr w:type="spellStart"/>
            <w:r w:rsidRPr="00DD27C0">
              <w:rPr>
                <w:rFonts w:ascii="Garamond" w:hAnsi="Garamond" w:cs="Arial"/>
              </w:rPr>
              <w:t>Walungu</w:t>
            </w:r>
            <w:proofErr w:type="spellEnd"/>
            <w:r w:rsidRPr="00DD27C0">
              <w:rPr>
                <w:rFonts w:ascii="Garamond" w:hAnsi="Garamond" w:cs="Arial"/>
              </w:rPr>
              <w:t xml:space="preserve"> pour permettre de faciliter l’accès à l’eau </w:t>
            </w:r>
            <w:r w:rsidR="00531997" w:rsidRPr="00DD27C0">
              <w:rPr>
                <w:rFonts w:ascii="Garamond" w:hAnsi="Garamond" w:cs="Arial"/>
              </w:rPr>
              <w:t xml:space="preserve">qui est </w:t>
            </w:r>
            <w:r w:rsidRPr="00DD27C0">
              <w:rPr>
                <w:rFonts w:ascii="Garamond" w:hAnsi="Garamond" w:cs="Arial"/>
              </w:rPr>
              <w:t xml:space="preserve">utilisée par les Paysans Modèles </w:t>
            </w:r>
            <w:r w:rsidR="00531997" w:rsidRPr="00DD27C0">
              <w:rPr>
                <w:rFonts w:ascii="Garamond" w:hAnsi="Garamond" w:cs="Arial"/>
              </w:rPr>
              <w:t xml:space="preserve">pour </w:t>
            </w:r>
            <w:r w:rsidRPr="00DD27C0">
              <w:rPr>
                <w:rFonts w:ascii="Garamond" w:hAnsi="Garamond" w:cs="Arial"/>
              </w:rPr>
              <w:t xml:space="preserve">la production agricole, l’alimentation du bétail et la préparation des </w:t>
            </w:r>
            <w:proofErr w:type="spellStart"/>
            <w:r w:rsidRPr="00DD27C0">
              <w:rPr>
                <w:rFonts w:ascii="Garamond" w:hAnsi="Garamond" w:cs="Arial"/>
              </w:rPr>
              <w:t>biofertilisants</w:t>
            </w:r>
            <w:proofErr w:type="spellEnd"/>
            <w:r w:rsidR="00D53F9B" w:rsidRPr="00DD27C0">
              <w:rPr>
                <w:rFonts w:ascii="Garamond" w:hAnsi="Garamond" w:cs="Arial"/>
              </w:rPr>
              <w:t xml:space="preserve"> grâce au </w:t>
            </w:r>
            <w:proofErr w:type="spellStart"/>
            <w:r w:rsidR="00D53F9B" w:rsidRPr="00DD27C0">
              <w:rPr>
                <w:rFonts w:ascii="Garamond" w:hAnsi="Garamond" w:cs="Arial"/>
              </w:rPr>
              <w:t>biodigesteur</w:t>
            </w:r>
            <w:proofErr w:type="spellEnd"/>
          </w:p>
          <w:p w14:paraId="08D78DED" w14:textId="5EEAED4B" w:rsidR="00B503EB" w:rsidRPr="00DD27C0" w:rsidRDefault="00B503EB" w:rsidP="00A657C4">
            <w:pPr>
              <w:numPr>
                <w:ilvl w:val="0"/>
                <w:numId w:val="17"/>
              </w:numPr>
              <w:rPr>
                <w:rFonts w:ascii="Garamond" w:hAnsi="Garamond" w:cs="Arial"/>
              </w:rPr>
            </w:pPr>
            <w:r w:rsidRPr="00DD27C0">
              <w:rPr>
                <w:rFonts w:ascii="Garamond" w:hAnsi="Garamond" w:cs="Arial"/>
              </w:rPr>
              <w:t xml:space="preserve">5 tracteurs ont été mis à disposition (un par site) par le Ministère de l’Agriculture provincial en appui au projet </w:t>
            </w:r>
            <w:r w:rsidR="00B53D62" w:rsidRPr="00DD27C0">
              <w:rPr>
                <w:rFonts w:ascii="Garamond" w:hAnsi="Garamond" w:cs="Arial"/>
              </w:rPr>
              <w:t xml:space="preserve">et à l’amélioration de la productivité agricole par les Paysans Modèles SBI et </w:t>
            </w:r>
            <w:r w:rsidR="00180D27">
              <w:rPr>
                <w:rFonts w:ascii="Garamond" w:hAnsi="Garamond" w:cs="Arial"/>
              </w:rPr>
              <w:t xml:space="preserve">par </w:t>
            </w:r>
            <w:r w:rsidR="00B53D62" w:rsidRPr="00DD27C0">
              <w:rPr>
                <w:rFonts w:ascii="Garamond" w:hAnsi="Garamond" w:cs="Arial"/>
              </w:rPr>
              <w:t>la communauté</w:t>
            </w:r>
            <w:r w:rsidR="00180D27">
              <w:rPr>
                <w:rFonts w:ascii="Garamond" w:hAnsi="Garamond" w:cs="Arial"/>
              </w:rPr>
              <w:t xml:space="preserve"> locale</w:t>
            </w:r>
          </w:p>
          <w:p w14:paraId="74357404" w14:textId="77777777" w:rsidR="00D9143D" w:rsidRPr="00DD27C0" w:rsidRDefault="00D9143D" w:rsidP="00D9143D">
            <w:pPr>
              <w:rPr>
                <w:rFonts w:ascii="Garamond" w:hAnsi="Garamond" w:cs="Arial"/>
              </w:rPr>
            </w:pPr>
          </w:p>
          <w:p w14:paraId="41B0BE1B" w14:textId="51FF1945" w:rsidR="00D9143D" w:rsidRPr="00DD27C0" w:rsidRDefault="00D9143D" w:rsidP="00D9143D">
            <w:pPr>
              <w:rPr>
                <w:rFonts w:ascii="Garamond" w:hAnsi="Garamond" w:cs="Arial"/>
                <w:b/>
              </w:rPr>
            </w:pPr>
            <w:r w:rsidRPr="00DD27C0">
              <w:rPr>
                <w:rFonts w:ascii="Garamond" w:hAnsi="Garamond" w:cs="Arial"/>
                <w:b/>
              </w:rPr>
              <w:t>Elevage :</w:t>
            </w:r>
          </w:p>
          <w:p w14:paraId="7539A441" w14:textId="61EAC972" w:rsidR="00ED6F02" w:rsidRPr="00DD27C0" w:rsidRDefault="00EF69F4" w:rsidP="00390B2F">
            <w:pPr>
              <w:numPr>
                <w:ilvl w:val="0"/>
                <w:numId w:val="17"/>
              </w:numPr>
              <w:rPr>
                <w:rFonts w:ascii="Garamond" w:hAnsi="Garamond" w:cs="Arial"/>
              </w:rPr>
            </w:pPr>
            <w:r w:rsidRPr="00DD27C0">
              <w:rPr>
                <w:rFonts w:ascii="Garamond" w:hAnsi="Garamond" w:cs="Arial"/>
              </w:rPr>
              <w:t>L’encadrement des</w:t>
            </w:r>
            <w:r w:rsidR="00ED6F02" w:rsidRPr="00DD27C0">
              <w:rPr>
                <w:rFonts w:ascii="Garamond" w:hAnsi="Garamond" w:cs="Arial"/>
              </w:rPr>
              <w:t xml:space="preserve"> </w:t>
            </w:r>
            <w:r w:rsidRPr="00DD27C0">
              <w:rPr>
                <w:rFonts w:ascii="Garamond" w:hAnsi="Garamond" w:cs="Arial"/>
              </w:rPr>
              <w:t>vaches et des bœufs</w:t>
            </w:r>
            <w:r w:rsidR="005304B5" w:rsidRPr="00DD27C0">
              <w:rPr>
                <w:rFonts w:ascii="Garamond" w:hAnsi="Garamond" w:cs="Arial"/>
              </w:rPr>
              <w:t xml:space="preserve"> </w:t>
            </w:r>
            <w:r w:rsidR="00415810" w:rsidRPr="00DD27C0">
              <w:rPr>
                <w:rFonts w:ascii="Garamond" w:hAnsi="Garamond" w:cs="Arial"/>
              </w:rPr>
              <w:t xml:space="preserve">par les vétérinaires </w:t>
            </w:r>
            <w:r w:rsidR="00ED6F02" w:rsidRPr="00DD27C0">
              <w:rPr>
                <w:rFonts w:ascii="Garamond" w:hAnsi="Garamond" w:cs="Arial"/>
              </w:rPr>
              <w:t>a été renforcée par l’achat</w:t>
            </w:r>
            <w:r w:rsidR="00390B2F" w:rsidRPr="00DD27C0">
              <w:rPr>
                <w:rFonts w:ascii="Garamond" w:hAnsi="Garamond" w:cs="Arial"/>
              </w:rPr>
              <w:t>,</w:t>
            </w:r>
            <w:r w:rsidR="00ED6F02" w:rsidRPr="00DD27C0">
              <w:rPr>
                <w:rFonts w:ascii="Garamond" w:hAnsi="Garamond" w:cs="Arial"/>
              </w:rPr>
              <w:t xml:space="preserve"> </w:t>
            </w:r>
            <w:r w:rsidR="00415810" w:rsidRPr="00DD27C0">
              <w:rPr>
                <w:rFonts w:ascii="Garamond" w:hAnsi="Garamond" w:cs="Arial"/>
              </w:rPr>
              <w:t xml:space="preserve">la distribution </w:t>
            </w:r>
            <w:r w:rsidR="00390B2F" w:rsidRPr="00DD27C0">
              <w:rPr>
                <w:rFonts w:ascii="Garamond" w:hAnsi="Garamond" w:cs="Arial"/>
              </w:rPr>
              <w:t xml:space="preserve">et l’application </w:t>
            </w:r>
            <w:r w:rsidR="00ED6F02" w:rsidRPr="00DD27C0">
              <w:rPr>
                <w:rFonts w:ascii="Garamond" w:hAnsi="Garamond" w:cs="Arial"/>
              </w:rPr>
              <w:t>de médicaments</w:t>
            </w:r>
            <w:r w:rsidR="00357681" w:rsidRPr="00DD27C0">
              <w:rPr>
                <w:rFonts w:ascii="Garamond" w:hAnsi="Garamond" w:cs="Arial"/>
              </w:rPr>
              <w:t xml:space="preserve"> </w:t>
            </w:r>
            <w:r w:rsidR="00137D6E" w:rsidRPr="00DD27C0">
              <w:rPr>
                <w:rFonts w:ascii="Garamond" w:hAnsi="Garamond" w:cs="Arial"/>
              </w:rPr>
              <w:t xml:space="preserve">ainsi que </w:t>
            </w:r>
            <w:r w:rsidR="00A34A7D" w:rsidRPr="00DD27C0">
              <w:rPr>
                <w:rFonts w:ascii="Garamond" w:hAnsi="Garamond" w:cs="Arial"/>
              </w:rPr>
              <w:t>l</w:t>
            </w:r>
            <w:r w:rsidR="00F773A6" w:rsidRPr="00DD27C0">
              <w:rPr>
                <w:rFonts w:ascii="Garamond" w:hAnsi="Garamond" w:cs="Arial"/>
              </w:rPr>
              <w:t xml:space="preserve">’élevage en stabulation </w:t>
            </w:r>
            <w:r w:rsidR="00A34A7D" w:rsidRPr="00DD27C0">
              <w:rPr>
                <w:rFonts w:ascii="Garamond" w:hAnsi="Garamond" w:cs="Arial"/>
              </w:rPr>
              <w:t>pratiquée</w:t>
            </w:r>
            <w:r w:rsidR="00F773A6" w:rsidRPr="00DD27C0">
              <w:rPr>
                <w:rFonts w:ascii="Garamond" w:hAnsi="Garamond" w:cs="Arial"/>
              </w:rPr>
              <w:t xml:space="preserve"> </w:t>
            </w:r>
            <w:r w:rsidR="002E0493" w:rsidRPr="00DD27C0">
              <w:rPr>
                <w:rFonts w:ascii="Garamond" w:hAnsi="Garamond" w:cs="Arial"/>
              </w:rPr>
              <w:t xml:space="preserve">sur </w:t>
            </w:r>
            <w:r w:rsidR="002E0493" w:rsidRPr="00DD27C0">
              <w:rPr>
                <w:rFonts w:ascii="Garamond" w:hAnsi="Garamond" w:cs="Arial"/>
              </w:rPr>
              <w:lastRenderedPageBreak/>
              <w:t xml:space="preserve">tous les 5 sites </w:t>
            </w:r>
          </w:p>
          <w:p w14:paraId="394E41C4" w14:textId="371D6103" w:rsidR="00A808CC" w:rsidRPr="00DD27C0" w:rsidRDefault="00A808CC" w:rsidP="00ED1D32">
            <w:pPr>
              <w:numPr>
                <w:ilvl w:val="0"/>
                <w:numId w:val="17"/>
              </w:numPr>
              <w:rPr>
                <w:rFonts w:ascii="Garamond" w:hAnsi="Garamond" w:cs="Arial"/>
              </w:rPr>
            </w:pPr>
            <w:r w:rsidRPr="00DD27C0">
              <w:rPr>
                <w:rFonts w:ascii="Garamond" w:hAnsi="Garamond" w:cs="Arial"/>
              </w:rPr>
              <w:t xml:space="preserve">Une enquête a été initiée sur l’opportunité de commercialisation du lait produits par les </w:t>
            </w:r>
            <w:r w:rsidR="00137D6E" w:rsidRPr="00DD27C0">
              <w:rPr>
                <w:rFonts w:ascii="Garamond" w:hAnsi="Garamond" w:cs="Arial"/>
              </w:rPr>
              <w:t xml:space="preserve">52 </w:t>
            </w:r>
            <w:r w:rsidRPr="00DD27C0">
              <w:rPr>
                <w:rFonts w:ascii="Garamond" w:hAnsi="Garamond" w:cs="Arial"/>
              </w:rPr>
              <w:t>vaches en tant qu’activités génératrice de revenu</w:t>
            </w:r>
            <w:r w:rsidR="00137D6E" w:rsidRPr="00DD27C0">
              <w:rPr>
                <w:rFonts w:ascii="Garamond" w:hAnsi="Garamond" w:cs="Arial"/>
              </w:rPr>
              <w:t xml:space="preserve"> pour les Paysans Modèles</w:t>
            </w:r>
          </w:p>
          <w:p w14:paraId="35C3D84D" w14:textId="073EF36F" w:rsidR="00001074" w:rsidRPr="00DD27C0" w:rsidRDefault="00001074" w:rsidP="00ED1D32">
            <w:pPr>
              <w:numPr>
                <w:ilvl w:val="0"/>
                <w:numId w:val="17"/>
              </w:numPr>
              <w:rPr>
                <w:rFonts w:ascii="Garamond" w:hAnsi="Garamond" w:cs="Arial"/>
              </w:rPr>
            </w:pPr>
            <w:r w:rsidRPr="00DD27C0">
              <w:rPr>
                <w:rFonts w:ascii="Garamond" w:hAnsi="Garamond" w:cs="Arial"/>
              </w:rPr>
              <w:t>6 veau</w:t>
            </w:r>
            <w:r w:rsidR="00F10201" w:rsidRPr="00DD27C0">
              <w:rPr>
                <w:rFonts w:ascii="Garamond" w:hAnsi="Garamond" w:cs="Arial"/>
              </w:rPr>
              <w:t>x</w:t>
            </w:r>
            <w:r w:rsidRPr="00DD27C0">
              <w:rPr>
                <w:rFonts w:ascii="Garamond" w:hAnsi="Garamond" w:cs="Arial"/>
              </w:rPr>
              <w:t xml:space="preserve"> sont nés </w:t>
            </w:r>
            <w:r w:rsidR="00F10201" w:rsidRPr="00DD27C0">
              <w:rPr>
                <w:rFonts w:ascii="Garamond" w:hAnsi="Garamond" w:cs="Arial"/>
              </w:rPr>
              <w:t xml:space="preserve">renforçant </w:t>
            </w:r>
            <w:r w:rsidRPr="00DD27C0">
              <w:rPr>
                <w:rFonts w:ascii="Garamond" w:hAnsi="Garamond" w:cs="Arial"/>
              </w:rPr>
              <w:t xml:space="preserve">la production de </w:t>
            </w:r>
            <w:proofErr w:type="spellStart"/>
            <w:r w:rsidRPr="00DD27C0">
              <w:rPr>
                <w:rFonts w:ascii="Garamond" w:hAnsi="Garamond" w:cs="Arial"/>
              </w:rPr>
              <w:t>biogas</w:t>
            </w:r>
            <w:proofErr w:type="spellEnd"/>
            <w:r w:rsidR="00BB0457" w:rsidRPr="00DD27C0">
              <w:rPr>
                <w:rFonts w:ascii="Garamond" w:hAnsi="Garamond" w:cs="Arial"/>
              </w:rPr>
              <w:t xml:space="preserve"> et l’élevage</w:t>
            </w:r>
          </w:p>
          <w:p w14:paraId="6FC1256A" w14:textId="77777777" w:rsidR="003F7095" w:rsidRPr="00DD27C0" w:rsidRDefault="003F7095" w:rsidP="003F7095">
            <w:pPr>
              <w:rPr>
                <w:rFonts w:ascii="Garamond" w:hAnsi="Garamond" w:cs="Arial"/>
              </w:rPr>
            </w:pPr>
          </w:p>
          <w:p w14:paraId="316D636B" w14:textId="1FE0C2BF" w:rsidR="006F7616" w:rsidRPr="00DD27C0" w:rsidRDefault="00D9143D" w:rsidP="003A7483">
            <w:pPr>
              <w:rPr>
                <w:rFonts w:ascii="Garamond" w:hAnsi="Garamond" w:cs="Arial"/>
                <w:b/>
              </w:rPr>
            </w:pPr>
            <w:r w:rsidRPr="00DD27C0">
              <w:rPr>
                <w:rFonts w:ascii="Garamond" w:hAnsi="Garamond" w:cs="Arial"/>
                <w:b/>
              </w:rPr>
              <w:t>Activités génératrice de revenus :</w:t>
            </w:r>
          </w:p>
          <w:p w14:paraId="216B6438" w14:textId="6E831A1C" w:rsidR="00833CBE" w:rsidRPr="00DD27C0" w:rsidRDefault="00833CBE" w:rsidP="00833CBE">
            <w:pPr>
              <w:numPr>
                <w:ilvl w:val="0"/>
                <w:numId w:val="17"/>
              </w:numPr>
              <w:rPr>
                <w:rFonts w:ascii="Garamond" w:hAnsi="Garamond" w:cs="Arial"/>
              </w:rPr>
            </w:pPr>
            <w:r w:rsidRPr="00ED2711">
              <w:rPr>
                <w:rFonts w:ascii="Garamond" w:hAnsi="Garamond"/>
              </w:rPr>
              <w:t xml:space="preserve">les </w:t>
            </w:r>
            <w:proofErr w:type="spellStart"/>
            <w:r w:rsidRPr="00ED2711">
              <w:rPr>
                <w:rFonts w:ascii="Garamond" w:hAnsi="Garamond"/>
              </w:rPr>
              <w:t>biofertilisants</w:t>
            </w:r>
            <w:proofErr w:type="spellEnd"/>
            <w:r w:rsidRPr="00ED2711">
              <w:rPr>
                <w:rFonts w:ascii="Garamond" w:hAnsi="Garamond"/>
              </w:rPr>
              <w:t xml:space="preserve"> (produits par le </w:t>
            </w:r>
            <w:proofErr w:type="spellStart"/>
            <w:r w:rsidRPr="00ED2711">
              <w:rPr>
                <w:rFonts w:ascii="Garamond" w:hAnsi="Garamond"/>
              </w:rPr>
              <w:t>biodigesteur</w:t>
            </w:r>
            <w:proofErr w:type="spellEnd"/>
            <w:r w:rsidRPr="00ED2711">
              <w:rPr>
                <w:rFonts w:ascii="Garamond" w:hAnsi="Garamond"/>
              </w:rPr>
              <w:t xml:space="preserve">) et les produits agricoles (produits en utilisant les </w:t>
            </w:r>
            <w:proofErr w:type="spellStart"/>
            <w:r w:rsidRPr="00ED2711">
              <w:rPr>
                <w:rFonts w:ascii="Garamond" w:hAnsi="Garamond"/>
              </w:rPr>
              <w:t>biofertilisants</w:t>
            </w:r>
            <w:proofErr w:type="spellEnd"/>
            <w:r w:rsidRPr="00ED2711">
              <w:rPr>
                <w:rFonts w:ascii="Garamond" w:hAnsi="Garamond"/>
              </w:rPr>
              <w:t>) sont soit partagés entre les Paysans Modèles qui les ont produi</w:t>
            </w:r>
            <w:r w:rsidR="00034DD6">
              <w:rPr>
                <w:rFonts w:ascii="Garamond" w:hAnsi="Garamond"/>
              </w:rPr>
              <w:t>t</w:t>
            </w:r>
            <w:r w:rsidRPr="00ED2711">
              <w:rPr>
                <w:rFonts w:ascii="Garamond" w:hAnsi="Garamond"/>
              </w:rPr>
              <w:t xml:space="preserve"> soit vendus à la communauté et dans le marché local pour générer des revenues</w:t>
            </w:r>
            <w:r w:rsidR="008C2968" w:rsidRPr="00ED2711">
              <w:rPr>
                <w:rFonts w:ascii="Garamond" w:hAnsi="Garamond"/>
              </w:rPr>
              <w:t xml:space="preserve"> </w:t>
            </w:r>
          </w:p>
          <w:p w14:paraId="1E4ACC29" w14:textId="1A146EB9" w:rsidR="00821A91" w:rsidRPr="00DD27C0" w:rsidRDefault="00833CBE" w:rsidP="00E13ACC">
            <w:pPr>
              <w:numPr>
                <w:ilvl w:val="0"/>
                <w:numId w:val="17"/>
              </w:numPr>
              <w:rPr>
                <w:rFonts w:ascii="Garamond" w:hAnsi="Garamond" w:cs="Arial"/>
              </w:rPr>
            </w:pPr>
            <w:r w:rsidRPr="00ED2711">
              <w:rPr>
                <w:rFonts w:ascii="Garamond" w:hAnsi="Garamond"/>
              </w:rPr>
              <w:t xml:space="preserve">par </w:t>
            </w:r>
            <w:proofErr w:type="spellStart"/>
            <w:r w:rsidRPr="00ED2711">
              <w:rPr>
                <w:rFonts w:ascii="Garamond" w:hAnsi="Garamond"/>
              </w:rPr>
              <w:t>example</w:t>
            </w:r>
            <w:proofErr w:type="spellEnd"/>
            <w:r w:rsidRPr="00ED2711">
              <w:rPr>
                <w:rFonts w:ascii="Garamond" w:hAnsi="Garamond"/>
              </w:rPr>
              <w:t>, à</w:t>
            </w:r>
            <w:r w:rsidR="00821A91" w:rsidRPr="00ED2711">
              <w:rPr>
                <w:rFonts w:ascii="Garamond" w:hAnsi="Garamond"/>
              </w:rPr>
              <w:t xml:space="preserve"> </w:t>
            </w:r>
            <w:proofErr w:type="spellStart"/>
            <w:r w:rsidR="00821A91" w:rsidRPr="00ED2711">
              <w:rPr>
                <w:rFonts w:ascii="Garamond" w:hAnsi="Garamond"/>
              </w:rPr>
              <w:t>Mushweshwe</w:t>
            </w:r>
            <w:proofErr w:type="spellEnd"/>
            <w:r w:rsidR="00821A91" w:rsidRPr="00ED2711">
              <w:rPr>
                <w:rFonts w:ascii="Garamond" w:hAnsi="Garamond"/>
              </w:rPr>
              <w:t xml:space="preserve">, des produits agricoles récoltés sur le site tels que le sorgho, petit haricot, oignons, manioc, maïs, patates douces, soja, amarante, ont été démontrés lors de la mission. </w:t>
            </w:r>
            <w:r w:rsidR="0039255F">
              <w:rPr>
                <w:rFonts w:ascii="Garamond" w:hAnsi="Garamond"/>
              </w:rPr>
              <w:t xml:space="preserve">Parmi les Paysans Modèles, certains </w:t>
            </w:r>
            <w:r w:rsidR="00F727D5" w:rsidRPr="0039255F">
              <w:rPr>
                <w:rFonts w:ascii="Garamond" w:hAnsi="Garamond"/>
              </w:rPr>
              <w:t xml:space="preserve">sont déjà formés et ont été sollicités par les habitants du village pour construire des </w:t>
            </w:r>
            <w:proofErr w:type="spellStart"/>
            <w:r w:rsidR="00F727D5" w:rsidRPr="0039255F">
              <w:rPr>
                <w:rFonts w:ascii="Garamond" w:hAnsi="Garamond"/>
              </w:rPr>
              <w:t>biodigesteur</w:t>
            </w:r>
            <w:proofErr w:type="spellEnd"/>
            <w:r w:rsidR="00F727D5" w:rsidRPr="0039255F">
              <w:rPr>
                <w:rFonts w:ascii="Garamond" w:hAnsi="Garamond"/>
              </w:rPr>
              <w:t xml:space="preserve"> au niveau </w:t>
            </w:r>
            <w:r w:rsidR="005507D8">
              <w:rPr>
                <w:rFonts w:ascii="Garamond" w:hAnsi="Garamond"/>
              </w:rPr>
              <w:t>des ménages</w:t>
            </w:r>
            <w:r w:rsidR="005507D8" w:rsidRPr="0039255F">
              <w:rPr>
                <w:rFonts w:ascii="Garamond" w:hAnsi="Garamond"/>
              </w:rPr>
              <w:t xml:space="preserve"> </w:t>
            </w:r>
            <w:r w:rsidR="00C04BA3" w:rsidRPr="0039255F">
              <w:rPr>
                <w:rFonts w:ascii="Garamond" w:hAnsi="Garamond"/>
              </w:rPr>
              <w:t xml:space="preserve">afin d’initier le processus de production de </w:t>
            </w:r>
            <w:proofErr w:type="spellStart"/>
            <w:r w:rsidR="00C04BA3" w:rsidRPr="0039255F">
              <w:rPr>
                <w:rFonts w:ascii="Garamond" w:hAnsi="Garamond"/>
              </w:rPr>
              <w:t>biogas</w:t>
            </w:r>
            <w:proofErr w:type="spellEnd"/>
            <w:r w:rsidR="00C04BA3" w:rsidRPr="0039255F">
              <w:rPr>
                <w:rFonts w:ascii="Garamond" w:hAnsi="Garamond"/>
              </w:rPr>
              <w:t>, de</w:t>
            </w:r>
            <w:r w:rsidR="005E73C5" w:rsidRPr="0039255F">
              <w:rPr>
                <w:rFonts w:ascii="Garamond" w:hAnsi="Garamond"/>
              </w:rPr>
              <w:t xml:space="preserve"> </w:t>
            </w:r>
            <w:proofErr w:type="spellStart"/>
            <w:r w:rsidR="005E73C5" w:rsidRPr="0039255F">
              <w:rPr>
                <w:rFonts w:ascii="Garamond" w:hAnsi="Garamond"/>
              </w:rPr>
              <w:t>biofertilisants</w:t>
            </w:r>
            <w:proofErr w:type="spellEnd"/>
            <w:r w:rsidR="00110B51" w:rsidRPr="0039255F">
              <w:rPr>
                <w:rFonts w:ascii="Garamond" w:hAnsi="Garamond"/>
              </w:rPr>
              <w:t>, de produits agricole</w:t>
            </w:r>
            <w:r w:rsidR="005E73C5" w:rsidRPr="0039255F">
              <w:rPr>
                <w:rFonts w:ascii="Garamond" w:hAnsi="Garamond"/>
              </w:rPr>
              <w:t xml:space="preserve"> ainsi que l’éclairage et la cuisson à </w:t>
            </w:r>
            <w:r w:rsidR="00110B51" w:rsidRPr="0039255F">
              <w:rPr>
                <w:rFonts w:ascii="Garamond" w:hAnsi="Garamond"/>
              </w:rPr>
              <w:t xml:space="preserve">base de </w:t>
            </w:r>
            <w:proofErr w:type="spellStart"/>
            <w:r w:rsidR="005E73C5" w:rsidRPr="0039255F">
              <w:rPr>
                <w:rFonts w:ascii="Garamond" w:hAnsi="Garamond"/>
              </w:rPr>
              <w:t>biogas</w:t>
            </w:r>
            <w:proofErr w:type="spellEnd"/>
            <w:r w:rsidR="005E73C5" w:rsidRPr="0039255F">
              <w:rPr>
                <w:rFonts w:ascii="Garamond" w:hAnsi="Garamond"/>
              </w:rPr>
              <w:t xml:space="preserve"> </w:t>
            </w:r>
            <w:r w:rsidR="002633B7" w:rsidRPr="0039255F">
              <w:rPr>
                <w:rFonts w:ascii="Garamond" w:hAnsi="Garamond"/>
              </w:rPr>
              <w:t xml:space="preserve">au niveau </w:t>
            </w:r>
            <w:r w:rsidR="005507D8">
              <w:rPr>
                <w:rFonts w:ascii="Garamond" w:hAnsi="Garamond"/>
              </w:rPr>
              <w:t xml:space="preserve">familiale </w:t>
            </w:r>
            <w:r w:rsidR="005E73C5" w:rsidRPr="0039255F">
              <w:rPr>
                <w:rFonts w:ascii="Garamond" w:hAnsi="Garamond"/>
              </w:rPr>
              <w:t xml:space="preserve">grâce </w:t>
            </w:r>
            <w:r w:rsidR="00110B51" w:rsidRPr="0039255F">
              <w:rPr>
                <w:rFonts w:ascii="Garamond" w:hAnsi="Garamond"/>
              </w:rPr>
              <w:t xml:space="preserve">au </w:t>
            </w:r>
            <w:proofErr w:type="spellStart"/>
            <w:r w:rsidR="005E73C5" w:rsidRPr="0039255F">
              <w:rPr>
                <w:rFonts w:ascii="Garamond" w:hAnsi="Garamond"/>
              </w:rPr>
              <w:t>biodigesteur</w:t>
            </w:r>
            <w:proofErr w:type="spellEnd"/>
            <w:r w:rsidR="00F727D5" w:rsidRPr="0039255F">
              <w:rPr>
                <w:rFonts w:ascii="Garamond" w:hAnsi="Garamond"/>
              </w:rPr>
              <w:t>.</w:t>
            </w:r>
          </w:p>
          <w:p w14:paraId="6A4EA7BF" w14:textId="3286ACEC" w:rsidR="008C2968" w:rsidRPr="00DD27C0" w:rsidRDefault="003063A4" w:rsidP="00C77240">
            <w:pPr>
              <w:numPr>
                <w:ilvl w:val="0"/>
                <w:numId w:val="17"/>
              </w:numPr>
              <w:rPr>
                <w:rFonts w:ascii="Garamond" w:hAnsi="Garamond" w:cs="Arial"/>
              </w:rPr>
            </w:pPr>
            <w:r w:rsidRPr="00ED2711">
              <w:rPr>
                <w:rFonts w:ascii="Garamond" w:hAnsi="Garamond"/>
              </w:rPr>
              <w:t>Pareillement</w:t>
            </w:r>
            <w:r w:rsidR="00833CBE" w:rsidRPr="00ED2711">
              <w:rPr>
                <w:rFonts w:ascii="Garamond" w:hAnsi="Garamond"/>
              </w:rPr>
              <w:t>, à</w:t>
            </w:r>
            <w:r w:rsidR="00821A91" w:rsidRPr="00ED2711">
              <w:rPr>
                <w:rFonts w:ascii="Garamond" w:hAnsi="Garamond"/>
              </w:rPr>
              <w:t xml:space="preserve"> </w:t>
            </w:r>
            <w:proofErr w:type="spellStart"/>
            <w:r w:rsidR="00821A91" w:rsidRPr="00ED2711">
              <w:rPr>
                <w:rFonts w:ascii="Garamond" w:hAnsi="Garamond"/>
              </w:rPr>
              <w:t>Walungu</w:t>
            </w:r>
            <w:proofErr w:type="spellEnd"/>
            <w:r w:rsidR="00821A91" w:rsidRPr="00ED2711">
              <w:rPr>
                <w:rFonts w:ascii="Garamond" w:hAnsi="Garamond"/>
              </w:rPr>
              <w:t>, de leur propre initiative, les 50 Paysans Modèles ont aménagé un espace de cultures maraîchères communautaire ou chacun réplique, à côté du Site SBI, les techniques de production agricole. Ceci leur permet d’appliquer et de répliquer rapidement l</w:t>
            </w:r>
            <w:r w:rsidR="00821A91" w:rsidRPr="00DD27C0">
              <w:rPr>
                <w:rFonts w:ascii="Garamond" w:hAnsi="Garamond"/>
              </w:rPr>
              <w:t xml:space="preserve">es techniques sans aller très loin dans les champs et de générer des revenues. Par exemple, sur chaque plate-bande de 20mx6m par paysan, 1m2 génère $1 donc les revenues ont pu </w:t>
            </w:r>
            <w:r w:rsidR="00821A91" w:rsidRPr="00DD27C0">
              <w:rPr>
                <w:rFonts w:ascii="Garamond" w:hAnsi="Garamond"/>
              </w:rPr>
              <w:lastRenderedPageBreak/>
              <w:t>augment</w:t>
            </w:r>
            <w:r>
              <w:rPr>
                <w:rFonts w:ascii="Garamond" w:hAnsi="Garamond"/>
              </w:rPr>
              <w:t>é</w:t>
            </w:r>
            <w:r w:rsidR="00821A91" w:rsidRPr="00DD27C0">
              <w:rPr>
                <w:rFonts w:ascii="Garamond" w:hAnsi="Garamond"/>
              </w:rPr>
              <w:t xml:space="preserve"> par $120 par paysan par récolte. Ils envisagent donc de devenir économiquement indépendant  dans très peu de temps.</w:t>
            </w:r>
          </w:p>
          <w:p w14:paraId="133F3D9B" w14:textId="1C188E7D" w:rsidR="007522D1" w:rsidRPr="00DD27C0" w:rsidRDefault="008C2968" w:rsidP="00C77240">
            <w:pPr>
              <w:numPr>
                <w:ilvl w:val="0"/>
                <w:numId w:val="17"/>
              </w:numPr>
              <w:rPr>
                <w:rFonts w:ascii="Garamond" w:hAnsi="Garamond" w:cs="Arial"/>
              </w:rPr>
            </w:pPr>
            <w:r w:rsidRPr="00ED2711">
              <w:rPr>
                <w:rFonts w:ascii="Garamond" w:hAnsi="Garamond"/>
              </w:rPr>
              <w:t xml:space="preserve">Les prochaines activités se focaliseront sur </w:t>
            </w:r>
            <w:r w:rsidR="00EB6586" w:rsidRPr="00ED2711">
              <w:rPr>
                <w:rFonts w:ascii="Garamond" w:hAnsi="Garamond"/>
              </w:rPr>
              <w:t xml:space="preserve">(i) </w:t>
            </w:r>
            <w:r w:rsidR="00B809C1" w:rsidRPr="00ED2711">
              <w:rPr>
                <w:rFonts w:ascii="Garamond" w:hAnsi="Garamond"/>
              </w:rPr>
              <w:t>la création de partenariat avec les fermes commerciales et les marchés locales</w:t>
            </w:r>
            <w:r w:rsidR="00EB6586" w:rsidRPr="00DD27C0">
              <w:rPr>
                <w:rFonts w:ascii="Garamond" w:hAnsi="Garamond"/>
              </w:rPr>
              <w:t xml:space="preserve"> ; </w:t>
            </w:r>
            <w:r w:rsidR="00B809C1" w:rsidRPr="00DD27C0">
              <w:rPr>
                <w:rFonts w:ascii="Garamond" w:hAnsi="Garamond"/>
              </w:rPr>
              <w:t xml:space="preserve"> </w:t>
            </w:r>
            <w:r w:rsidR="00EB6586" w:rsidRPr="00DD27C0">
              <w:rPr>
                <w:rFonts w:ascii="Garamond" w:hAnsi="Garamond"/>
              </w:rPr>
              <w:t xml:space="preserve">(ii) </w:t>
            </w:r>
            <w:r w:rsidRPr="00DD27C0">
              <w:rPr>
                <w:rFonts w:ascii="Garamond" w:hAnsi="Garamond"/>
              </w:rPr>
              <w:t>le renforcement des capacités de gestion du Site SBI de chacun des 5 villages par 250 Paysans Modèles groupés en 5 Coopératives Paysannes de 10 membres (kit</w:t>
            </w:r>
            <w:r w:rsidR="00DF1BEA">
              <w:rPr>
                <w:rFonts w:ascii="Garamond" w:hAnsi="Garamond"/>
              </w:rPr>
              <w:t>s</w:t>
            </w:r>
            <w:r w:rsidRPr="00DD27C0">
              <w:rPr>
                <w:rFonts w:ascii="Garamond" w:hAnsi="Garamond"/>
              </w:rPr>
              <w:t xml:space="preserve"> de production agricole, mécanisme d</w:t>
            </w:r>
            <w:r w:rsidR="00DF1BEA">
              <w:rPr>
                <w:rFonts w:ascii="Garamond" w:hAnsi="Garamond"/>
              </w:rPr>
              <w:t xml:space="preserve">e collecte, de tri et de </w:t>
            </w:r>
            <w:r w:rsidRPr="00DD27C0">
              <w:rPr>
                <w:rFonts w:ascii="Garamond" w:hAnsi="Garamond"/>
              </w:rPr>
              <w:t xml:space="preserve">transport de déchets, mise en sac et distribution du </w:t>
            </w:r>
            <w:proofErr w:type="spellStart"/>
            <w:r w:rsidRPr="00DD27C0">
              <w:rPr>
                <w:rFonts w:ascii="Garamond" w:hAnsi="Garamond"/>
              </w:rPr>
              <w:t>biofertilisants</w:t>
            </w:r>
            <w:proofErr w:type="spellEnd"/>
            <w:r w:rsidRPr="00DD27C0">
              <w:rPr>
                <w:rFonts w:ascii="Garamond" w:hAnsi="Garamond"/>
              </w:rPr>
              <w:t xml:space="preserve">, ventes de </w:t>
            </w:r>
            <w:proofErr w:type="spellStart"/>
            <w:r w:rsidRPr="00DD27C0">
              <w:rPr>
                <w:rFonts w:ascii="Garamond" w:hAnsi="Garamond"/>
              </w:rPr>
              <w:t>biofertilisants</w:t>
            </w:r>
            <w:proofErr w:type="spellEnd"/>
            <w:r w:rsidRPr="00DD27C0">
              <w:rPr>
                <w:rFonts w:ascii="Garamond" w:hAnsi="Garamond"/>
              </w:rPr>
              <w:t xml:space="preserve"> et de produits agricoles, </w:t>
            </w:r>
            <w:r w:rsidR="00EB6586" w:rsidRPr="00DD27C0">
              <w:rPr>
                <w:rFonts w:ascii="Garamond" w:hAnsi="Garamond" w:cs="Arial"/>
              </w:rPr>
              <w:t xml:space="preserve">gestion des activités génératrices de revenues, élevage, construction de </w:t>
            </w:r>
            <w:proofErr w:type="spellStart"/>
            <w:r w:rsidR="00EB6586" w:rsidRPr="00DD27C0">
              <w:rPr>
                <w:rFonts w:ascii="Garamond" w:hAnsi="Garamond" w:cs="Arial"/>
              </w:rPr>
              <w:t>biodigesteur</w:t>
            </w:r>
            <w:proofErr w:type="spellEnd"/>
            <w:r w:rsidR="00EB6586" w:rsidRPr="00DD27C0">
              <w:rPr>
                <w:rFonts w:ascii="Garamond" w:hAnsi="Garamond" w:cs="Arial"/>
              </w:rPr>
              <w:t>, etc…</w:t>
            </w:r>
            <w:r w:rsidR="00A667E2" w:rsidRPr="00ED2711">
              <w:rPr>
                <w:rFonts w:ascii="Garamond" w:hAnsi="Garamond"/>
              </w:rPr>
              <w:t>)</w:t>
            </w:r>
          </w:p>
          <w:p w14:paraId="3B824EED" w14:textId="5C8F3AB0" w:rsidR="000D6EA3" w:rsidRPr="00DD27C0" w:rsidRDefault="000D6EA3" w:rsidP="00B85C61">
            <w:pPr>
              <w:ind w:left="360"/>
              <w:rPr>
                <w:rFonts w:ascii="Garamond" w:hAnsi="Garamond" w:cs="Arial"/>
              </w:rPr>
            </w:pPr>
          </w:p>
        </w:tc>
        <w:tc>
          <w:tcPr>
            <w:tcW w:w="3244" w:type="dxa"/>
          </w:tcPr>
          <w:p w14:paraId="549ECDC0" w14:textId="24BC2E1A" w:rsidR="00B22674" w:rsidRPr="00ED2711" w:rsidRDefault="00716C54" w:rsidP="003F182F">
            <w:pPr>
              <w:rPr>
                <w:rFonts w:ascii="Garamond" w:hAnsi="Garamond" w:cs="Arial"/>
              </w:rPr>
            </w:pPr>
            <w:r w:rsidRPr="00ED2711">
              <w:rPr>
                <w:rFonts w:ascii="Garamond" w:hAnsi="Garamond" w:cs="Arial"/>
                <w:b/>
              </w:rPr>
              <w:lastRenderedPageBreak/>
              <w:t>Contrainte(s)</w:t>
            </w:r>
            <w:r w:rsidRPr="00ED2711">
              <w:rPr>
                <w:rFonts w:ascii="Garamond" w:hAnsi="Garamond" w:cs="Arial"/>
              </w:rPr>
              <w:t> : </w:t>
            </w:r>
          </w:p>
          <w:p w14:paraId="46C15F93" w14:textId="77777777" w:rsidR="00147F0E" w:rsidRPr="00A20667" w:rsidRDefault="00147F0E" w:rsidP="003F182F">
            <w:pPr>
              <w:rPr>
                <w:rFonts w:ascii="Garamond" w:hAnsi="Garamond" w:cs="Arial"/>
              </w:rPr>
            </w:pPr>
          </w:p>
          <w:p w14:paraId="037C66B8" w14:textId="42049B90" w:rsidR="00147F0E" w:rsidRPr="00DD27C0" w:rsidRDefault="00592B62" w:rsidP="003F182F">
            <w:pPr>
              <w:rPr>
                <w:rFonts w:ascii="Garamond" w:hAnsi="Garamond" w:cs="Arial"/>
              </w:rPr>
            </w:pPr>
            <w:r w:rsidRPr="00DD27C0">
              <w:rPr>
                <w:rFonts w:ascii="Garamond" w:hAnsi="Garamond" w:cs="Arial"/>
              </w:rPr>
              <w:t>A cause de la séparation du projet de l</w:t>
            </w:r>
            <w:r w:rsidR="004F03AC" w:rsidRPr="00DD27C0">
              <w:rPr>
                <w:rFonts w:ascii="Garamond" w:hAnsi="Garamond" w:cs="Arial"/>
              </w:rPr>
              <w:t xml:space="preserve">’Expert </w:t>
            </w:r>
            <w:r w:rsidRPr="00DD27C0">
              <w:rPr>
                <w:rFonts w:ascii="Garamond" w:hAnsi="Garamond" w:cs="Arial"/>
              </w:rPr>
              <w:t xml:space="preserve">en recherche de connaissances et apprentissage, l’analyse et le rapport de l’étude socioéconomique </w:t>
            </w:r>
            <w:r w:rsidR="00BC2C7C" w:rsidRPr="00DD27C0">
              <w:rPr>
                <w:rFonts w:ascii="Garamond" w:hAnsi="Garamond" w:cs="Arial"/>
              </w:rPr>
              <w:t>ont</w:t>
            </w:r>
            <w:r w:rsidRPr="00DD27C0">
              <w:rPr>
                <w:rFonts w:ascii="Garamond" w:hAnsi="Garamond" w:cs="Arial"/>
              </w:rPr>
              <w:t xml:space="preserve"> connu un retard </w:t>
            </w:r>
            <w:r w:rsidR="00E16393" w:rsidRPr="00DD27C0">
              <w:rPr>
                <w:rFonts w:ascii="Garamond" w:hAnsi="Garamond" w:cs="Arial"/>
              </w:rPr>
              <w:t>considérable.</w:t>
            </w:r>
          </w:p>
          <w:p w14:paraId="567D4BED" w14:textId="77777777" w:rsidR="00147F0E" w:rsidRPr="00DD27C0" w:rsidRDefault="00147F0E" w:rsidP="003F182F">
            <w:pPr>
              <w:rPr>
                <w:rFonts w:ascii="Garamond" w:hAnsi="Garamond" w:cs="Arial"/>
              </w:rPr>
            </w:pPr>
          </w:p>
          <w:p w14:paraId="7068B080" w14:textId="77777777" w:rsidR="008B06F4" w:rsidRPr="00DD27C0" w:rsidRDefault="008B06F4" w:rsidP="003F182F">
            <w:pPr>
              <w:rPr>
                <w:rFonts w:ascii="Garamond" w:hAnsi="Garamond" w:cs="Arial"/>
              </w:rPr>
            </w:pPr>
          </w:p>
          <w:p w14:paraId="7B48152F" w14:textId="77777777" w:rsidR="00716C54" w:rsidRPr="00DD27C0" w:rsidRDefault="00716C54" w:rsidP="003F182F">
            <w:pPr>
              <w:rPr>
                <w:rFonts w:ascii="Garamond" w:hAnsi="Garamond" w:cs="Arial"/>
              </w:rPr>
            </w:pPr>
            <w:r w:rsidRPr="00DD27C0">
              <w:rPr>
                <w:rFonts w:ascii="Garamond" w:hAnsi="Garamond" w:cs="Arial"/>
                <w:b/>
              </w:rPr>
              <w:t>Solution(s) Proposée(s)</w:t>
            </w:r>
            <w:r w:rsidRPr="00DD27C0">
              <w:rPr>
                <w:rFonts w:ascii="Garamond" w:hAnsi="Garamond" w:cs="Arial"/>
              </w:rPr>
              <w:t xml:space="preserve"> :  </w:t>
            </w:r>
          </w:p>
          <w:p w14:paraId="027E3393" w14:textId="77777777" w:rsidR="00592B62" w:rsidRPr="003B0346" w:rsidRDefault="00592B62" w:rsidP="00666C1F">
            <w:pPr>
              <w:rPr>
                <w:rFonts w:ascii="Garamond" w:hAnsi="Garamond" w:cs="Arial"/>
              </w:rPr>
            </w:pPr>
          </w:p>
          <w:p w14:paraId="32158B3C" w14:textId="35A6C150" w:rsidR="00592B62" w:rsidRPr="00DD27C0" w:rsidRDefault="00592B62" w:rsidP="00592B62">
            <w:pPr>
              <w:rPr>
                <w:rFonts w:ascii="Garamond" w:hAnsi="Garamond" w:cs="Arial"/>
              </w:rPr>
            </w:pPr>
            <w:r w:rsidRPr="00DD27C0">
              <w:rPr>
                <w:rFonts w:ascii="Garamond" w:hAnsi="Garamond" w:cs="Arial"/>
              </w:rPr>
              <w:t>Initier un processus de recrutement d’un consultant à court terme pour finaliser le rapport de l’étude socioéconomique</w:t>
            </w:r>
            <w:r w:rsidR="003B41CE" w:rsidRPr="00DD27C0">
              <w:rPr>
                <w:rFonts w:ascii="Garamond" w:hAnsi="Garamond" w:cs="Arial"/>
              </w:rPr>
              <w:t>.</w:t>
            </w:r>
          </w:p>
        </w:tc>
      </w:tr>
      <w:tr w:rsidR="00417BA4" w:rsidRPr="00DD27C0" w14:paraId="60323631" w14:textId="77777777" w:rsidTr="00885506">
        <w:trPr>
          <w:trHeight w:val="179"/>
        </w:trPr>
        <w:tc>
          <w:tcPr>
            <w:tcW w:w="2700" w:type="dxa"/>
            <w:gridSpan w:val="2"/>
          </w:tcPr>
          <w:p w14:paraId="2095B0BB" w14:textId="5C8EC62F" w:rsidR="00417BA4" w:rsidRPr="00DD27C0" w:rsidRDefault="00417BA4" w:rsidP="008B06F4">
            <w:pPr>
              <w:spacing w:before="60"/>
              <w:rPr>
                <w:rFonts w:ascii="Garamond" w:hAnsi="Garamond" w:cs="Arial"/>
                <w:b/>
              </w:rPr>
            </w:pPr>
          </w:p>
          <w:p w14:paraId="29A9CB94" w14:textId="77777777" w:rsidR="00417BA4" w:rsidRPr="00ED2711" w:rsidRDefault="00417BA4" w:rsidP="008B06F4">
            <w:pPr>
              <w:spacing w:before="60"/>
              <w:rPr>
                <w:rFonts w:ascii="Garamond" w:hAnsi="Garamond" w:cs="Arial"/>
              </w:rPr>
            </w:pPr>
            <w:r w:rsidRPr="00DD27C0">
              <w:rPr>
                <w:rFonts w:ascii="Garamond" w:hAnsi="Garamond" w:cs="Arial"/>
              </w:rPr>
              <w:t> </w:t>
            </w:r>
          </w:p>
        </w:tc>
        <w:tc>
          <w:tcPr>
            <w:tcW w:w="7016" w:type="dxa"/>
            <w:gridSpan w:val="3"/>
          </w:tcPr>
          <w:p w14:paraId="71F3B7D7" w14:textId="77777777" w:rsidR="00417BA4" w:rsidRPr="00ED2711" w:rsidRDefault="00417BA4" w:rsidP="0034259E">
            <w:pPr>
              <w:rPr>
                <w:rFonts w:ascii="Garamond" w:hAnsi="Garamond" w:cs="Arial"/>
              </w:rPr>
            </w:pPr>
            <w:r w:rsidRPr="00DD27C0">
              <w:rPr>
                <w:rFonts w:ascii="Garamond" w:hAnsi="Garamond" w:cs="Arial"/>
                <w:b/>
                <w:u w:val="single"/>
              </w:rPr>
              <w:t>Résultat attendu 2</w:t>
            </w:r>
            <w:r w:rsidRPr="00DD27C0">
              <w:rPr>
                <w:rFonts w:ascii="Garamond" w:hAnsi="Garamond" w:cs="Arial"/>
                <w:b/>
              </w:rPr>
              <w:t> :</w:t>
            </w:r>
            <w:r w:rsidRPr="00ED2711">
              <w:rPr>
                <w:rFonts w:ascii="Garamond" w:hAnsi="Garamond" w:cs="Arial"/>
              </w:rPr>
              <w:t xml:space="preserve"> </w:t>
            </w:r>
          </w:p>
          <w:p w14:paraId="2DE0B376" w14:textId="77777777" w:rsidR="00417BA4" w:rsidRPr="00DD27C0" w:rsidRDefault="00417BA4" w:rsidP="0034259E">
            <w:pPr>
              <w:rPr>
                <w:rFonts w:ascii="Garamond" w:hAnsi="Garamond" w:cs="Arial"/>
                <w:b/>
                <w:u w:val="single"/>
              </w:rPr>
            </w:pPr>
            <w:r w:rsidRPr="00DD27C0">
              <w:rPr>
                <w:rFonts w:ascii="Garamond" w:hAnsi="Garamond" w:cs="Arial"/>
                <w:i/>
              </w:rPr>
              <w:t>Le projet dispose d’une base de données et d’un système GIS concernant les communautés et les bénéficiaires ciblés, a une connaissance de fonctionnement des marchées et a établi des accords avec le secteur privé. Un système de suivi est établi et fonctionnel</w:t>
            </w:r>
          </w:p>
          <w:p w14:paraId="20516F31" w14:textId="77777777" w:rsidR="00417BA4" w:rsidRPr="00DD27C0" w:rsidRDefault="00417BA4" w:rsidP="0034259E">
            <w:pPr>
              <w:rPr>
                <w:rFonts w:ascii="Garamond" w:hAnsi="Garamond" w:cs="Arial"/>
                <w:b/>
                <w:u w:val="single"/>
              </w:rPr>
            </w:pPr>
          </w:p>
          <w:p w14:paraId="6F235C8D" w14:textId="77777777" w:rsidR="00417BA4" w:rsidRPr="00DD27C0" w:rsidRDefault="00417BA4" w:rsidP="0034259E">
            <w:pPr>
              <w:rPr>
                <w:rFonts w:ascii="Garamond" w:hAnsi="Garamond" w:cs="Arial"/>
                <w:b/>
              </w:rPr>
            </w:pPr>
            <w:r w:rsidRPr="00DD27C0">
              <w:rPr>
                <w:rFonts w:ascii="Garamond" w:hAnsi="Garamond" w:cs="Arial"/>
                <w:b/>
                <w:u w:val="single"/>
              </w:rPr>
              <w:t>Réalisations accomplies</w:t>
            </w:r>
            <w:r w:rsidRPr="00DD27C0">
              <w:rPr>
                <w:rFonts w:ascii="Garamond" w:hAnsi="Garamond" w:cs="Arial"/>
                <w:b/>
              </w:rPr>
              <w:t> :</w:t>
            </w:r>
          </w:p>
          <w:p w14:paraId="3AA27E71" w14:textId="6F4E70E4" w:rsidR="00417BA4" w:rsidRPr="00DD27C0" w:rsidRDefault="004F03AC" w:rsidP="0055209E">
            <w:pPr>
              <w:numPr>
                <w:ilvl w:val="0"/>
                <w:numId w:val="17"/>
              </w:numPr>
              <w:spacing w:before="120"/>
              <w:rPr>
                <w:rFonts w:ascii="Garamond" w:hAnsi="Garamond" w:cs="Arial"/>
              </w:rPr>
            </w:pPr>
            <w:r w:rsidRPr="00DD27C0">
              <w:rPr>
                <w:rFonts w:ascii="Garamond" w:hAnsi="Garamond" w:cs="Arial"/>
              </w:rPr>
              <w:t>L</w:t>
            </w:r>
            <w:r w:rsidR="00417BA4" w:rsidRPr="00DD27C0">
              <w:rPr>
                <w:rFonts w:ascii="Garamond" w:hAnsi="Garamond" w:cs="Arial"/>
              </w:rPr>
              <w:t>e</w:t>
            </w:r>
            <w:r w:rsidRPr="00DD27C0">
              <w:rPr>
                <w:rFonts w:ascii="Garamond" w:hAnsi="Garamond" w:cs="Arial"/>
              </w:rPr>
              <w:t xml:space="preserve">s </w:t>
            </w:r>
            <w:proofErr w:type="spellStart"/>
            <w:r w:rsidRPr="00DD27C0">
              <w:rPr>
                <w:rFonts w:ascii="Garamond" w:hAnsi="Garamond" w:cs="Arial"/>
              </w:rPr>
              <w:t>draft</w:t>
            </w:r>
            <w:proofErr w:type="spellEnd"/>
            <w:r w:rsidRPr="00DD27C0">
              <w:rPr>
                <w:rFonts w:ascii="Garamond" w:hAnsi="Garamond" w:cs="Arial"/>
              </w:rPr>
              <w:t xml:space="preserve"> </w:t>
            </w:r>
            <w:r w:rsidR="00592B62" w:rsidRPr="00DD27C0">
              <w:rPr>
                <w:rFonts w:ascii="Garamond" w:hAnsi="Garamond" w:cs="Arial"/>
              </w:rPr>
              <w:t>du rapport socioéconomique et environnemental</w:t>
            </w:r>
            <w:r w:rsidR="00417BA4" w:rsidRPr="00DD27C0">
              <w:rPr>
                <w:rFonts w:ascii="Garamond" w:hAnsi="Garamond" w:cs="Arial"/>
              </w:rPr>
              <w:t xml:space="preserve"> </w:t>
            </w:r>
            <w:r w:rsidRPr="00DD27C0">
              <w:rPr>
                <w:rFonts w:ascii="Garamond" w:hAnsi="Garamond" w:cs="Arial"/>
              </w:rPr>
              <w:t>est préparé</w:t>
            </w:r>
            <w:r w:rsidR="00417BA4" w:rsidRPr="00DD27C0">
              <w:rPr>
                <w:rFonts w:ascii="Garamond" w:hAnsi="Garamond" w:cs="Arial"/>
              </w:rPr>
              <w:t xml:space="preserve">. </w:t>
            </w:r>
            <w:r w:rsidRPr="00DD27C0">
              <w:rPr>
                <w:rFonts w:ascii="Garamond" w:hAnsi="Garamond" w:cs="Arial"/>
              </w:rPr>
              <w:t xml:space="preserve">Il sera finalisé en août 2012 pour permettre la comparaison des données initiales des 250 Paysans Modèles </w:t>
            </w:r>
            <w:r w:rsidR="0055209E" w:rsidRPr="00DD27C0">
              <w:rPr>
                <w:rFonts w:ascii="Garamond" w:hAnsi="Garamond" w:cs="Arial"/>
              </w:rPr>
              <w:t xml:space="preserve">(sur les 5 sites) </w:t>
            </w:r>
            <w:r w:rsidRPr="00DD27C0">
              <w:rPr>
                <w:rFonts w:ascii="Garamond" w:hAnsi="Garamond" w:cs="Arial"/>
              </w:rPr>
              <w:t>et le changement au niveau social, économique et environnemental à la suite de la mise en œuvre du projet</w:t>
            </w:r>
            <w:r w:rsidR="00417BA4" w:rsidRPr="00DD27C0">
              <w:rPr>
                <w:rFonts w:ascii="Garamond" w:hAnsi="Garamond" w:cs="Arial"/>
              </w:rPr>
              <w:t xml:space="preserve">. </w:t>
            </w:r>
          </w:p>
        </w:tc>
        <w:tc>
          <w:tcPr>
            <w:tcW w:w="3244" w:type="dxa"/>
          </w:tcPr>
          <w:p w14:paraId="06D97A37" w14:textId="77777777" w:rsidR="00417BA4" w:rsidRPr="00ED2711" w:rsidRDefault="00417BA4" w:rsidP="00417BA4">
            <w:pPr>
              <w:rPr>
                <w:rFonts w:ascii="Garamond" w:hAnsi="Garamond" w:cs="Arial"/>
              </w:rPr>
            </w:pPr>
          </w:p>
        </w:tc>
      </w:tr>
      <w:tr w:rsidR="00417BA4" w:rsidRPr="00DD27C0" w14:paraId="11D30D59" w14:textId="77777777" w:rsidTr="00885506">
        <w:trPr>
          <w:trHeight w:val="179"/>
        </w:trPr>
        <w:tc>
          <w:tcPr>
            <w:tcW w:w="2700" w:type="dxa"/>
            <w:gridSpan w:val="2"/>
          </w:tcPr>
          <w:p w14:paraId="0155E812" w14:textId="77777777" w:rsidR="00417BA4" w:rsidRPr="00DD27C0" w:rsidRDefault="00417BA4" w:rsidP="008B06F4">
            <w:pPr>
              <w:spacing w:before="60"/>
              <w:rPr>
                <w:rFonts w:ascii="Garamond" w:hAnsi="Garamond" w:cs="Arial"/>
              </w:rPr>
            </w:pPr>
          </w:p>
        </w:tc>
        <w:tc>
          <w:tcPr>
            <w:tcW w:w="7016" w:type="dxa"/>
            <w:gridSpan w:val="3"/>
          </w:tcPr>
          <w:p w14:paraId="57B4AE17" w14:textId="77777777" w:rsidR="00417BA4" w:rsidRPr="00ED2711" w:rsidRDefault="00417BA4" w:rsidP="00CD73DC">
            <w:pPr>
              <w:tabs>
                <w:tab w:val="left" w:pos="-720"/>
                <w:tab w:val="left" w:pos="4500"/>
              </w:tabs>
              <w:suppressAutoHyphens/>
              <w:spacing w:after="54"/>
              <w:rPr>
                <w:rFonts w:ascii="Garamond" w:hAnsi="Garamond" w:cs="Arial"/>
              </w:rPr>
            </w:pPr>
            <w:r w:rsidRPr="00DD27C0">
              <w:rPr>
                <w:rFonts w:ascii="Garamond" w:hAnsi="Garamond" w:cs="Arial"/>
                <w:b/>
                <w:u w:val="single"/>
              </w:rPr>
              <w:t>Résultat attendu 3</w:t>
            </w:r>
            <w:r w:rsidRPr="00DD27C0">
              <w:rPr>
                <w:rFonts w:ascii="Garamond" w:hAnsi="Garamond" w:cs="Arial"/>
                <w:b/>
              </w:rPr>
              <w:t> :</w:t>
            </w:r>
            <w:r w:rsidRPr="00ED2711">
              <w:rPr>
                <w:rFonts w:ascii="Garamond" w:hAnsi="Garamond" w:cs="Arial"/>
              </w:rPr>
              <w:t xml:space="preserve"> </w:t>
            </w:r>
          </w:p>
          <w:p w14:paraId="498780FF" w14:textId="77777777" w:rsidR="00417BA4" w:rsidRPr="00DD27C0" w:rsidRDefault="00417BA4" w:rsidP="00CD73DC">
            <w:pPr>
              <w:tabs>
                <w:tab w:val="left" w:pos="-720"/>
                <w:tab w:val="left" w:pos="4500"/>
              </w:tabs>
              <w:suppressAutoHyphens/>
              <w:spacing w:after="54"/>
              <w:rPr>
                <w:rFonts w:ascii="Garamond" w:hAnsi="Garamond" w:cs="Arial"/>
              </w:rPr>
            </w:pPr>
            <w:r w:rsidRPr="00DD27C0">
              <w:rPr>
                <w:rFonts w:ascii="Garamond" w:hAnsi="Garamond" w:cs="Arial"/>
                <w:i/>
              </w:rPr>
              <w:t xml:space="preserve">Un système de partages des connaissances avec les acteurs clés au Sud-Kivu (services, scientifiques, ONG, secteur privé) est mise en place et est </w:t>
            </w:r>
            <w:r w:rsidRPr="00DD27C0">
              <w:rPr>
                <w:rFonts w:ascii="Garamond" w:hAnsi="Garamond" w:cs="Arial"/>
                <w:i/>
              </w:rPr>
              <w:lastRenderedPageBreak/>
              <w:t>opérationnel</w:t>
            </w:r>
          </w:p>
          <w:p w14:paraId="6E6C975E" w14:textId="77777777" w:rsidR="00417BA4" w:rsidRPr="00DD27C0" w:rsidRDefault="00417BA4" w:rsidP="00FF7239">
            <w:pPr>
              <w:tabs>
                <w:tab w:val="left" w:pos="-720"/>
                <w:tab w:val="left" w:pos="4500"/>
              </w:tabs>
              <w:suppressAutoHyphens/>
              <w:spacing w:after="54"/>
              <w:rPr>
                <w:rFonts w:ascii="Garamond" w:hAnsi="Garamond" w:cs="Arial"/>
                <w:lang w:val="fr-CH"/>
              </w:rPr>
            </w:pPr>
          </w:p>
          <w:p w14:paraId="56F7DE18" w14:textId="77777777" w:rsidR="00417BA4" w:rsidRPr="00DD27C0" w:rsidRDefault="00417BA4" w:rsidP="008B06F4">
            <w:pPr>
              <w:rPr>
                <w:rFonts w:ascii="Garamond" w:hAnsi="Garamond" w:cs="Arial"/>
              </w:rPr>
            </w:pPr>
            <w:r w:rsidRPr="00DD27C0">
              <w:rPr>
                <w:rFonts w:ascii="Garamond" w:hAnsi="Garamond" w:cs="Arial"/>
                <w:b/>
                <w:u w:val="single"/>
              </w:rPr>
              <w:t>Réalisations accomplies</w:t>
            </w:r>
            <w:r w:rsidRPr="00DD27C0">
              <w:rPr>
                <w:rFonts w:ascii="Garamond" w:hAnsi="Garamond" w:cs="Arial"/>
                <w:b/>
              </w:rPr>
              <w:t> :</w:t>
            </w:r>
            <w:r w:rsidRPr="00DD27C0">
              <w:rPr>
                <w:rFonts w:ascii="Garamond" w:hAnsi="Garamond" w:cs="Arial"/>
              </w:rPr>
              <w:t xml:space="preserve"> </w:t>
            </w:r>
          </w:p>
          <w:p w14:paraId="63D8D522" w14:textId="67A2034F" w:rsidR="00D47352" w:rsidRPr="00DD27C0" w:rsidRDefault="00D47352" w:rsidP="008D7A12">
            <w:pPr>
              <w:keepNext/>
              <w:keepLines/>
              <w:numPr>
                <w:ilvl w:val="0"/>
                <w:numId w:val="17"/>
              </w:numPr>
              <w:spacing w:before="200"/>
              <w:outlineLvl w:val="8"/>
              <w:rPr>
                <w:rFonts w:ascii="Garamond" w:hAnsi="Garamond" w:cs="Arial"/>
              </w:rPr>
            </w:pPr>
            <w:r w:rsidRPr="00DD27C0">
              <w:rPr>
                <w:rFonts w:ascii="Garamond" w:hAnsi="Garamond" w:cs="Arial"/>
              </w:rPr>
              <w:t xml:space="preserve">21 maçons et 14 aide-maçons </w:t>
            </w:r>
            <w:r w:rsidR="00ED6F02" w:rsidRPr="00DD27C0">
              <w:rPr>
                <w:rFonts w:ascii="Garamond" w:hAnsi="Garamond" w:cs="Arial"/>
              </w:rPr>
              <w:t xml:space="preserve">parmi les Paysans Modèles SBI </w:t>
            </w:r>
            <w:r w:rsidR="00942AF6" w:rsidRPr="00DD27C0">
              <w:rPr>
                <w:rFonts w:ascii="Garamond" w:hAnsi="Garamond" w:cs="Arial"/>
              </w:rPr>
              <w:t xml:space="preserve">ont été formés </w:t>
            </w:r>
            <w:r w:rsidR="0055209E" w:rsidRPr="00DD27C0">
              <w:rPr>
                <w:rFonts w:ascii="Garamond" w:hAnsi="Garamond" w:cs="Arial"/>
              </w:rPr>
              <w:t xml:space="preserve">par l’équipe technique de BEA </w:t>
            </w:r>
            <w:r w:rsidR="00ED6F02" w:rsidRPr="00DD27C0">
              <w:rPr>
                <w:rFonts w:ascii="Garamond" w:hAnsi="Garamond" w:cs="Arial"/>
              </w:rPr>
              <w:t>au cours d’un</w:t>
            </w:r>
            <w:r w:rsidR="00942AF6" w:rsidRPr="00DD27C0">
              <w:rPr>
                <w:rFonts w:ascii="Garamond" w:hAnsi="Garamond" w:cs="Arial"/>
              </w:rPr>
              <w:t xml:space="preserve"> atelier de formation pratique organisé </w:t>
            </w:r>
            <w:r w:rsidR="00ED6F02" w:rsidRPr="00DD27C0">
              <w:rPr>
                <w:rFonts w:ascii="Garamond" w:hAnsi="Garamond" w:cs="Arial"/>
              </w:rPr>
              <w:t>sur</w:t>
            </w:r>
            <w:r w:rsidR="00AD7254" w:rsidRPr="00DD27C0">
              <w:rPr>
                <w:rFonts w:ascii="Garamond" w:hAnsi="Garamond" w:cs="Arial"/>
              </w:rPr>
              <w:t xml:space="preserve"> </w:t>
            </w:r>
            <w:r w:rsidRPr="00DD27C0">
              <w:rPr>
                <w:rFonts w:ascii="Garamond" w:hAnsi="Garamond" w:cs="Arial"/>
              </w:rPr>
              <w:t xml:space="preserve">les techniques SBI de </w:t>
            </w:r>
            <w:r w:rsidR="00AD7254" w:rsidRPr="00DD27C0">
              <w:rPr>
                <w:rFonts w:ascii="Garamond" w:hAnsi="Garamond" w:cs="Arial"/>
              </w:rPr>
              <w:t>construction</w:t>
            </w:r>
            <w:r w:rsidRPr="00DD27C0">
              <w:rPr>
                <w:rFonts w:ascii="Garamond" w:hAnsi="Garamond" w:cs="Arial"/>
              </w:rPr>
              <w:t xml:space="preserve"> de </w:t>
            </w:r>
            <w:proofErr w:type="spellStart"/>
            <w:r w:rsidRPr="00DD27C0">
              <w:rPr>
                <w:rFonts w:ascii="Garamond" w:hAnsi="Garamond" w:cs="Arial"/>
              </w:rPr>
              <w:t>biodigesteur</w:t>
            </w:r>
            <w:proofErr w:type="spellEnd"/>
            <w:r w:rsidRPr="00DD27C0">
              <w:rPr>
                <w:rFonts w:ascii="Garamond" w:hAnsi="Garamond" w:cs="Arial"/>
              </w:rPr>
              <w:t xml:space="preserve"> </w:t>
            </w:r>
          </w:p>
          <w:p w14:paraId="6C5594FF" w14:textId="15E8D174" w:rsidR="00AD7254" w:rsidRPr="00DD27C0" w:rsidRDefault="00ED6F02" w:rsidP="008D7A12">
            <w:pPr>
              <w:keepNext/>
              <w:keepLines/>
              <w:numPr>
                <w:ilvl w:val="0"/>
                <w:numId w:val="17"/>
              </w:numPr>
              <w:spacing w:before="200"/>
              <w:outlineLvl w:val="8"/>
              <w:rPr>
                <w:rFonts w:ascii="Garamond" w:hAnsi="Garamond" w:cs="Arial"/>
              </w:rPr>
            </w:pPr>
            <w:r w:rsidRPr="00DD27C0">
              <w:rPr>
                <w:rFonts w:ascii="Garamond" w:hAnsi="Garamond" w:cs="Arial"/>
              </w:rPr>
              <w:t xml:space="preserve">250 Paysans Modèles SBI ont été formés dans les 5 sites sur les techniques de la production agricole en sac </w:t>
            </w:r>
          </w:p>
          <w:p w14:paraId="1FB805D7" w14:textId="2F4DD796" w:rsidR="00ED6F02" w:rsidRPr="00DD27C0" w:rsidRDefault="00ED6F02" w:rsidP="008D7A12">
            <w:pPr>
              <w:keepNext/>
              <w:keepLines/>
              <w:numPr>
                <w:ilvl w:val="0"/>
                <w:numId w:val="17"/>
              </w:numPr>
              <w:spacing w:before="200"/>
              <w:outlineLvl w:val="8"/>
              <w:rPr>
                <w:rFonts w:ascii="Garamond" w:hAnsi="Garamond" w:cs="Arial"/>
              </w:rPr>
            </w:pPr>
            <w:r w:rsidRPr="00DD27C0">
              <w:rPr>
                <w:rFonts w:ascii="Garamond" w:hAnsi="Garamond" w:cs="Arial"/>
              </w:rPr>
              <w:t xml:space="preserve">des kits de production agricole ont été distribués aux 250 Paysans Modèles dont des sacs de cultures, des </w:t>
            </w:r>
            <w:r w:rsidR="00E65487" w:rsidRPr="00DD27C0">
              <w:rPr>
                <w:rFonts w:ascii="Garamond" w:hAnsi="Garamond" w:cs="Arial"/>
              </w:rPr>
              <w:t>semences</w:t>
            </w:r>
            <w:r w:rsidRPr="00DD27C0">
              <w:rPr>
                <w:rFonts w:ascii="Garamond" w:hAnsi="Garamond" w:cs="Arial"/>
              </w:rPr>
              <w:t>, des uniformes et des casquettes</w:t>
            </w:r>
          </w:p>
          <w:p w14:paraId="71C4D382" w14:textId="6A660116" w:rsidR="00ED6F02" w:rsidRPr="00DD27C0" w:rsidRDefault="002C5253" w:rsidP="008D7A12">
            <w:pPr>
              <w:numPr>
                <w:ilvl w:val="0"/>
                <w:numId w:val="17"/>
              </w:numPr>
              <w:rPr>
                <w:rFonts w:ascii="Garamond" w:hAnsi="Garamond" w:cs="Arial"/>
              </w:rPr>
            </w:pPr>
            <w:r w:rsidRPr="00DD27C0">
              <w:rPr>
                <w:rFonts w:ascii="Garamond" w:hAnsi="Garamond" w:cs="Arial"/>
              </w:rPr>
              <w:t xml:space="preserve">une session de </w:t>
            </w:r>
            <w:r w:rsidR="00406D19" w:rsidRPr="00DD27C0">
              <w:rPr>
                <w:rFonts w:ascii="Garamond" w:hAnsi="Garamond" w:cs="Arial"/>
              </w:rPr>
              <w:t>sensibilisation</w:t>
            </w:r>
            <w:r w:rsidRPr="00DD27C0">
              <w:rPr>
                <w:rFonts w:ascii="Garamond" w:hAnsi="Garamond" w:cs="Arial"/>
              </w:rPr>
              <w:t xml:space="preserve"> a été organisée pour permettre aux vétérinaires locaux de comprendre l’importance de la santé animale </w:t>
            </w:r>
            <w:r w:rsidR="00406D19" w:rsidRPr="00DD27C0">
              <w:rPr>
                <w:rFonts w:ascii="Garamond" w:hAnsi="Garamond" w:cs="Arial"/>
              </w:rPr>
              <w:t xml:space="preserve">et l’intégration avec la production de </w:t>
            </w:r>
            <w:proofErr w:type="spellStart"/>
            <w:r w:rsidR="00406D19" w:rsidRPr="00DD27C0">
              <w:rPr>
                <w:rFonts w:ascii="Garamond" w:hAnsi="Garamond" w:cs="Arial"/>
              </w:rPr>
              <w:t>biogas</w:t>
            </w:r>
            <w:proofErr w:type="spellEnd"/>
            <w:r w:rsidR="00406D19" w:rsidRPr="00DD27C0">
              <w:rPr>
                <w:rFonts w:ascii="Garamond" w:hAnsi="Garamond" w:cs="Arial"/>
              </w:rPr>
              <w:t xml:space="preserve"> et des </w:t>
            </w:r>
            <w:proofErr w:type="spellStart"/>
            <w:r w:rsidR="00406D19" w:rsidRPr="00DD27C0">
              <w:rPr>
                <w:rFonts w:ascii="Garamond" w:hAnsi="Garamond" w:cs="Arial"/>
              </w:rPr>
              <w:t>biofertilizants</w:t>
            </w:r>
            <w:proofErr w:type="spellEnd"/>
          </w:p>
          <w:p w14:paraId="208FF1BE" w14:textId="24830A28" w:rsidR="002950B6" w:rsidRPr="00DD27C0" w:rsidRDefault="00417BA4" w:rsidP="009B79FD">
            <w:pPr>
              <w:numPr>
                <w:ilvl w:val="0"/>
                <w:numId w:val="17"/>
              </w:numPr>
              <w:rPr>
                <w:rFonts w:ascii="Garamond" w:hAnsi="Garamond" w:cs="Arial"/>
              </w:rPr>
            </w:pPr>
            <w:r w:rsidRPr="00DD27C0">
              <w:rPr>
                <w:rFonts w:ascii="Garamond" w:hAnsi="Garamond" w:cs="Arial"/>
              </w:rPr>
              <w:t xml:space="preserve">Le </w:t>
            </w:r>
            <w:r w:rsidR="00E52462" w:rsidRPr="00DD27C0">
              <w:rPr>
                <w:rFonts w:ascii="Garamond" w:hAnsi="Garamond" w:cs="Arial"/>
              </w:rPr>
              <w:t xml:space="preserve">projet de cantine scolaire du PAM a été initié </w:t>
            </w:r>
            <w:r w:rsidR="00BA0691" w:rsidRPr="00DD27C0">
              <w:rPr>
                <w:rFonts w:ascii="Garamond" w:hAnsi="Garamond" w:cs="Arial"/>
              </w:rPr>
              <w:t xml:space="preserve">avec </w:t>
            </w:r>
            <w:r w:rsidR="00E52462" w:rsidRPr="00DD27C0">
              <w:rPr>
                <w:rFonts w:ascii="Garamond" w:hAnsi="Garamond" w:cs="Arial"/>
              </w:rPr>
              <w:t xml:space="preserve">le co-financement </w:t>
            </w:r>
            <w:r w:rsidR="009B79FD">
              <w:rPr>
                <w:rFonts w:ascii="Garamond" w:hAnsi="Garamond" w:cs="Arial"/>
              </w:rPr>
              <w:t>du</w:t>
            </w:r>
            <w:r w:rsidR="00E52462" w:rsidRPr="00DD27C0">
              <w:rPr>
                <w:rFonts w:ascii="Garamond" w:hAnsi="Garamond" w:cs="Arial"/>
              </w:rPr>
              <w:t xml:space="preserve"> PNUD et </w:t>
            </w:r>
            <w:r w:rsidR="009B79FD">
              <w:rPr>
                <w:rFonts w:ascii="Garamond" w:hAnsi="Garamond" w:cs="Arial"/>
              </w:rPr>
              <w:t>du</w:t>
            </w:r>
            <w:r w:rsidR="009B79FD" w:rsidRPr="00DD27C0">
              <w:rPr>
                <w:rFonts w:ascii="Garamond" w:hAnsi="Garamond" w:cs="Arial"/>
              </w:rPr>
              <w:t xml:space="preserve"> </w:t>
            </w:r>
            <w:r w:rsidR="00E52462" w:rsidRPr="00DD27C0">
              <w:rPr>
                <w:rFonts w:ascii="Garamond" w:hAnsi="Garamond" w:cs="Arial"/>
              </w:rPr>
              <w:t xml:space="preserve">PAM </w:t>
            </w:r>
            <w:r w:rsidR="00BA0691" w:rsidRPr="00DD27C0">
              <w:rPr>
                <w:rFonts w:ascii="Garamond" w:hAnsi="Garamond" w:cs="Arial"/>
              </w:rPr>
              <w:t>pour créer une synergie</w:t>
            </w:r>
            <w:r w:rsidR="00E52462" w:rsidRPr="00DD27C0">
              <w:rPr>
                <w:rFonts w:ascii="Garamond" w:hAnsi="Garamond" w:cs="Arial"/>
              </w:rPr>
              <w:t xml:space="preserve">  </w:t>
            </w:r>
            <w:r w:rsidR="00BA0691" w:rsidRPr="00DD27C0">
              <w:rPr>
                <w:rFonts w:ascii="Garamond" w:hAnsi="Garamond" w:cs="Arial"/>
              </w:rPr>
              <w:t xml:space="preserve">avec le projet SBI en construisant sur </w:t>
            </w:r>
            <w:r w:rsidR="00E52462" w:rsidRPr="00DD27C0">
              <w:rPr>
                <w:rFonts w:ascii="Garamond" w:hAnsi="Garamond" w:cs="Arial"/>
              </w:rPr>
              <w:t xml:space="preserve">les </w:t>
            </w:r>
            <w:proofErr w:type="spellStart"/>
            <w:r w:rsidR="00E52462" w:rsidRPr="00DD27C0">
              <w:rPr>
                <w:rFonts w:ascii="Garamond" w:hAnsi="Garamond" w:cs="Arial"/>
              </w:rPr>
              <w:t>aquis</w:t>
            </w:r>
            <w:proofErr w:type="spellEnd"/>
            <w:r w:rsidR="00E52462" w:rsidRPr="00DD27C0">
              <w:rPr>
                <w:rFonts w:ascii="Garamond" w:hAnsi="Garamond" w:cs="Arial"/>
              </w:rPr>
              <w:t xml:space="preserve"> du projet financé par PBF et le Gouvernement (prêt FIDA)</w:t>
            </w:r>
            <w:r w:rsidR="008C6348" w:rsidRPr="00DD27C0">
              <w:rPr>
                <w:rFonts w:ascii="Garamond" w:hAnsi="Garamond" w:cs="Arial"/>
              </w:rPr>
              <w:t xml:space="preserve"> du Sud Kivu</w:t>
            </w:r>
            <w:r w:rsidR="00E52462" w:rsidRPr="00DD27C0">
              <w:rPr>
                <w:rFonts w:ascii="Garamond" w:hAnsi="Garamond" w:cs="Arial"/>
              </w:rPr>
              <w:t xml:space="preserve">. </w:t>
            </w:r>
            <w:r w:rsidR="009B79FD">
              <w:rPr>
                <w:rFonts w:ascii="Garamond" w:hAnsi="Garamond" w:cs="Arial"/>
              </w:rPr>
              <w:t>Par conséquent, à travers l</w:t>
            </w:r>
            <w:r w:rsidR="00E52462" w:rsidRPr="00DD27C0">
              <w:rPr>
                <w:rFonts w:ascii="Garamond" w:hAnsi="Garamond" w:cs="Arial"/>
              </w:rPr>
              <w:t xml:space="preserve">es 12 écoles primaires aux alentours des sites SBI dans les 5 villages de </w:t>
            </w:r>
            <w:proofErr w:type="spellStart"/>
            <w:r w:rsidR="00E52462" w:rsidRPr="00DD27C0">
              <w:rPr>
                <w:rFonts w:ascii="Garamond" w:hAnsi="Garamond" w:cs="Arial"/>
              </w:rPr>
              <w:t>Mushweshwe</w:t>
            </w:r>
            <w:proofErr w:type="spellEnd"/>
            <w:r w:rsidR="00E52462" w:rsidRPr="00DD27C0">
              <w:rPr>
                <w:rFonts w:ascii="Garamond" w:hAnsi="Garamond" w:cs="Arial"/>
              </w:rPr>
              <w:t xml:space="preserve">, </w:t>
            </w:r>
            <w:proofErr w:type="spellStart"/>
            <w:r w:rsidR="00E52462" w:rsidRPr="00DD27C0">
              <w:rPr>
                <w:rFonts w:ascii="Garamond" w:hAnsi="Garamond" w:cs="Arial"/>
              </w:rPr>
              <w:t>Walungu</w:t>
            </w:r>
            <w:proofErr w:type="spellEnd"/>
            <w:r w:rsidR="00E52462" w:rsidRPr="00DD27C0">
              <w:rPr>
                <w:rFonts w:ascii="Garamond" w:hAnsi="Garamond" w:cs="Arial"/>
              </w:rPr>
              <w:t xml:space="preserve">, </w:t>
            </w:r>
            <w:proofErr w:type="spellStart"/>
            <w:r w:rsidR="00E52462" w:rsidRPr="00DD27C0">
              <w:rPr>
                <w:rFonts w:ascii="Garamond" w:hAnsi="Garamond" w:cs="Arial"/>
              </w:rPr>
              <w:t>Kamanyola</w:t>
            </w:r>
            <w:proofErr w:type="spellEnd"/>
            <w:r w:rsidR="00E52462" w:rsidRPr="00DD27C0">
              <w:rPr>
                <w:rFonts w:ascii="Garamond" w:hAnsi="Garamond" w:cs="Arial"/>
              </w:rPr>
              <w:t xml:space="preserve">, </w:t>
            </w:r>
            <w:proofErr w:type="spellStart"/>
            <w:r w:rsidR="00E52462" w:rsidRPr="00DD27C0">
              <w:rPr>
                <w:rFonts w:ascii="Garamond" w:hAnsi="Garamond" w:cs="Arial"/>
              </w:rPr>
              <w:t>Budali</w:t>
            </w:r>
            <w:proofErr w:type="spellEnd"/>
            <w:r w:rsidR="00E52462" w:rsidRPr="00DD27C0">
              <w:rPr>
                <w:rFonts w:ascii="Garamond" w:hAnsi="Garamond" w:cs="Arial"/>
              </w:rPr>
              <w:t xml:space="preserve"> et </w:t>
            </w:r>
            <w:proofErr w:type="spellStart"/>
            <w:r w:rsidR="00E52462" w:rsidRPr="00DD27C0">
              <w:rPr>
                <w:rFonts w:ascii="Garamond" w:hAnsi="Garamond" w:cs="Arial"/>
              </w:rPr>
              <w:t>Mugogo</w:t>
            </w:r>
            <w:proofErr w:type="spellEnd"/>
            <w:r w:rsidR="00E52462" w:rsidRPr="00DD27C0">
              <w:rPr>
                <w:rFonts w:ascii="Garamond" w:hAnsi="Garamond" w:cs="Arial"/>
              </w:rPr>
              <w:t xml:space="preserve"> </w:t>
            </w:r>
            <w:r w:rsidR="009B79FD">
              <w:rPr>
                <w:rFonts w:ascii="Garamond" w:hAnsi="Garamond" w:cs="Arial"/>
              </w:rPr>
              <w:t xml:space="preserve">cette initiative vise à </w:t>
            </w:r>
            <w:r w:rsidR="009B79FD" w:rsidRPr="00DD27C0">
              <w:rPr>
                <w:rFonts w:ascii="Garamond" w:hAnsi="Garamond" w:cs="Arial"/>
              </w:rPr>
              <w:t xml:space="preserve">améliorer la nutrition, la rétention et la performance des étudiants </w:t>
            </w:r>
            <w:r w:rsidR="009B79FD">
              <w:rPr>
                <w:rFonts w:ascii="Garamond" w:hAnsi="Garamond" w:cs="Arial"/>
              </w:rPr>
              <w:t xml:space="preserve">qui </w:t>
            </w:r>
            <w:r w:rsidR="00E52462" w:rsidRPr="00DD27C0">
              <w:rPr>
                <w:rFonts w:ascii="Garamond" w:hAnsi="Garamond" w:cs="Arial"/>
              </w:rPr>
              <w:t xml:space="preserve">bénéficieront des techniques SBI </w:t>
            </w:r>
            <w:r w:rsidR="002950B6" w:rsidRPr="00DD27C0">
              <w:rPr>
                <w:rFonts w:ascii="Garamond" w:hAnsi="Garamond" w:cs="Arial"/>
              </w:rPr>
              <w:t>(</w:t>
            </w:r>
            <w:proofErr w:type="spellStart"/>
            <w:r w:rsidR="002950B6" w:rsidRPr="00DD27C0">
              <w:rPr>
                <w:rFonts w:ascii="Garamond" w:hAnsi="Garamond" w:cs="Arial"/>
              </w:rPr>
              <w:t>biogas</w:t>
            </w:r>
            <w:proofErr w:type="spellEnd"/>
            <w:r w:rsidR="002950B6" w:rsidRPr="00DD27C0">
              <w:rPr>
                <w:rFonts w:ascii="Garamond" w:hAnsi="Garamond" w:cs="Arial"/>
              </w:rPr>
              <w:t xml:space="preserve">, </w:t>
            </w:r>
            <w:proofErr w:type="spellStart"/>
            <w:r w:rsidR="002950B6" w:rsidRPr="00DD27C0">
              <w:rPr>
                <w:rFonts w:ascii="Garamond" w:hAnsi="Garamond" w:cs="Arial"/>
              </w:rPr>
              <w:t>biofertilisants</w:t>
            </w:r>
            <w:proofErr w:type="spellEnd"/>
            <w:r w:rsidR="002950B6" w:rsidRPr="00DD27C0">
              <w:rPr>
                <w:rFonts w:ascii="Garamond" w:hAnsi="Garamond" w:cs="Arial"/>
              </w:rPr>
              <w:t>, produits agricole</w:t>
            </w:r>
            <w:r w:rsidR="008C6348" w:rsidRPr="00DD27C0">
              <w:rPr>
                <w:rFonts w:ascii="Garamond" w:hAnsi="Garamond" w:cs="Arial"/>
              </w:rPr>
              <w:t>, formation, encadrement technique</w:t>
            </w:r>
            <w:r w:rsidR="002950B6" w:rsidRPr="00DD27C0">
              <w:rPr>
                <w:rFonts w:ascii="Garamond" w:hAnsi="Garamond" w:cs="Arial"/>
              </w:rPr>
              <w:t xml:space="preserve">) </w:t>
            </w:r>
          </w:p>
          <w:p w14:paraId="1675D50B" w14:textId="43B7A08D" w:rsidR="00417BA4" w:rsidRPr="00DD27C0" w:rsidRDefault="00906643" w:rsidP="00A657C4">
            <w:pPr>
              <w:numPr>
                <w:ilvl w:val="0"/>
                <w:numId w:val="17"/>
              </w:numPr>
              <w:rPr>
                <w:rFonts w:ascii="Garamond" w:hAnsi="Garamond" w:cs="Arial"/>
              </w:rPr>
            </w:pPr>
            <w:r w:rsidRPr="00DD27C0">
              <w:rPr>
                <w:rFonts w:ascii="Garamond" w:hAnsi="Garamond" w:cs="Arial"/>
              </w:rPr>
              <w:t xml:space="preserve">Des fiches de site et un DVD ont été produits pour </w:t>
            </w:r>
            <w:r w:rsidRPr="00DD27C0">
              <w:rPr>
                <w:rFonts w:ascii="Garamond" w:hAnsi="Garamond" w:cs="Arial"/>
              </w:rPr>
              <w:lastRenderedPageBreak/>
              <w:t xml:space="preserve">documenter et partager l’expérience du projet SBI dans les sites de </w:t>
            </w:r>
            <w:proofErr w:type="spellStart"/>
            <w:r w:rsidRPr="00DD27C0">
              <w:rPr>
                <w:rFonts w:ascii="Garamond" w:hAnsi="Garamond" w:cs="Arial"/>
              </w:rPr>
              <w:t>Mushweshwe</w:t>
            </w:r>
            <w:proofErr w:type="spellEnd"/>
            <w:r w:rsidRPr="00DD27C0">
              <w:rPr>
                <w:rFonts w:ascii="Garamond" w:hAnsi="Garamond" w:cs="Arial"/>
              </w:rPr>
              <w:t xml:space="preserve">, de </w:t>
            </w:r>
            <w:proofErr w:type="spellStart"/>
            <w:r w:rsidRPr="00DD27C0">
              <w:rPr>
                <w:rFonts w:ascii="Garamond" w:hAnsi="Garamond" w:cs="Arial"/>
              </w:rPr>
              <w:t>Walungu</w:t>
            </w:r>
            <w:proofErr w:type="spellEnd"/>
            <w:r w:rsidRPr="00DD27C0">
              <w:rPr>
                <w:rFonts w:ascii="Garamond" w:hAnsi="Garamond" w:cs="Arial"/>
              </w:rPr>
              <w:t xml:space="preserve"> et de </w:t>
            </w:r>
            <w:proofErr w:type="spellStart"/>
            <w:r w:rsidRPr="00DD27C0">
              <w:rPr>
                <w:rFonts w:ascii="Garamond" w:hAnsi="Garamond" w:cs="Arial"/>
              </w:rPr>
              <w:t>Kamanyola</w:t>
            </w:r>
            <w:proofErr w:type="spellEnd"/>
            <w:r w:rsidR="00B62612" w:rsidRPr="00DD27C0">
              <w:rPr>
                <w:rFonts w:ascii="Garamond" w:hAnsi="Garamond" w:cs="Arial"/>
              </w:rPr>
              <w:t>. Ils ont été partagés avec le Ministère de l’Agriculture</w:t>
            </w:r>
          </w:p>
        </w:tc>
        <w:tc>
          <w:tcPr>
            <w:tcW w:w="3244" w:type="dxa"/>
          </w:tcPr>
          <w:p w14:paraId="417AB84D" w14:textId="77777777" w:rsidR="00417BA4" w:rsidRPr="00ED2711" w:rsidRDefault="00417BA4" w:rsidP="007116D3">
            <w:pPr>
              <w:rPr>
                <w:rFonts w:ascii="Garamond" w:hAnsi="Garamond" w:cs="Arial"/>
              </w:rPr>
            </w:pPr>
            <w:r w:rsidRPr="00ED2711">
              <w:rPr>
                <w:rFonts w:ascii="Garamond" w:hAnsi="Garamond" w:cs="Arial"/>
                <w:b/>
              </w:rPr>
              <w:lastRenderedPageBreak/>
              <w:t>Contrainte(s)</w:t>
            </w:r>
            <w:r w:rsidRPr="00ED2711">
              <w:rPr>
                <w:rFonts w:ascii="Garamond" w:hAnsi="Garamond" w:cs="Arial"/>
              </w:rPr>
              <w:t> : </w:t>
            </w:r>
          </w:p>
          <w:p w14:paraId="1BFD2962" w14:textId="77777777" w:rsidR="00417BA4" w:rsidRPr="00DD27C0" w:rsidRDefault="00417BA4" w:rsidP="00362FEB">
            <w:pPr>
              <w:rPr>
                <w:rFonts w:ascii="Garamond" w:hAnsi="Garamond" w:cs="Arial"/>
              </w:rPr>
            </w:pPr>
          </w:p>
          <w:p w14:paraId="5A294C0C" w14:textId="77777777" w:rsidR="00417BA4" w:rsidRPr="00DD27C0" w:rsidRDefault="00417BA4" w:rsidP="00362FEB">
            <w:pPr>
              <w:rPr>
                <w:rFonts w:ascii="Garamond" w:hAnsi="Garamond" w:cs="Arial"/>
              </w:rPr>
            </w:pPr>
          </w:p>
          <w:p w14:paraId="7D575214" w14:textId="77777777" w:rsidR="00417BA4" w:rsidRPr="00DD27C0" w:rsidRDefault="00417BA4" w:rsidP="00362FEB">
            <w:pPr>
              <w:rPr>
                <w:rFonts w:ascii="Garamond" w:hAnsi="Garamond" w:cs="Arial"/>
              </w:rPr>
            </w:pPr>
          </w:p>
          <w:p w14:paraId="19F4D4C9" w14:textId="77777777" w:rsidR="00417BA4" w:rsidRPr="00DD27C0" w:rsidRDefault="00417BA4" w:rsidP="00362FEB">
            <w:pPr>
              <w:rPr>
                <w:rFonts w:ascii="Garamond" w:hAnsi="Garamond" w:cs="Arial"/>
              </w:rPr>
            </w:pPr>
          </w:p>
          <w:p w14:paraId="6093DEE3" w14:textId="77777777" w:rsidR="00417BA4" w:rsidRPr="00DD27C0" w:rsidRDefault="00417BA4" w:rsidP="00362FEB">
            <w:pPr>
              <w:rPr>
                <w:rFonts w:ascii="Garamond" w:hAnsi="Garamond" w:cs="Arial"/>
              </w:rPr>
            </w:pPr>
            <w:r w:rsidRPr="00ED2711">
              <w:rPr>
                <w:rFonts w:ascii="Garamond" w:hAnsi="Garamond" w:cs="Arial"/>
                <w:b/>
              </w:rPr>
              <w:t>Solution(s) Proposée(s)</w:t>
            </w:r>
            <w:r w:rsidRPr="00ED2711">
              <w:rPr>
                <w:rFonts w:ascii="Garamond" w:hAnsi="Garamond" w:cs="Arial"/>
              </w:rPr>
              <w:t> : </w:t>
            </w:r>
            <w:r w:rsidRPr="00DD27C0">
              <w:rPr>
                <w:rFonts w:ascii="Garamond" w:hAnsi="Garamond" w:cs="Arial"/>
              </w:rPr>
              <w:t xml:space="preserve"> </w:t>
            </w:r>
          </w:p>
          <w:p w14:paraId="23DA8953" w14:textId="77777777" w:rsidR="00417BA4" w:rsidRPr="00ED2711" w:rsidRDefault="00417BA4" w:rsidP="00822560">
            <w:pPr>
              <w:rPr>
                <w:rFonts w:ascii="Garamond" w:hAnsi="Garamond" w:cs="Arial"/>
              </w:rPr>
            </w:pPr>
          </w:p>
        </w:tc>
      </w:tr>
      <w:tr w:rsidR="00417BA4" w:rsidRPr="00DD27C0" w14:paraId="12C1B12C" w14:textId="77777777" w:rsidTr="00D9143D">
        <w:trPr>
          <w:trHeight w:val="1826"/>
        </w:trPr>
        <w:tc>
          <w:tcPr>
            <w:tcW w:w="2700" w:type="dxa"/>
            <w:gridSpan w:val="2"/>
          </w:tcPr>
          <w:p w14:paraId="68B3BACA" w14:textId="4D39D539" w:rsidR="00417BA4" w:rsidRPr="00DD27C0" w:rsidRDefault="00417BA4" w:rsidP="008B06F4">
            <w:pPr>
              <w:spacing w:before="60"/>
              <w:rPr>
                <w:rStyle w:val="longtext"/>
                <w:rFonts w:ascii="Garamond" w:hAnsi="Garamond" w:cs="Arial"/>
              </w:rPr>
            </w:pPr>
          </w:p>
          <w:p w14:paraId="5211BEB5" w14:textId="77777777" w:rsidR="00417BA4" w:rsidRPr="00DD27C0" w:rsidRDefault="00417BA4" w:rsidP="00FF7239">
            <w:pPr>
              <w:pStyle w:val="NoSpacing"/>
              <w:rPr>
                <w:rFonts w:ascii="Garamond" w:hAnsi="Garamond" w:cs="Arial"/>
                <w:bCs/>
              </w:rPr>
            </w:pPr>
          </w:p>
          <w:p w14:paraId="0DCE121B" w14:textId="77777777" w:rsidR="00417BA4" w:rsidRPr="00ED2711" w:rsidRDefault="00417BA4" w:rsidP="00FF7239">
            <w:pPr>
              <w:pStyle w:val="NoSpacing"/>
              <w:rPr>
                <w:rFonts w:ascii="Garamond" w:hAnsi="Garamond" w:cs="Arial"/>
                <w:bCs/>
              </w:rPr>
            </w:pPr>
            <w:r w:rsidRPr="00DD27C0">
              <w:rPr>
                <w:rFonts w:ascii="Garamond" w:hAnsi="Garamond" w:cs="Arial"/>
              </w:rPr>
              <w:t> </w:t>
            </w:r>
          </w:p>
        </w:tc>
        <w:tc>
          <w:tcPr>
            <w:tcW w:w="7016" w:type="dxa"/>
            <w:gridSpan w:val="3"/>
          </w:tcPr>
          <w:p w14:paraId="35993BF3" w14:textId="77777777" w:rsidR="00417BA4" w:rsidRPr="00DD27C0" w:rsidRDefault="00417BA4" w:rsidP="00173E88">
            <w:pPr>
              <w:rPr>
                <w:rFonts w:ascii="Garamond" w:hAnsi="Garamond" w:cs="Arial"/>
                <w:b/>
              </w:rPr>
            </w:pPr>
            <w:r w:rsidRPr="00DD27C0">
              <w:rPr>
                <w:rFonts w:ascii="Garamond" w:hAnsi="Garamond" w:cs="Arial"/>
                <w:b/>
                <w:u w:val="single"/>
              </w:rPr>
              <w:t>Résultat attendu 4</w:t>
            </w:r>
            <w:r w:rsidRPr="00DD27C0">
              <w:rPr>
                <w:rFonts w:ascii="Garamond" w:hAnsi="Garamond" w:cs="Arial"/>
                <w:b/>
              </w:rPr>
              <w:t> :</w:t>
            </w:r>
          </w:p>
          <w:p w14:paraId="529D9E36" w14:textId="77777777" w:rsidR="00417BA4" w:rsidRPr="00DD27C0" w:rsidRDefault="00417BA4" w:rsidP="00173E88">
            <w:pPr>
              <w:rPr>
                <w:rFonts w:ascii="Garamond" w:hAnsi="Garamond" w:cs="Arial"/>
              </w:rPr>
            </w:pPr>
            <w:r w:rsidRPr="00ED2711">
              <w:rPr>
                <w:rFonts w:ascii="Garamond" w:hAnsi="Garamond" w:cs="Arial"/>
                <w:i/>
              </w:rPr>
              <w:t>Un plan de travail est établi, exécuté et suivi en respectant les résultats attendus mentionnées ci-dessus</w:t>
            </w:r>
          </w:p>
          <w:p w14:paraId="03CB5BA8" w14:textId="77777777" w:rsidR="00417BA4" w:rsidRPr="00DD27C0" w:rsidRDefault="00417BA4" w:rsidP="006F160F">
            <w:pPr>
              <w:rPr>
                <w:rFonts w:ascii="Garamond" w:hAnsi="Garamond" w:cs="Arial"/>
                <w:b/>
                <w:u w:val="single"/>
              </w:rPr>
            </w:pPr>
          </w:p>
          <w:p w14:paraId="2B87EDEF" w14:textId="77777777" w:rsidR="00417BA4" w:rsidRPr="00DD27C0" w:rsidRDefault="00417BA4" w:rsidP="006F160F">
            <w:pPr>
              <w:rPr>
                <w:rFonts w:ascii="Garamond" w:hAnsi="Garamond" w:cs="Arial"/>
                <w:b/>
              </w:rPr>
            </w:pPr>
            <w:r w:rsidRPr="00DD27C0">
              <w:rPr>
                <w:rFonts w:ascii="Garamond" w:hAnsi="Garamond" w:cs="Arial"/>
                <w:b/>
                <w:u w:val="single"/>
              </w:rPr>
              <w:t>Réalisations accomplies</w:t>
            </w:r>
            <w:r w:rsidRPr="00DD27C0">
              <w:rPr>
                <w:rFonts w:ascii="Garamond" w:hAnsi="Garamond" w:cs="Arial"/>
                <w:b/>
              </w:rPr>
              <w:t> :</w:t>
            </w:r>
          </w:p>
          <w:p w14:paraId="7E1507A0" w14:textId="77777777" w:rsidR="00670E5F" w:rsidRDefault="00036CB7" w:rsidP="00F24171">
            <w:pPr>
              <w:keepNext/>
              <w:keepLines/>
              <w:numPr>
                <w:ilvl w:val="0"/>
                <w:numId w:val="17"/>
              </w:numPr>
              <w:spacing w:before="60"/>
              <w:jc w:val="both"/>
              <w:outlineLvl w:val="8"/>
              <w:rPr>
                <w:rFonts w:ascii="Garamond" w:hAnsi="Garamond" w:cs="Arial"/>
              </w:rPr>
            </w:pPr>
            <w:r w:rsidRPr="00DD27C0">
              <w:rPr>
                <w:rFonts w:ascii="Garamond" w:hAnsi="Garamond" w:cs="Arial"/>
              </w:rPr>
              <w:t>Sur l’initiative du Gouvernement et du FIDA, u</w:t>
            </w:r>
            <w:r w:rsidR="005533A7" w:rsidRPr="00DD27C0">
              <w:rPr>
                <w:rFonts w:ascii="Garamond" w:hAnsi="Garamond" w:cs="Arial"/>
              </w:rPr>
              <w:t xml:space="preserve">ne mission conjointe a été réalisée avec le Gouvernement pour </w:t>
            </w:r>
            <w:r w:rsidR="003E23EC" w:rsidRPr="00DD27C0">
              <w:rPr>
                <w:rFonts w:ascii="Garamond" w:hAnsi="Garamond" w:cs="Arial"/>
              </w:rPr>
              <w:t xml:space="preserve">apprécier </w:t>
            </w:r>
            <w:r w:rsidR="005533A7" w:rsidRPr="00DD27C0">
              <w:rPr>
                <w:rFonts w:ascii="Garamond" w:hAnsi="Garamond" w:cs="Arial"/>
                <w:i/>
              </w:rPr>
              <w:t>in situ</w:t>
            </w:r>
            <w:r w:rsidR="005533A7" w:rsidRPr="00DD27C0">
              <w:rPr>
                <w:rFonts w:ascii="Garamond" w:hAnsi="Garamond" w:cs="Arial"/>
              </w:rPr>
              <w:t xml:space="preserve"> les réalisation du projet SBI financé par le Gouvernement (prêt FIDA) et par PBF </w:t>
            </w:r>
          </w:p>
          <w:p w14:paraId="7AFF2B41" w14:textId="4FBA5CE6" w:rsidR="00670E5F" w:rsidRDefault="00670E5F" w:rsidP="00F24171">
            <w:pPr>
              <w:keepNext/>
              <w:keepLines/>
              <w:numPr>
                <w:ilvl w:val="0"/>
                <w:numId w:val="17"/>
              </w:numPr>
              <w:spacing w:before="60"/>
              <w:jc w:val="both"/>
              <w:outlineLvl w:val="8"/>
              <w:rPr>
                <w:rFonts w:ascii="Garamond" w:hAnsi="Garamond" w:cs="Arial"/>
              </w:rPr>
            </w:pPr>
            <w:r>
              <w:rPr>
                <w:rFonts w:ascii="Garamond" w:hAnsi="Garamond" w:cs="Arial"/>
              </w:rPr>
              <w:t xml:space="preserve">La date de clôture du projet étant le 30 juin 2012, il sera important de demander la prorogation </w:t>
            </w:r>
            <w:r w:rsidR="00E369C8">
              <w:rPr>
                <w:rFonts w:ascii="Garamond" w:hAnsi="Garamond" w:cs="Arial"/>
              </w:rPr>
              <w:t xml:space="preserve">sans-coût </w:t>
            </w:r>
            <w:r>
              <w:rPr>
                <w:rFonts w:ascii="Garamond" w:hAnsi="Garamond" w:cs="Arial"/>
              </w:rPr>
              <w:t>du projet de 3 mois, comme indiqué dans le rapport de la période janvier – mars 2012 à cause des de</w:t>
            </w:r>
            <w:r w:rsidR="000A5E56">
              <w:rPr>
                <w:rFonts w:ascii="Garamond" w:hAnsi="Garamond" w:cs="Arial"/>
              </w:rPr>
              <w:t xml:space="preserve">rnières activités du projet qu’il </w:t>
            </w:r>
            <w:r>
              <w:rPr>
                <w:rFonts w:ascii="Garamond" w:hAnsi="Garamond" w:cs="Arial"/>
              </w:rPr>
              <w:t xml:space="preserve">restent à mettre en </w:t>
            </w:r>
            <w:r w:rsidR="000A5E56">
              <w:rPr>
                <w:rFonts w:ascii="Garamond" w:hAnsi="Garamond" w:cs="Arial"/>
              </w:rPr>
              <w:t>œuvre afin d’assurer la pérennisation, la création de lien avec le secteur privé/les marchés et la stratégie de sortie du projet</w:t>
            </w:r>
          </w:p>
          <w:p w14:paraId="3716B774" w14:textId="182DAC94" w:rsidR="005533A7" w:rsidRPr="00DD27C0" w:rsidRDefault="005533A7" w:rsidP="002F76C3">
            <w:pPr>
              <w:numPr>
                <w:ilvl w:val="0"/>
                <w:numId w:val="17"/>
              </w:numPr>
              <w:spacing w:before="60"/>
              <w:jc w:val="both"/>
              <w:rPr>
                <w:rFonts w:ascii="Garamond" w:hAnsi="Garamond" w:cs="Arial"/>
              </w:rPr>
            </w:pPr>
            <w:r w:rsidRPr="00DD27C0">
              <w:rPr>
                <w:rFonts w:ascii="Garamond" w:hAnsi="Garamond" w:cs="Arial"/>
              </w:rPr>
              <w:t xml:space="preserve">La mission de suivi a apprécié la réalisation des activités et les résultats </w:t>
            </w:r>
            <w:proofErr w:type="gramStart"/>
            <w:r w:rsidRPr="00DD27C0">
              <w:rPr>
                <w:rFonts w:ascii="Garamond" w:hAnsi="Garamond" w:cs="Arial"/>
              </w:rPr>
              <w:t>encourageantes</w:t>
            </w:r>
            <w:proofErr w:type="gramEnd"/>
            <w:r w:rsidRPr="00DD27C0">
              <w:rPr>
                <w:rFonts w:ascii="Garamond" w:hAnsi="Garamond" w:cs="Arial"/>
              </w:rPr>
              <w:t xml:space="preserve"> sur les 3 sites de </w:t>
            </w:r>
            <w:proofErr w:type="spellStart"/>
            <w:r w:rsidRPr="00DD27C0">
              <w:rPr>
                <w:rFonts w:ascii="Garamond" w:hAnsi="Garamond" w:cs="Arial"/>
              </w:rPr>
              <w:t>Mushweshwe</w:t>
            </w:r>
            <w:proofErr w:type="spellEnd"/>
            <w:r w:rsidRPr="00DD27C0">
              <w:rPr>
                <w:rFonts w:ascii="Garamond" w:hAnsi="Garamond" w:cs="Arial"/>
              </w:rPr>
              <w:t xml:space="preserve">, </w:t>
            </w:r>
            <w:proofErr w:type="spellStart"/>
            <w:r w:rsidRPr="00DD27C0">
              <w:rPr>
                <w:rFonts w:ascii="Garamond" w:hAnsi="Garamond" w:cs="Arial"/>
              </w:rPr>
              <w:t>Walungu</w:t>
            </w:r>
            <w:proofErr w:type="spellEnd"/>
            <w:r w:rsidRPr="00DD27C0">
              <w:rPr>
                <w:rFonts w:ascii="Garamond" w:hAnsi="Garamond" w:cs="Arial"/>
              </w:rPr>
              <w:t xml:space="preserve"> et </w:t>
            </w:r>
            <w:proofErr w:type="spellStart"/>
            <w:r w:rsidRPr="00DD27C0">
              <w:rPr>
                <w:rFonts w:ascii="Garamond" w:hAnsi="Garamond" w:cs="Arial"/>
              </w:rPr>
              <w:t>Kamanyola</w:t>
            </w:r>
            <w:proofErr w:type="spellEnd"/>
            <w:r w:rsidRPr="00DD27C0">
              <w:rPr>
                <w:rFonts w:ascii="Garamond" w:hAnsi="Garamond" w:cs="Arial"/>
              </w:rPr>
              <w:t xml:space="preserve"> visités</w:t>
            </w:r>
            <w:r w:rsidR="00BA6045" w:rsidRPr="00DD27C0">
              <w:rPr>
                <w:rFonts w:ascii="Garamond" w:hAnsi="Garamond" w:cs="Arial"/>
              </w:rPr>
              <w:t>.</w:t>
            </w:r>
            <w:r w:rsidRPr="00DD27C0">
              <w:rPr>
                <w:rFonts w:ascii="Garamond" w:hAnsi="Garamond" w:cs="Arial"/>
              </w:rPr>
              <w:t xml:space="preserve"> Cependant, certaines faiblesses de gestion opérationnelle et de coordination de l’Unité de Gestion du projet </w:t>
            </w:r>
            <w:r w:rsidR="00BA6045" w:rsidRPr="00DD27C0">
              <w:rPr>
                <w:rFonts w:ascii="Garamond" w:hAnsi="Garamond" w:cs="Arial"/>
              </w:rPr>
              <w:t>(</w:t>
            </w:r>
            <w:proofErr w:type="spellStart"/>
            <w:r w:rsidRPr="00DD27C0">
              <w:rPr>
                <w:rFonts w:ascii="Garamond" w:hAnsi="Garamond" w:cs="Arial"/>
              </w:rPr>
              <w:t>copiloté</w:t>
            </w:r>
            <w:proofErr w:type="spellEnd"/>
            <w:r w:rsidRPr="00DD27C0">
              <w:rPr>
                <w:rFonts w:ascii="Garamond" w:hAnsi="Garamond" w:cs="Arial"/>
              </w:rPr>
              <w:t xml:space="preserve"> par BEA et le Ministère de l’Agriculture</w:t>
            </w:r>
            <w:r w:rsidR="00BA6045" w:rsidRPr="00DD27C0">
              <w:rPr>
                <w:rFonts w:ascii="Garamond" w:hAnsi="Garamond" w:cs="Arial"/>
              </w:rPr>
              <w:t>)</w:t>
            </w:r>
            <w:r w:rsidRPr="00DD27C0">
              <w:rPr>
                <w:rFonts w:ascii="Garamond" w:hAnsi="Garamond" w:cs="Arial"/>
              </w:rPr>
              <w:t xml:space="preserve"> a été relevé</w:t>
            </w:r>
            <w:r w:rsidR="00E36E1B" w:rsidRPr="00DD27C0">
              <w:rPr>
                <w:rFonts w:ascii="Garamond" w:hAnsi="Garamond" w:cs="Arial"/>
              </w:rPr>
              <w:t xml:space="preserve">. </w:t>
            </w:r>
          </w:p>
          <w:p w14:paraId="49B6C1AF" w14:textId="79431B28" w:rsidR="0096329C" w:rsidRPr="00DD27C0" w:rsidRDefault="0096329C" w:rsidP="009E0077">
            <w:pPr>
              <w:numPr>
                <w:ilvl w:val="0"/>
                <w:numId w:val="17"/>
              </w:numPr>
              <w:spacing w:before="60"/>
              <w:jc w:val="both"/>
              <w:rPr>
                <w:rFonts w:ascii="Garamond" w:hAnsi="Garamond" w:cs="Arial"/>
              </w:rPr>
            </w:pPr>
            <w:r w:rsidRPr="00DD27C0">
              <w:rPr>
                <w:rFonts w:ascii="Garamond" w:hAnsi="Garamond" w:cs="Arial"/>
              </w:rPr>
              <w:t xml:space="preserve">BEA a soumis un rapport technique en </w:t>
            </w:r>
            <w:r w:rsidR="009E0077" w:rsidRPr="00DD27C0">
              <w:rPr>
                <w:rFonts w:ascii="Garamond" w:hAnsi="Garamond" w:cs="Arial"/>
              </w:rPr>
              <w:t xml:space="preserve">juin </w:t>
            </w:r>
            <w:r w:rsidRPr="00DD27C0">
              <w:rPr>
                <w:rFonts w:ascii="Garamond" w:hAnsi="Garamond" w:cs="Arial"/>
              </w:rPr>
              <w:t xml:space="preserve">2012 couvrant la période </w:t>
            </w:r>
            <w:r w:rsidR="009E0077" w:rsidRPr="00DD27C0">
              <w:rPr>
                <w:rFonts w:ascii="Garamond" w:hAnsi="Garamond" w:cs="Arial"/>
              </w:rPr>
              <w:t>avril-juin</w:t>
            </w:r>
            <w:r w:rsidRPr="00DD27C0">
              <w:rPr>
                <w:rFonts w:ascii="Garamond" w:hAnsi="Garamond" w:cs="Arial"/>
              </w:rPr>
              <w:t xml:space="preserve"> 2012.</w:t>
            </w:r>
          </w:p>
        </w:tc>
        <w:tc>
          <w:tcPr>
            <w:tcW w:w="3244" w:type="dxa"/>
            <w:vMerge w:val="restart"/>
          </w:tcPr>
          <w:p w14:paraId="03313B6F" w14:textId="77777777" w:rsidR="00417BA4" w:rsidRPr="00ED2711" w:rsidRDefault="00417BA4" w:rsidP="00362FEB">
            <w:pPr>
              <w:rPr>
                <w:rFonts w:ascii="Garamond" w:hAnsi="Garamond" w:cs="Arial"/>
              </w:rPr>
            </w:pPr>
          </w:p>
        </w:tc>
      </w:tr>
      <w:tr w:rsidR="00417BA4" w:rsidRPr="00DD27C0" w14:paraId="752828CE" w14:textId="77777777" w:rsidTr="00D9143D">
        <w:trPr>
          <w:trHeight w:val="179"/>
        </w:trPr>
        <w:tc>
          <w:tcPr>
            <w:tcW w:w="9716" w:type="dxa"/>
            <w:gridSpan w:val="5"/>
          </w:tcPr>
          <w:p w14:paraId="2BB6A008" w14:textId="2A2B6775" w:rsidR="00417BA4" w:rsidRPr="00DD27C0" w:rsidRDefault="00417BA4" w:rsidP="008B68C0">
            <w:pPr>
              <w:jc w:val="both"/>
              <w:rPr>
                <w:rFonts w:ascii="Garamond" w:hAnsi="Garamond" w:cs="Arial"/>
              </w:rPr>
            </w:pPr>
            <w:r w:rsidRPr="00DD27C0">
              <w:rPr>
                <w:rFonts w:ascii="Garamond" w:hAnsi="Garamond" w:cs="Arial"/>
                <w:b/>
              </w:rPr>
              <w:t>Réalisations accomplies par rapport aux prévisions avec référence aux indicateurs des résultats stratégiques (effets sectoriels)</w:t>
            </w:r>
          </w:p>
          <w:p w14:paraId="7E7E68BD" w14:textId="77777777" w:rsidR="008D415E" w:rsidRPr="00DD27C0" w:rsidRDefault="008D415E" w:rsidP="008D415E">
            <w:pPr>
              <w:jc w:val="both"/>
              <w:rPr>
                <w:rFonts w:ascii="Garamond" w:hAnsi="Garamond" w:cs="Arial"/>
              </w:rPr>
            </w:pPr>
            <w:r w:rsidRPr="00DD27C0">
              <w:rPr>
                <w:rFonts w:ascii="Garamond" w:hAnsi="Garamond" w:cs="Arial"/>
                <w:b/>
                <w:bCs/>
              </w:rPr>
              <w:t> </w:t>
            </w:r>
          </w:p>
          <w:p w14:paraId="52851D1C" w14:textId="77777777" w:rsidR="008D415E" w:rsidRPr="00DD27C0" w:rsidRDefault="008D415E" w:rsidP="008D415E">
            <w:pPr>
              <w:jc w:val="both"/>
              <w:rPr>
                <w:rFonts w:ascii="Garamond" w:hAnsi="Garamond" w:cs="Arial"/>
              </w:rPr>
            </w:pPr>
            <w:r w:rsidRPr="00DD27C0">
              <w:rPr>
                <w:rFonts w:ascii="Garamond" w:hAnsi="Garamond" w:cs="Arial"/>
                <w:i/>
              </w:rPr>
              <w:lastRenderedPageBreak/>
              <w:t xml:space="preserve">R (3): Les jeunes, les femmes et autres groupes marginalisés agissent comme un </w:t>
            </w:r>
            <w:proofErr w:type="spellStart"/>
            <w:r w:rsidRPr="00DD27C0">
              <w:rPr>
                <w:rFonts w:ascii="Garamond" w:hAnsi="Garamond" w:cs="Arial"/>
                <w:i/>
              </w:rPr>
              <w:t>catalysateur</w:t>
            </w:r>
            <w:proofErr w:type="spellEnd"/>
            <w:r w:rsidRPr="00DD27C0">
              <w:rPr>
                <w:rFonts w:ascii="Garamond" w:hAnsi="Garamond" w:cs="Arial"/>
                <w:i/>
              </w:rPr>
              <w:t xml:space="preserve"> en </w:t>
            </w:r>
            <w:proofErr w:type="spellStart"/>
            <w:r w:rsidRPr="00DD27C0">
              <w:rPr>
                <w:rFonts w:ascii="Garamond" w:hAnsi="Garamond" w:cs="Arial"/>
                <w:i/>
              </w:rPr>
              <w:t>vu</w:t>
            </w:r>
            <w:proofErr w:type="spellEnd"/>
            <w:r w:rsidRPr="00DD27C0">
              <w:rPr>
                <w:rFonts w:ascii="Garamond" w:hAnsi="Garamond" w:cs="Arial"/>
                <w:i/>
              </w:rPr>
              <w:t xml:space="preserve"> d'initier le processus de paix et la reprise économique. (indicateurs : Emploi à court terme, moyen de subsistance, secteur privé)</w:t>
            </w:r>
          </w:p>
          <w:p w14:paraId="4A315015" w14:textId="0A3E7CCE" w:rsidR="00B61DE0" w:rsidRPr="00DD27C0" w:rsidRDefault="008D415E" w:rsidP="008D415E">
            <w:pPr>
              <w:jc w:val="both"/>
              <w:rPr>
                <w:rFonts w:ascii="Garamond" w:hAnsi="Garamond" w:cs="Arial"/>
              </w:rPr>
            </w:pPr>
            <w:r w:rsidRPr="00DD27C0">
              <w:rPr>
                <w:rFonts w:ascii="Garamond" w:hAnsi="Garamond" w:cs="Arial"/>
              </w:rPr>
              <w:t xml:space="preserve">Les réalisations du projet </w:t>
            </w:r>
            <w:r w:rsidR="006409B3" w:rsidRPr="00DD27C0">
              <w:rPr>
                <w:rFonts w:ascii="Garamond" w:hAnsi="Garamond" w:cs="Arial"/>
              </w:rPr>
              <w:t xml:space="preserve">ont </w:t>
            </w:r>
            <w:r w:rsidRPr="00DD27C0">
              <w:rPr>
                <w:rFonts w:ascii="Garamond" w:hAnsi="Garamond" w:cs="Arial"/>
              </w:rPr>
              <w:t>contribu</w:t>
            </w:r>
            <w:r w:rsidR="006409B3" w:rsidRPr="00DD27C0">
              <w:rPr>
                <w:rFonts w:ascii="Garamond" w:hAnsi="Garamond" w:cs="Arial"/>
              </w:rPr>
              <w:t>é</w:t>
            </w:r>
            <w:r w:rsidRPr="00DD27C0">
              <w:rPr>
                <w:rFonts w:ascii="Garamond" w:hAnsi="Garamond" w:cs="Arial"/>
              </w:rPr>
              <w:t xml:space="preserve"> au processus de </w:t>
            </w:r>
            <w:r w:rsidR="006409B3" w:rsidRPr="00DD27C0">
              <w:rPr>
                <w:rFonts w:ascii="Garamond" w:hAnsi="Garamond" w:cs="Arial"/>
              </w:rPr>
              <w:t xml:space="preserve">la </w:t>
            </w:r>
            <w:r w:rsidR="0006672F" w:rsidRPr="00DD27C0">
              <w:rPr>
                <w:rFonts w:ascii="Garamond" w:hAnsi="Garamond" w:cs="Arial"/>
              </w:rPr>
              <w:t xml:space="preserve">relance d’une dynamique socioéconomique ayant un fort potentiel de stabilisation </w:t>
            </w:r>
            <w:r w:rsidR="006409B3" w:rsidRPr="00DD27C0">
              <w:rPr>
                <w:rFonts w:ascii="Garamond" w:hAnsi="Garamond" w:cs="Arial"/>
              </w:rPr>
              <w:t>des communauté</w:t>
            </w:r>
            <w:r w:rsidR="0006672F" w:rsidRPr="00DD27C0">
              <w:rPr>
                <w:rFonts w:ascii="Garamond" w:hAnsi="Garamond" w:cs="Arial"/>
              </w:rPr>
              <w:t>s locales</w:t>
            </w:r>
            <w:r w:rsidR="006409B3" w:rsidRPr="00DD27C0">
              <w:rPr>
                <w:rFonts w:ascii="Garamond" w:hAnsi="Garamond" w:cs="Arial"/>
              </w:rPr>
              <w:t xml:space="preserve"> à travers </w:t>
            </w:r>
            <w:r w:rsidR="0006672F" w:rsidRPr="00DD27C0">
              <w:rPr>
                <w:rFonts w:ascii="Garamond" w:hAnsi="Garamond" w:cs="Arial"/>
              </w:rPr>
              <w:t xml:space="preserve">des </w:t>
            </w:r>
            <w:r w:rsidR="006409B3" w:rsidRPr="00DD27C0">
              <w:rPr>
                <w:rFonts w:ascii="Garamond" w:hAnsi="Garamond" w:cs="Arial"/>
              </w:rPr>
              <w:t>transfert</w:t>
            </w:r>
            <w:r w:rsidR="00A657C4" w:rsidRPr="00DD27C0">
              <w:rPr>
                <w:rFonts w:ascii="Garamond" w:hAnsi="Garamond" w:cs="Arial"/>
              </w:rPr>
              <w:t>s</w:t>
            </w:r>
            <w:r w:rsidR="006409B3" w:rsidRPr="00DD27C0">
              <w:rPr>
                <w:rFonts w:ascii="Garamond" w:hAnsi="Garamond" w:cs="Arial"/>
              </w:rPr>
              <w:t xml:space="preserve"> de connaissances et de compétences dans la gestion des ressources naturelles et des déchets au </w:t>
            </w:r>
            <w:r w:rsidR="005F532F" w:rsidRPr="00DD27C0">
              <w:rPr>
                <w:rFonts w:ascii="Garamond" w:hAnsi="Garamond" w:cs="Arial"/>
              </w:rPr>
              <w:t xml:space="preserve">bénéfice des </w:t>
            </w:r>
            <w:r w:rsidR="006409B3" w:rsidRPr="00DD27C0">
              <w:rPr>
                <w:rFonts w:ascii="Garamond" w:hAnsi="Garamond" w:cs="Arial"/>
              </w:rPr>
              <w:t>populations vulnérables et marginalisés, notamment les ex-combattants, les jeunes et les femmes victimes des instabilités sociopolitique et économiques au Sud Kivu. L’application de ces techniques</w:t>
            </w:r>
            <w:r w:rsidR="00A657C4" w:rsidRPr="00DD27C0">
              <w:rPr>
                <w:rFonts w:ascii="Garamond" w:hAnsi="Garamond" w:cs="Arial"/>
              </w:rPr>
              <w:t xml:space="preserve"> SBI</w:t>
            </w:r>
            <w:r w:rsidR="006409B3" w:rsidRPr="00DD27C0">
              <w:rPr>
                <w:rFonts w:ascii="Garamond" w:hAnsi="Garamond" w:cs="Arial"/>
              </w:rPr>
              <w:t xml:space="preserve"> simple</w:t>
            </w:r>
            <w:r w:rsidR="00A657C4" w:rsidRPr="00DD27C0">
              <w:rPr>
                <w:rFonts w:ascii="Garamond" w:hAnsi="Garamond" w:cs="Arial"/>
              </w:rPr>
              <w:t>s</w:t>
            </w:r>
            <w:r w:rsidR="006409B3" w:rsidRPr="00DD27C0">
              <w:rPr>
                <w:rFonts w:ascii="Garamond" w:hAnsi="Garamond" w:cs="Arial"/>
              </w:rPr>
              <w:t xml:space="preserve">, </w:t>
            </w:r>
            <w:r w:rsidR="00A657C4" w:rsidRPr="00DD27C0">
              <w:rPr>
                <w:rFonts w:ascii="Garamond" w:hAnsi="Garamond" w:cs="Arial"/>
              </w:rPr>
              <w:t xml:space="preserve">peu </w:t>
            </w:r>
            <w:r w:rsidR="006409B3" w:rsidRPr="00DD27C0">
              <w:rPr>
                <w:rFonts w:ascii="Garamond" w:hAnsi="Garamond" w:cs="Arial"/>
              </w:rPr>
              <w:t>coûteuse</w:t>
            </w:r>
            <w:r w:rsidR="00A657C4" w:rsidRPr="00DD27C0">
              <w:rPr>
                <w:rFonts w:ascii="Garamond" w:hAnsi="Garamond" w:cs="Arial"/>
              </w:rPr>
              <w:t>s</w:t>
            </w:r>
            <w:r w:rsidR="006409B3" w:rsidRPr="00DD27C0">
              <w:rPr>
                <w:rFonts w:ascii="Garamond" w:hAnsi="Garamond" w:cs="Arial"/>
              </w:rPr>
              <w:t xml:space="preserve"> et efficace de production de </w:t>
            </w:r>
            <w:proofErr w:type="spellStart"/>
            <w:r w:rsidR="006409B3" w:rsidRPr="00DD27C0">
              <w:rPr>
                <w:rFonts w:ascii="Garamond" w:hAnsi="Garamond" w:cs="Arial"/>
              </w:rPr>
              <w:t>biogas</w:t>
            </w:r>
            <w:proofErr w:type="spellEnd"/>
            <w:r w:rsidR="006409B3" w:rsidRPr="00DD27C0">
              <w:rPr>
                <w:rFonts w:ascii="Garamond" w:hAnsi="Garamond" w:cs="Arial"/>
              </w:rPr>
              <w:t xml:space="preserve">, de </w:t>
            </w:r>
            <w:proofErr w:type="spellStart"/>
            <w:r w:rsidR="006409B3" w:rsidRPr="00DD27C0">
              <w:rPr>
                <w:rFonts w:ascii="Garamond" w:hAnsi="Garamond" w:cs="Arial"/>
              </w:rPr>
              <w:t>biofertilisants</w:t>
            </w:r>
            <w:proofErr w:type="spellEnd"/>
            <w:r w:rsidR="006409B3" w:rsidRPr="00DD27C0">
              <w:rPr>
                <w:rFonts w:ascii="Garamond" w:hAnsi="Garamond" w:cs="Arial"/>
              </w:rPr>
              <w:t xml:space="preserve">, de produits agricoles a facilité </w:t>
            </w:r>
            <w:r w:rsidRPr="00DD27C0">
              <w:rPr>
                <w:rFonts w:ascii="Garamond" w:hAnsi="Garamond" w:cs="Arial"/>
              </w:rPr>
              <w:t xml:space="preserve">la reprise </w:t>
            </w:r>
            <w:r w:rsidR="006409B3" w:rsidRPr="00DD27C0">
              <w:rPr>
                <w:rFonts w:ascii="Garamond" w:hAnsi="Garamond" w:cs="Arial"/>
              </w:rPr>
              <w:t xml:space="preserve">de la dynamique sociale et </w:t>
            </w:r>
            <w:r w:rsidRPr="00DD27C0">
              <w:rPr>
                <w:rFonts w:ascii="Garamond" w:hAnsi="Garamond" w:cs="Arial"/>
              </w:rPr>
              <w:t>économique</w:t>
            </w:r>
            <w:r w:rsidR="00A657C4" w:rsidRPr="00DD27C0">
              <w:rPr>
                <w:rFonts w:ascii="Garamond" w:hAnsi="Garamond" w:cs="Arial"/>
              </w:rPr>
              <w:t xml:space="preserve"> </w:t>
            </w:r>
            <w:r w:rsidR="00870127" w:rsidRPr="00DD27C0">
              <w:rPr>
                <w:rFonts w:ascii="Garamond" w:hAnsi="Garamond" w:cs="Arial"/>
              </w:rPr>
              <w:t>et</w:t>
            </w:r>
            <w:r w:rsidR="006409B3" w:rsidRPr="00DD27C0">
              <w:rPr>
                <w:rFonts w:ascii="Garamond" w:hAnsi="Garamond" w:cs="Arial"/>
              </w:rPr>
              <w:t xml:space="preserve"> </w:t>
            </w:r>
            <w:r w:rsidRPr="00DD27C0">
              <w:rPr>
                <w:rFonts w:ascii="Garamond" w:hAnsi="Garamond" w:cs="Arial"/>
              </w:rPr>
              <w:t>la création d’emploi</w:t>
            </w:r>
            <w:r w:rsidR="002036C7" w:rsidRPr="00DD27C0">
              <w:rPr>
                <w:rFonts w:ascii="Garamond" w:hAnsi="Garamond" w:cs="Arial"/>
              </w:rPr>
              <w:t xml:space="preserve"> et de revenues </w:t>
            </w:r>
            <w:r w:rsidR="00A657C4" w:rsidRPr="00DD27C0">
              <w:rPr>
                <w:rFonts w:ascii="Garamond" w:hAnsi="Garamond" w:cs="Arial"/>
              </w:rPr>
              <w:t>au sein des 250 Paysans Modèles (50% femmes)</w:t>
            </w:r>
            <w:r w:rsidR="0082564A" w:rsidRPr="00DD27C0">
              <w:rPr>
                <w:rFonts w:ascii="Garamond" w:hAnsi="Garamond" w:cs="Arial"/>
              </w:rPr>
              <w:t>,</w:t>
            </w:r>
            <w:r w:rsidR="00A657C4" w:rsidRPr="00DD27C0">
              <w:rPr>
                <w:rFonts w:ascii="Garamond" w:hAnsi="Garamond" w:cs="Arial"/>
              </w:rPr>
              <w:t xml:space="preserve"> bénéficiaires directes du projet</w:t>
            </w:r>
            <w:r w:rsidR="0082564A" w:rsidRPr="00DD27C0">
              <w:rPr>
                <w:rFonts w:ascii="Garamond" w:hAnsi="Garamond" w:cs="Arial"/>
              </w:rPr>
              <w:t>, mais aussi pa</w:t>
            </w:r>
            <w:r w:rsidR="008346D6" w:rsidRPr="00DD27C0">
              <w:rPr>
                <w:rFonts w:ascii="Garamond" w:hAnsi="Garamond" w:cs="Arial"/>
              </w:rPr>
              <w:t>r</w:t>
            </w:r>
            <w:r w:rsidR="0082564A" w:rsidRPr="00DD27C0">
              <w:rPr>
                <w:rFonts w:ascii="Garamond" w:hAnsi="Garamond" w:cs="Arial"/>
              </w:rPr>
              <w:t xml:space="preserve">mi les autres membres de la </w:t>
            </w:r>
            <w:r w:rsidR="008346D6" w:rsidRPr="00DD27C0">
              <w:rPr>
                <w:rFonts w:ascii="Garamond" w:hAnsi="Garamond" w:cs="Arial"/>
              </w:rPr>
              <w:t>communauté</w:t>
            </w:r>
            <w:r w:rsidR="006409B3" w:rsidRPr="00DD27C0">
              <w:rPr>
                <w:rFonts w:ascii="Garamond" w:hAnsi="Garamond" w:cs="Arial"/>
              </w:rPr>
              <w:t>.</w:t>
            </w:r>
            <w:r w:rsidR="008346D6" w:rsidRPr="00DD27C0">
              <w:rPr>
                <w:rFonts w:ascii="Garamond" w:hAnsi="Garamond" w:cs="Arial"/>
              </w:rPr>
              <w:t xml:space="preserve"> La demande de faire partie du groupe des 250 Paysans Modèles a fortement grandit sur tous les sites vu le changement </w:t>
            </w:r>
            <w:r w:rsidR="00347E60" w:rsidRPr="00DD27C0">
              <w:rPr>
                <w:rFonts w:ascii="Garamond" w:hAnsi="Garamond" w:cs="Arial"/>
              </w:rPr>
              <w:t xml:space="preserve">encourageant </w:t>
            </w:r>
            <w:r w:rsidR="008346D6" w:rsidRPr="00DD27C0">
              <w:rPr>
                <w:rFonts w:ascii="Garamond" w:hAnsi="Garamond" w:cs="Arial"/>
              </w:rPr>
              <w:t>observé par la population locale au niveau socioéconomique des Paysans Modèles SBI et la transformation de l’environnemental en espace vert</w:t>
            </w:r>
            <w:r w:rsidR="00C961F7" w:rsidRPr="00DD27C0">
              <w:rPr>
                <w:rFonts w:ascii="Garamond" w:hAnsi="Garamond" w:cs="Arial"/>
              </w:rPr>
              <w:t xml:space="preserve"> </w:t>
            </w:r>
            <w:r w:rsidR="008B36B3" w:rsidRPr="00DD27C0">
              <w:rPr>
                <w:rFonts w:ascii="Garamond" w:hAnsi="Garamond" w:cs="Arial"/>
              </w:rPr>
              <w:t xml:space="preserve">sur les site SBI </w:t>
            </w:r>
            <w:r w:rsidR="00C961F7" w:rsidRPr="00DD27C0">
              <w:rPr>
                <w:rFonts w:ascii="Garamond" w:hAnsi="Garamond" w:cs="Arial"/>
              </w:rPr>
              <w:t>depuis le début du projet</w:t>
            </w:r>
            <w:r w:rsidR="008346D6" w:rsidRPr="00DD27C0">
              <w:rPr>
                <w:rFonts w:ascii="Garamond" w:hAnsi="Garamond" w:cs="Arial"/>
              </w:rPr>
              <w:t>.</w:t>
            </w:r>
          </w:p>
          <w:p w14:paraId="532DA2D5" w14:textId="1D28A317" w:rsidR="00675CC3" w:rsidRPr="00DD27C0" w:rsidRDefault="0094314E" w:rsidP="008D415E">
            <w:pPr>
              <w:jc w:val="both"/>
              <w:rPr>
                <w:rFonts w:ascii="Garamond" w:hAnsi="Garamond" w:cs="Arial"/>
              </w:rPr>
            </w:pPr>
            <w:r w:rsidRPr="00DD27C0">
              <w:rPr>
                <w:rFonts w:ascii="Garamond" w:hAnsi="Garamond" w:cs="Arial"/>
              </w:rPr>
              <w:t xml:space="preserve">Parmi </w:t>
            </w:r>
            <w:r w:rsidR="00B61DE0" w:rsidRPr="00DD27C0">
              <w:rPr>
                <w:rFonts w:ascii="Garamond" w:hAnsi="Garamond" w:cs="Arial"/>
              </w:rPr>
              <w:t xml:space="preserve">les sites visités lors de la mission de suivi conjointe avec le Gouvernement en juin 2012, les bénéficiaires et les représentants du Gouvernement local et provincial </w:t>
            </w:r>
            <w:r w:rsidR="00CD10D3" w:rsidRPr="00DD27C0">
              <w:rPr>
                <w:rFonts w:ascii="Garamond" w:hAnsi="Garamond" w:cs="Arial"/>
              </w:rPr>
              <w:t xml:space="preserve">ont exprimé leur </w:t>
            </w:r>
            <w:r w:rsidR="003F3EC0" w:rsidRPr="00DD27C0">
              <w:rPr>
                <w:rFonts w:ascii="Garamond" w:hAnsi="Garamond" w:cs="Arial"/>
              </w:rPr>
              <w:t xml:space="preserve">adhésion totale </w:t>
            </w:r>
            <w:r w:rsidR="00CD10D3" w:rsidRPr="00DD27C0">
              <w:rPr>
                <w:rFonts w:ascii="Garamond" w:hAnsi="Garamond" w:cs="Arial"/>
              </w:rPr>
              <w:t>envers le projet. Ils ont souhait</w:t>
            </w:r>
            <w:r w:rsidR="003F3EC0" w:rsidRPr="00DD27C0">
              <w:rPr>
                <w:rFonts w:ascii="Garamond" w:hAnsi="Garamond" w:cs="Arial"/>
              </w:rPr>
              <w:t>é</w:t>
            </w:r>
            <w:r w:rsidR="00CD10D3" w:rsidRPr="00DD27C0">
              <w:rPr>
                <w:rFonts w:ascii="Garamond" w:hAnsi="Garamond" w:cs="Arial"/>
              </w:rPr>
              <w:t xml:space="preserve"> </w:t>
            </w:r>
            <w:r w:rsidR="003F3EC0" w:rsidRPr="00DD27C0">
              <w:rPr>
                <w:rFonts w:ascii="Garamond" w:hAnsi="Garamond" w:cs="Arial"/>
              </w:rPr>
              <w:t>que</w:t>
            </w:r>
            <w:r w:rsidR="00CD10D3" w:rsidRPr="00DD27C0">
              <w:rPr>
                <w:rFonts w:ascii="Garamond" w:hAnsi="Garamond" w:cs="Arial"/>
              </w:rPr>
              <w:t xml:space="preserve"> le</w:t>
            </w:r>
            <w:r w:rsidR="003F3EC0" w:rsidRPr="00DD27C0">
              <w:rPr>
                <w:rFonts w:ascii="Garamond" w:hAnsi="Garamond" w:cs="Arial"/>
              </w:rPr>
              <w:t xml:space="preserve"> projet</w:t>
            </w:r>
            <w:r w:rsidR="00694C52" w:rsidRPr="00DD27C0">
              <w:rPr>
                <w:rFonts w:ascii="Garamond" w:hAnsi="Garamond" w:cs="Arial"/>
              </w:rPr>
              <w:t>, le Gouvernement et les bailleurs</w:t>
            </w:r>
            <w:r w:rsidR="003F3EC0" w:rsidRPr="00DD27C0">
              <w:rPr>
                <w:rFonts w:ascii="Garamond" w:hAnsi="Garamond" w:cs="Arial"/>
              </w:rPr>
              <w:t xml:space="preserve"> les aident à renforcer les</w:t>
            </w:r>
            <w:r w:rsidR="00CD10D3" w:rsidRPr="00DD27C0">
              <w:rPr>
                <w:rFonts w:ascii="Garamond" w:hAnsi="Garamond" w:cs="Arial"/>
              </w:rPr>
              <w:t xml:space="preserve"> acquis </w:t>
            </w:r>
            <w:r w:rsidR="00AA46BF" w:rsidRPr="00DD27C0">
              <w:rPr>
                <w:rFonts w:ascii="Garamond" w:hAnsi="Garamond" w:cs="Arial"/>
              </w:rPr>
              <w:t xml:space="preserve">catalyseurs du projet </w:t>
            </w:r>
            <w:r w:rsidR="00675CC3" w:rsidRPr="00DD27C0">
              <w:rPr>
                <w:rFonts w:ascii="Garamond" w:hAnsi="Garamond" w:cs="Arial"/>
              </w:rPr>
              <w:t>qui leur ont permis (i) d’apprendre la gestion efficace des ressources naturelles, des déchets et de protéger leur environnement (iii) de produire de la richesse (</w:t>
            </w:r>
            <w:proofErr w:type="spellStart"/>
            <w:r w:rsidR="00675CC3" w:rsidRPr="00DD27C0">
              <w:rPr>
                <w:rFonts w:ascii="Garamond" w:hAnsi="Garamond" w:cs="Arial"/>
              </w:rPr>
              <w:t>biodigesteur</w:t>
            </w:r>
            <w:proofErr w:type="spellEnd"/>
            <w:r w:rsidR="00675CC3" w:rsidRPr="00DD27C0">
              <w:rPr>
                <w:rFonts w:ascii="Garamond" w:hAnsi="Garamond" w:cs="Arial"/>
              </w:rPr>
              <w:t xml:space="preserve">, </w:t>
            </w:r>
            <w:proofErr w:type="spellStart"/>
            <w:r w:rsidR="00675CC3" w:rsidRPr="00DD27C0">
              <w:rPr>
                <w:rFonts w:ascii="Garamond" w:hAnsi="Garamond" w:cs="Arial"/>
              </w:rPr>
              <w:t>biogas</w:t>
            </w:r>
            <w:proofErr w:type="spellEnd"/>
            <w:r w:rsidR="00675CC3" w:rsidRPr="00DD27C0">
              <w:rPr>
                <w:rFonts w:ascii="Garamond" w:hAnsi="Garamond" w:cs="Arial"/>
              </w:rPr>
              <w:t xml:space="preserve">, bio-fertilisants, produits agricoles, cuisson à </w:t>
            </w:r>
            <w:proofErr w:type="spellStart"/>
            <w:r w:rsidR="00675CC3" w:rsidRPr="00DD27C0">
              <w:rPr>
                <w:rFonts w:ascii="Garamond" w:hAnsi="Garamond" w:cs="Arial"/>
              </w:rPr>
              <w:t>biogas</w:t>
            </w:r>
            <w:proofErr w:type="spellEnd"/>
            <w:r w:rsidR="00675CC3" w:rsidRPr="00DD27C0">
              <w:rPr>
                <w:rFonts w:ascii="Garamond" w:hAnsi="Garamond" w:cs="Arial"/>
              </w:rPr>
              <w:t>, élevage etc…) et de vendre le</w:t>
            </w:r>
            <w:r w:rsidR="00CF2FB7" w:rsidRPr="00DD27C0">
              <w:rPr>
                <w:rFonts w:ascii="Garamond" w:hAnsi="Garamond" w:cs="Arial"/>
              </w:rPr>
              <w:t>ur produits sur une période de 9</w:t>
            </w:r>
            <w:r w:rsidR="00675CC3" w:rsidRPr="00DD27C0">
              <w:rPr>
                <w:rFonts w:ascii="Garamond" w:hAnsi="Garamond" w:cs="Arial"/>
              </w:rPr>
              <w:t xml:space="preserve"> mois</w:t>
            </w:r>
            <w:r w:rsidR="00297906" w:rsidRPr="00DD27C0">
              <w:rPr>
                <w:rFonts w:ascii="Garamond" w:hAnsi="Garamond" w:cs="Arial"/>
              </w:rPr>
              <w:t>, hormis la période troublée des élections de 2011</w:t>
            </w:r>
            <w:r w:rsidR="00675CC3" w:rsidRPr="00DD27C0">
              <w:rPr>
                <w:rFonts w:ascii="Garamond" w:hAnsi="Garamond" w:cs="Arial"/>
              </w:rPr>
              <w:t xml:space="preserve">. </w:t>
            </w:r>
          </w:p>
          <w:p w14:paraId="1AAB2ADB" w14:textId="5BD1FA7E" w:rsidR="004B5D8C" w:rsidRPr="00DD27C0" w:rsidRDefault="004B5D8C" w:rsidP="004B5D8C">
            <w:pPr>
              <w:jc w:val="both"/>
              <w:rPr>
                <w:rFonts w:ascii="Garamond" w:hAnsi="Garamond" w:cs="Arial"/>
              </w:rPr>
            </w:pPr>
            <w:r w:rsidRPr="00DD27C0">
              <w:rPr>
                <w:rFonts w:ascii="Garamond" w:hAnsi="Garamond" w:cs="Arial"/>
              </w:rPr>
              <w:t xml:space="preserve">Ils ont partagé des cas concrets des Paysans Modèles SBI, notamment à </w:t>
            </w:r>
            <w:proofErr w:type="spellStart"/>
            <w:r w:rsidRPr="00DD27C0">
              <w:rPr>
                <w:rFonts w:ascii="Garamond" w:hAnsi="Garamond" w:cs="Arial"/>
              </w:rPr>
              <w:t>Walungu</w:t>
            </w:r>
            <w:proofErr w:type="spellEnd"/>
            <w:r w:rsidRPr="00DD27C0">
              <w:rPr>
                <w:rFonts w:ascii="Garamond" w:hAnsi="Garamond" w:cs="Arial"/>
              </w:rPr>
              <w:t xml:space="preserve">, </w:t>
            </w:r>
            <w:r w:rsidR="00C83D4C">
              <w:rPr>
                <w:rFonts w:ascii="Garamond" w:hAnsi="Garamond" w:cs="Arial"/>
              </w:rPr>
              <w:t>où</w:t>
            </w:r>
            <w:r w:rsidR="00C83D4C" w:rsidRPr="00DD27C0">
              <w:rPr>
                <w:rFonts w:ascii="Garamond" w:hAnsi="Garamond" w:cs="Arial"/>
              </w:rPr>
              <w:t xml:space="preserve"> </w:t>
            </w:r>
            <w:r w:rsidR="00C83D4C">
              <w:rPr>
                <w:rFonts w:ascii="Garamond" w:hAnsi="Garamond" w:cs="Arial"/>
              </w:rPr>
              <w:t xml:space="preserve">ils </w:t>
            </w:r>
            <w:r w:rsidRPr="00DD27C0">
              <w:rPr>
                <w:rFonts w:ascii="Garamond" w:hAnsi="Garamond" w:cs="Arial"/>
              </w:rPr>
              <w:t xml:space="preserve">ont réussi à améliorer leurs conditions de vie en appliquant les connaissances acquises pour produire et diversifier la production agricole accélérée et améliorée grâce aux </w:t>
            </w:r>
            <w:proofErr w:type="spellStart"/>
            <w:r w:rsidRPr="00DD27C0">
              <w:rPr>
                <w:rFonts w:ascii="Garamond" w:hAnsi="Garamond" w:cs="Arial"/>
              </w:rPr>
              <w:t>bioferilisants</w:t>
            </w:r>
            <w:proofErr w:type="spellEnd"/>
            <w:r w:rsidRPr="00DD27C0">
              <w:rPr>
                <w:rFonts w:ascii="Garamond" w:hAnsi="Garamond" w:cs="Arial"/>
              </w:rPr>
              <w:t xml:space="preserve"> produits par le </w:t>
            </w:r>
            <w:proofErr w:type="spellStart"/>
            <w:r w:rsidRPr="00DD27C0">
              <w:rPr>
                <w:rFonts w:ascii="Garamond" w:hAnsi="Garamond" w:cs="Arial"/>
              </w:rPr>
              <w:t>biodigesteur</w:t>
            </w:r>
            <w:proofErr w:type="spellEnd"/>
            <w:r w:rsidRPr="00DD27C0">
              <w:rPr>
                <w:rFonts w:ascii="Garamond" w:hAnsi="Garamond" w:cs="Arial"/>
              </w:rPr>
              <w:t xml:space="preserve">. Les 50 Paysans Modèles SBI ont déjà pris l’initiative de répliquer les pratiques et méthodes agricole sur un champ communautaire à côté du champ SBI du projet. Ils partagent également leurs nouvelles connaissances avec d’autres membres de la population environnantes qui parcourent près de 30 km pour venir appendre les techniques, acheter les produits agricoles </w:t>
            </w:r>
            <w:r w:rsidRPr="00DD27C0">
              <w:rPr>
                <w:rFonts w:ascii="Garamond" w:hAnsi="Garamond" w:cs="Arial"/>
              </w:rPr>
              <w:lastRenderedPageBreak/>
              <w:t xml:space="preserve">et les </w:t>
            </w:r>
            <w:proofErr w:type="spellStart"/>
            <w:r w:rsidRPr="00DD27C0">
              <w:rPr>
                <w:rFonts w:ascii="Garamond" w:hAnsi="Garamond" w:cs="Arial"/>
              </w:rPr>
              <w:t>biofertilisants</w:t>
            </w:r>
            <w:proofErr w:type="spellEnd"/>
            <w:r w:rsidRPr="00DD27C0">
              <w:rPr>
                <w:rFonts w:ascii="Garamond" w:hAnsi="Garamond" w:cs="Arial"/>
              </w:rPr>
              <w:t xml:space="preserve"> produits par les Paysans Modèles sur le site de </w:t>
            </w:r>
            <w:proofErr w:type="spellStart"/>
            <w:r w:rsidRPr="00DD27C0">
              <w:rPr>
                <w:rFonts w:ascii="Garamond" w:hAnsi="Garamond" w:cs="Arial"/>
              </w:rPr>
              <w:t>Walungu</w:t>
            </w:r>
            <w:proofErr w:type="spellEnd"/>
            <w:r w:rsidRPr="00DD27C0">
              <w:rPr>
                <w:rFonts w:ascii="Garamond" w:hAnsi="Garamond" w:cs="Arial"/>
              </w:rPr>
              <w:t xml:space="preserve"> et les répliquent (culture maraîchères sur plates-bandes, en sac, verticale, etc…) à leur tour, au niveau de leurs ménages. Plusieurs ont déjà pu vendre leur produits et ont acheté des poules, des chèvres, des vaches et des toits de maison et souhaitent continuer la pratique SBI pour améliorer davantage leur condition de vie.</w:t>
            </w:r>
          </w:p>
          <w:p w14:paraId="55E63CBB" w14:textId="77777777" w:rsidR="004B5D8C" w:rsidRPr="00DD27C0" w:rsidRDefault="004B5D8C" w:rsidP="004B5D8C">
            <w:pPr>
              <w:jc w:val="both"/>
              <w:rPr>
                <w:rFonts w:ascii="Garamond" w:hAnsi="Garamond" w:cs="Arial"/>
              </w:rPr>
            </w:pPr>
          </w:p>
          <w:p w14:paraId="64034942" w14:textId="218399C1" w:rsidR="004B5D8C" w:rsidRPr="00DD27C0" w:rsidRDefault="004B5D8C" w:rsidP="004B5D8C">
            <w:pPr>
              <w:jc w:val="both"/>
              <w:rPr>
                <w:rFonts w:ascii="Garamond" w:hAnsi="Garamond" w:cs="Arial"/>
              </w:rPr>
            </w:pPr>
            <w:r w:rsidRPr="00DD27C0">
              <w:rPr>
                <w:rFonts w:ascii="Garamond" w:hAnsi="Garamond" w:cs="Arial"/>
              </w:rPr>
              <w:t xml:space="preserve">Les témoignages des bénéficières ont fait référence à  la manière dont cette nouvelle dynamique contribue directement et indirectement à la pacification et la stabilité de la communauté locale qui maitrise de plus en plus la gestion des ressources naturelles accessible sur son espace </w:t>
            </w:r>
            <w:r w:rsidR="0056009E">
              <w:rPr>
                <w:rFonts w:ascii="Garamond" w:hAnsi="Garamond" w:cs="Arial"/>
              </w:rPr>
              <w:t>et</w:t>
            </w:r>
            <w:r w:rsidR="0056009E" w:rsidRPr="00DD27C0">
              <w:rPr>
                <w:rFonts w:ascii="Garamond" w:hAnsi="Garamond" w:cs="Arial"/>
              </w:rPr>
              <w:t xml:space="preserve"> </w:t>
            </w:r>
            <w:r w:rsidRPr="00DD27C0">
              <w:rPr>
                <w:rFonts w:ascii="Garamond" w:hAnsi="Garamond" w:cs="Arial"/>
              </w:rPr>
              <w:t>créer de la richesse et de l’emploi aux population vulnérables, notamment aux jeunes et aux femmes souvent victimes du conflit à l’Est. La Ministre provincial a souligné à quel point le Gouvernement provincial tient à promouvoir l’approche SBI qui a démontré l’opportunité considérable qu’elle présente de stabiliser les population locales dans les villages une fois qu’ils seront capables d’installer, de pratiquer, de produire, de consommer et de vendre les techniques  et produits SBI de gestion des ressources naturelles et des déchets efficace, simple et peu-coûteuse à la portée de toute personne, surtout vulnérables et victimes des conflits perpétués dans la province.</w:t>
            </w:r>
          </w:p>
          <w:p w14:paraId="1C4383AF" w14:textId="77777777" w:rsidR="004B5D8C" w:rsidRPr="00DD27C0" w:rsidRDefault="004B5D8C" w:rsidP="008D415E">
            <w:pPr>
              <w:jc w:val="both"/>
              <w:rPr>
                <w:rFonts w:ascii="Garamond" w:hAnsi="Garamond" w:cs="Arial"/>
              </w:rPr>
            </w:pPr>
          </w:p>
          <w:p w14:paraId="04B77287" w14:textId="475DA86E" w:rsidR="00DA49FB" w:rsidRPr="00DD27C0" w:rsidRDefault="00E369C8" w:rsidP="008D415E">
            <w:pPr>
              <w:jc w:val="both"/>
              <w:rPr>
                <w:rFonts w:ascii="Garamond" w:hAnsi="Garamond" w:cs="Arial"/>
              </w:rPr>
            </w:pPr>
            <w:r>
              <w:rPr>
                <w:rFonts w:ascii="Garamond" w:hAnsi="Garamond" w:cs="Arial"/>
              </w:rPr>
              <w:t>Les</w:t>
            </w:r>
            <w:r w:rsidR="00C41B8F" w:rsidRPr="00DD27C0">
              <w:rPr>
                <w:rFonts w:ascii="Garamond" w:hAnsi="Garamond" w:cs="Arial"/>
              </w:rPr>
              <w:t xml:space="preserve"> dernières activités </w:t>
            </w:r>
            <w:r w:rsidR="006F588D" w:rsidRPr="00DD27C0">
              <w:rPr>
                <w:rFonts w:ascii="Garamond" w:hAnsi="Garamond" w:cs="Arial"/>
              </w:rPr>
              <w:t xml:space="preserve">du projet se focaliseront donc sur le renforcement des capacités </w:t>
            </w:r>
            <w:r w:rsidR="00C41B8F" w:rsidRPr="00DD27C0">
              <w:rPr>
                <w:rFonts w:ascii="Garamond" w:hAnsi="Garamond" w:cs="Arial"/>
              </w:rPr>
              <w:t xml:space="preserve">de gestion des sites SBI des 5 villages par les 250 Paysans Modèles </w:t>
            </w:r>
            <w:r w:rsidR="008B76F6" w:rsidRPr="00DD27C0">
              <w:rPr>
                <w:rFonts w:ascii="Garamond" w:hAnsi="Garamond" w:cs="Arial"/>
              </w:rPr>
              <w:t xml:space="preserve">organisés en Coopératives Paysannes </w:t>
            </w:r>
            <w:r w:rsidR="00C41B8F" w:rsidRPr="00DD27C0">
              <w:rPr>
                <w:rFonts w:ascii="Garamond" w:hAnsi="Garamond" w:cs="Arial"/>
              </w:rPr>
              <w:t xml:space="preserve">pour assurer leur leadership dans la pérennisation du fonctionnement du système intégrée </w:t>
            </w:r>
            <w:r w:rsidR="00D43C3D" w:rsidRPr="00DD27C0">
              <w:rPr>
                <w:rFonts w:ascii="Garamond" w:hAnsi="Garamond" w:cs="Arial"/>
              </w:rPr>
              <w:t>à la fois au niveau des infrastructures (</w:t>
            </w:r>
            <w:proofErr w:type="spellStart"/>
            <w:r w:rsidR="00D43C3D" w:rsidRPr="00DD27C0">
              <w:rPr>
                <w:rFonts w:ascii="Garamond" w:hAnsi="Garamond" w:cs="Arial"/>
              </w:rPr>
              <w:t>biodigesteurs</w:t>
            </w:r>
            <w:proofErr w:type="spellEnd"/>
            <w:r w:rsidR="00D43C3D" w:rsidRPr="00DD27C0">
              <w:rPr>
                <w:rFonts w:ascii="Garamond" w:hAnsi="Garamond" w:cs="Arial"/>
              </w:rPr>
              <w:t xml:space="preserve"> canalisés permettant la prod</w:t>
            </w:r>
            <w:r w:rsidR="003F3EC0" w:rsidRPr="00DD27C0">
              <w:rPr>
                <w:rFonts w:ascii="Garamond" w:hAnsi="Garamond" w:cs="Arial"/>
              </w:rPr>
              <w:t>u</w:t>
            </w:r>
            <w:r w:rsidR="00D43C3D" w:rsidRPr="00DD27C0">
              <w:rPr>
                <w:rFonts w:ascii="Garamond" w:hAnsi="Garamond" w:cs="Arial"/>
              </w:rPr>
              <w:t xml:space="preserve">ction de </w:t>
            </w:r>
            <w:proofErr w:type="spellStart"/>
            <w:r w:rsidR="00D43C3D" w:rsidRPr="00DD27C0">
              <w:rPr>
                <w:rFonts w:ascii="Garamond" w:hAnsi="Garamond" w:cs="Arial"/>
              </w:rPr>
              <w:t>biogas</w:t>
            </w:r>
            <w:proofErr w:type="spellEnd"/>
            <w:r w:rsidR="00D43C3D" w:rsidRPr="00DD27C0">
              <w:rPr>
                <w:rFonts w:ascii="Garamond" w:hAnsi="Garamond" w:cs="Arial"/>
              </w:rPr>
              <w:t xml:space="preserve"> et de </w:t>
            </w:r>
            <w:proofErr w:type="spellStart"/>
            <w:r w:rsidR="00D43C3D" w:rsidRPr="00DD27C0">
              <w:rPr>
                <w:rFonts w:ascii="Garamond" w:hAnsi="Garamond" w:cs="Arial"/>
              </w:rPr>
              <w:t>biofertilisants</w:t>
            </w:r>
            <w:proofErr w:type="spellEnd"/>
            <w:r w:rsidR="00D43C3D" w:rsidRPr="00DD27C0">
              <w:rPr>
                <w:rFonts w:ascii="Garamond" w:hAnsi="Garamond" w:cs="Arial"/>
              </w:rPr>
              <w:t xml:space="preserve">), des champs et techniques agricoles (jardinage en sac, jardinage verticale, jardinage en pneu, plantation d’arbres, terrassement, irrigation en gouttes à-gouttes, etc..), </w:t>
            </w:r>
            <w:r w:rsidR="00A31817" w:rsidRPr="00DD27C0">
              <w:rPr>
                <w:rFonts w:ascii="Garamond" w:hAnsi="Garamond" w:cs="Arial"/>
              </w:rPr>
              <w:t>et de l’élevage (52 vaches et bœufs)</w:t>
            </w:r>
            <w:r w:rsidR="00ED1920" w:rsidRPr="00DD27C0">
              <w:rPr>
                <w:rFonts w:ascii="Garamond" w:hAnsi="Garamond" w:cs="Arial"/>
              </w:rPr>
              <w:t xml:space="preserve">, et le transfert des connaissances (entre les équipe de projet et les Paysans Modèles, entre les Paysans Modèles et les autres membres du village SBI, etc…) </w:t>
            </w:r>
          </w:p>
          <w:p w14:paraId="48048D47" w14:textId="77777777" w:rsidR="00FA11D1" w:rsidRPr="00DD27C0" w:rsidRDefault="00FA11D1" w:rsidP="008D415E">
            <w:pPr>
              <w:jc w:val="both"/>
              <w:rPr>
                <w:rFonts w:ascii="Garamond" w:hAnsi="Garamond" w:cs="Arial"/>
              </w:rPr>
            </w:pPr>
          </w:p>
          <w:p w14:paraId="264BFF5F" w14:textId="197768AF" w:rsidR="008D415E" w:rsidRPr="00DD27C0" w:rsidRDefault="008D415E" w:rsidP="00FA1949">
            <w:pPr>
              <w:jc w:val="both"/>
              <w:rPr>
                <w:rFonts w:ascii="Garamond" w:hAnsi="Garamond" w:cs="Arial"/>
              </w:rPr>
            </w:pPr>
          </w:p>
          <w:p w14:paraId="4C909862" w14:textId="77777777" w:rsidR="008D415E" w:rsidRPr="00DD27C0" w:rsidRDefault="008D415E" w:rsidP="008D415E">
            <w:pPr>
              <w:jc w:val="both"/>
              <w:rPr>
                <w:rFonts w:ascii="Garamond" w:hAnsi="Garamond" w:cs="Arial"/>
              </w:rPr>
            </w:pPr>
            <w:r w:rsidRPr="00DD27C0">
              <w:rPr>
                <w:rFonts w:ascii="Garamond" w:hAnsi="Garamond" w:cs="Arial"/>
              </w:rPr>
              <w:t> </w:t>
            </w:r>
          </w:p>
          <w:p w14:paraId="6232BC45" w14:textId="77777777" w:rsidR="008D415E" w:rsidRPr="00DD27C0" w:rsidRDefault="008D415E" w:rsidP="008D415E">
            <w:pPr>
              <w:jc w:val="both"/>
              <w:rPr>
                <w:rFonts w:ascii="Garamond" w:hAnsi="Garamond" w:cs="Arial"/>
              </w:rPr>
            </w:pPr>
            <w:r w:rsidRPr="00DD27C0">
              <w:rPr>
                <w:rFonts w:ascii="Garamond" w:hAnsi="Garamond" w:cs="Arial"/>
                <w:i/>
              </w:rPr>
              <w:t xml:space="preserve">R (6): Le PBF se positionne au niveau du programme pays afin d'assurer qu'il offre la meilleure valeur ajoutée possible et des avantages comparatifs au processus de consolidation de la paix </w:t>
            </w:r>
            <w:r w:rsidRPr="00DD27C0">
              <w:rPr>
                <w:rFonts w:ascii="Garamond" w:hAnsi="Garamond" w:cs="Arial"/>
                <w:i/>
              </w:rPr>
              <w:lastRenderedPageBreak/>
              <w:t>(indicateurs : Appui inter-agences, Gestion de savoir faire)</w:t>
            </w:r>
          </w:p>
          <w:p w14:paraId="2DC536E8" w14:textId="77777777" w:rsidR="00FA11D1" w:rsidRPr="00DD27C0" w:rsidRDefault="00FA11D1" w:rsidP="008D415E">
            <w:pPr>
              <w:jc w:val="both"/>
              <w:rPr>
                <w:rFonts w:ascii="Garamond" w:hAnsi="Garamond" w:cs="Arial"/>
              </w:rPr>
            </w:pPr>
          </w:p>
          <w:p w14:paraId="185FC5BE" w14:textId="6F136883" w:rsidR="00C57758" w:rsidRPr="00DD27C0" w:rsidRDefault="00FA11D1" w:rsidP="008D415E">
            <w:pPr>
              <w:jc w:val="both"/>
              <w:rPr>
                <w:rFonts w:ascii="Garamond" w:hAnsi="Garamond" w:cs="Arial"/>
              </w:rPr>
            </w:pPr>
            <w:r w:rsidRPr="00DD27C0">
              <w:rPr>
                <w:rFonts w:ascii="Garamond" w:hAnsi="Garamond" w:cs="Arial"/>
              </w:rPr>
              <w:t xml:space="preserve">Le transfert des connaissances et des compétences des techniques novateurs SBI étant au </w:t>
            </w:r>
            <w:proofErr w:type="spellStart"/>
            <w:r w:rsidR="00D938AC">
              <w:rPr>
                <w:rFonts w:ascii="Garamond" w:hAnsi="Garamond" w:cs="Arial"/>
              </w:rPr>
              <w:t>coeur</w:t>
            </w:r>
            <w:proofErr w:type="spellEnd"/>
            <w:r w:rsidR="00D938AC" w:rsidRPr="00DD27C0">
              <w:rPr>
                <w:rFonts w:ascii="Garamond" w:hAnsi="Garamond" w:cs="Arial"/>
              </w:rPr>
              <w:t xml:space="preserve"> </w:t>
            </w:r>
            <w:r w:rsidRPr="00DD27C0">
              <w:rPr>
                <w:rFonts w:ascii="Garamond" w:hAnsi="Garamond" w:cs="Arial"/>
              </w:rPr>
              <w:t xml:space="preserve">du projet, les 250 Paysans Modèles directement bénéficiaires du projet ainsi que d’autres membres de la communauté locales sur les 5 sites ont pu améliorer leur compréhension, leur pratiques, leur produits et leurs revenues grâce à l’installation du Centre SBI de </w:t>
            </w:r>
            <w:proofErr w:type="spellStart"/>
            <w:r w:rsidRPr="00DD27C0">
              <w:rPr>
                <w:rFonts w:ascii="Garamond" w:hAnsi="Garamond" w:cs="Arial"/>
              </w:rPr>
              <w:t>Mushweshwe</w:t>
            </w:r>
            <w:proofErr w:type="spellEnd"/>
            <w:r w:rsidRPr="00DD27C0">
              <w:rPr>
                <w:rFonts w:ascii="Garamond" w:hAnsi="Garamond" w:cs="Arial"/>
              </w:rPr>
              <w:t xml:space="preserve"> et </w:t>
            </w:r>
            <w:r w:rsidR="005D508E" w:rsidRPr="00DD27C0">
              <w:rPr>
                <w:rFonts w:ascii="Garamond" w:hAnsi="Garamond" w:cs="Arial"/>
              </w:rPr>
              <w:t>sur l</w:t>
            </w:r>
            <w:r w:rsidRPr="00DD27C0">
              <w:rPr>
                <w:rFonts w:ascii="Garamond" w:hAnsi="Garamond" w:cs="Arial"/>
              </w:rPr>
              <w:t xml:space="preserve">es quatre autres </w:t>
            </w:r>
            <w:r w:rsidR="005D508E" w:rsidRPr="00DD27C0">
              <w:rPr>
                <w:rFonts w:ascii="Garamond" w:hAnsi="Garamond" w:cs="Arial"/>
              </w:rPr>
              <w:t xml:space="preserve">sites SBI au niveau des </w:t>
            </w:r>
            <w:r w:rsidRPr="00DD27C0">
              <w:rPr>
                <w:rFonts w:ascii="Garamond" w:hAnsi="Garamond" w:cs="Arial"/>
              </w:rPr>
              <w:t>villages.</w:t>
            </w:r>
            <w:r w:rsidR="00C57758" w:rsidRPr="00DD27C0">
              <w:rPr>
                <w:rFonts w:ascii="Garamond" w:hAnsi="Garamond" w:cs="Arial"/>
              </w:rPr>
              <w:t xml:space="preserve"> Les bénéficiaires ont exprimé leur souhait de diffuser d’avantage les techniques SBI dans d’autres villages et provinces de la RDC pour permettre à la population de bénéficier des même connaissances, pratiquent et changement socioéconomique et environnemental dont ils ont bénéficié sur les 5 sites du projet.  </w:t>
            </w:r>
          </w:p>
          <w:p w14:paraId="01D81FE0" w14:textId="0F3FA996" w:rsidR="00FA11D1" w:rsidRPr="00DD27C0" w:rsidRDefault="00123FFF" w:rsidP="008D415E">
            <w:pPr>
              <w:jc w:val="both"/>
              <w:rPr>
                <w:rFonts w:ascii="Garamond" w:hAnsi="Garamond" w:cs="Arial"/>
              </w:rPr>
            </w:pPr>
            <w:r w:rsidRPr="00DD27C0">
              <w:rPr>
                <w:rFonts w:ascii="Garamond" w:hAnsi="Garamond" w:cs="Arial"/>
              </w:rPr>
              <w:t xml:space="preserve">A travers des enregistrements audio et des programmes radio, la </w:t>
            </w:r>
            <w:r w:rsidR="00C57758" w:rsidRPr="00DD27C0">
              <w:rPr>
                <w:rFonts w:ascii="Garamond" w:hAnsi="Garamond" w:cs="Arial"/>
              </w:rPr>
              <w:t>radio communautaire installé au sein de l’Inspection agricole de Bukavu</w:t>
            </w:r>
            <w:r w:rsidRPr="00DD27C0">
              <w:rPr>
                <w:rFonts w:ascii="Garamond" w:hAnsi="Garamond" w:cs="Arial"/>
              </w:rPr>
              <w:t xml:space="preserve"> (financé par le PNUD)</w:t>
            </w:r>
            <w:r w:rsidR="00C57758" w:rsidRPr="00DD27C0">
              <w:rPr>
                <w:rFonts w:ascii="Garamond" w:hAnsi="Garamond" w:cs="Arial"/>
              </w:rPr>
              <w:t xml:space="preserve">, </w:t>
            </w:r>
            <w:r w:rsidR="0058750E" w:rsidRPr="00DD27C0">
              <w:rPr>
                <w:rFonts w:ascii="Garamond" w:hAnsi="Garamond" w:cs="Arial"/>
              </w:rPr>
              <w:t>servira à</w:t>
            </w:r>
            <w:r w:rsidR="00C57758" w:rsidRPr="00DD27C0">
              <w:rPr>
                <w:rFonts w:ascii="Garamond" w:hAnsi="Garamond" w:cs="Arial"/>
              </w:rPr>
              <w:t xml:space="preserve"> </w:t>
            </w:r>
            <w:r w:rsidR="001F4B21" w:rsidRPr="00DD27C0">
              <w:rPr>
                <w:rFonts w:ascii="Garamond" w:hAnsi="Garamond" w:cs="Arial"/>
              </w:rPr>
              <w:t>maintenir le transfert des connaissances</w:t>
            </w:r>
            <w:r w:rsidRPr="00DD27C0">
              <w:rPr>
                <w:rFonts w:ascii="Garamond" w:hAnsi="Garamond" w:cs="Arial"/>
              </w:rPr>
              <w:t>,</w:t>
            </w:r>
            <w:r w:rsidR="001F4B21" w:rsidRPr="00DD27C0">
              <w:rPr>
                <w:rFonts w:ascii="Garamond" w:hAnsi="Garamond" w:cs="Arial"/>
              </w:rPr>
              <w:t xml:space="preserve"> </w:t>
            </w:r>
            <w:r w:rsidR="0058750E" w:rsidRPr="00DD27C0">
              <w:rPr>
                <w:rFonts w:ascii="Garamond" w:hAnsi="Garamond" w:cs="Arial"/>
              </w:rPr>
              <w:t xml:space="preserve">des </w:t>
            </w:r>
            <w:r w:rsidR="001F4B21" w:rsidRPr="00DD27C0">
              <w:rPr>
                <w:rFonts w:ascii="Garamond" w:hAnsi="Garamond" w:cs="Arial"/>
              </w:rPr>
              <w:t>expérience</w:t>
            </w:r>
            <w:r w:rsidR="0058750E" w:rsidRPr="00DD27C0">
              <w:rPr>
                <w:rFonts w:ascii="Garamond" w:hAnsi="Garamond" w:cs="Arial"/>
              </w:rPr>
              <w:t>s</w:t>
            </w:r>
            <w:r w:rsidR="001F4B21" w:rsidRPr="00DD27C0">
              <w:rPr>
                <w:rFonts w:ascii="Garamond" w:hAnsi="Garamond" w:cs="Arial"/>
              </w:rPr>
              <w:t xml:space="preserve"> pratique</w:t>
            </w:r>
            <w:r w:rsidR="0058750E" w:rsidRPr="00DD27C0">
              <w:rPr>
                <w:rFonts w:ascii="Garamond" w:hAnsi="Garamond" w:cs="Arial"/>
              </w:rPr>
              <w:t>s</w:t>
            </w:r>
            <w:r w:rsidRPr="00DD27C0">
              <w:rPr>
                <w:rFonts w:ascii="Garamond" w:hAnsi="Garamond" w:cs="Arial"/>
              </w:rPr>
              <w:t xml:space="preserve"> et des leçons apprises</w:t>
            </w:r>
            <w:r w:rsidR="001F4B21" w:rsidRPr="00DD27C0">
              <w:rPr>
                <w:rFonts w:ascii="Garamond" w:hAnsi="Garamond" w:cs="Arial"/>
              </w:rPr>
              <w:t xml:space="preserve"> </w:t>
            </w:r>
            <w:r w:rsidRPr="00DD27C0">
              <w:rPr>
                <w:rFonts w:ascii="Garamond" w:hAnsi="Garamond" w:cs="Arial"/>
              </w:rPr>
              <w:t xml:space="preserve">par </w:t>
            </w:r>
            <w:r w:rsidR="0058750E" w:rsidRPr="00DD27C0">
              <w:rPr>
                <w:rFonts w:ascii="Garamond" w:hAnsi="Garamond" w:cs="Arial"/>
              </w:rPr>
              <w:t>l’application des</w:t>
            </w:r>
            <w:r w:rsidR="001F4B21" w:rsidRPr="00DD27C0">
              <w:rPr>
                <w:rFonts w:ascii="Garamond" w:hAnsi="Garamond" w:cs="Arial"/>
              </w:rPr>
              <w:t xml:space="preserve"> techniques SBI</w:t>
            </w:r>
            <w:r w:rsidR="00C57758" w:rsidRPr="00DD27C0">
              <w:rPr>
                <w:rFonts w:ascii="Garamond" w:hAnsi="Garamond" w:cs="Arial"/>
              </w:rPr>
              <w:t>.</w:t>
            </w:r>
          </w:p>
          <w:p w14:paraId="496A2DC2" w14:textId="77777777" w:rsidR="00FA11D1" w:rsidRPr="00DD27C0" w:rsidRDefault="00FA11D1" w:rsidP="008D415E">
            <w:pPr>
              <w:jc w:val="both"/>
              <w:rPr>
                <w:rFonts w:ascii="Garamond" w:hAnsi="Garamond" w:cs="Arial"/>
              </w:rPr>
            </w:pPr>
          </w:p>
          <w:p w14:paraId="4D81BFA1" w14:textId="77777777" w:rsidR="00FA11D1" w:rsidRPr="00DD27C0" w:rsidRDefault="00FA11D1" w:rsidP="008D415E">
            <w:pPr>
              <w:jc w:val="both"/>
              <w:rPr>
                <w:rFonts w:ascii="Garamond" w:hAnsi="Garamond" w:cs="Arial"/>
              </w:rPr>
            </w:pPr>
          </w:p>
          <w:p w14:paraId="5B4B93B0" w14:textId="77777777" w:rsidR="00FA11D1" w:rsidRPr="00DD27C0" w:rsidRDefault="00FA11D1" w:rsidP="008D415E">
            <w:pPr>
              <w:jc w:val="both"/>
              <w:rPr>
                <w:rFonts w:ascii="Garamond" w:hAnsi="Garamond" w:cs="Arial"/>
              </w:rPr>
            </w:pPr>
          </w:p>
          <w:p w14:paraId="67FD3F9B" w14:textId="77777777" w:rsidR="00417BA4" w:rsidRPr="00DD27C0" w:rsidRDefault="00417BA4" w:rsidP="00A657C4">
            <w:pPr>
              <w:jc w:val="both"/>
              <w:rPr>
                <w:rFonts w:ascii="Garamond" w:hAnsi="Garamond" w:cs="Arial"/>
                <w:b/>
              </w:rPr>
            </w:pPr>
          </w:p>
        </w:tc>
        <w:tc>
          <w:tcPr>
            <w:tcW w:w="3244" w:type="dxa"/>
            <w:vMerge/>
          </w:tcPr>
          <w:p w14:paraId="797E163D" w14:textId="77777777" w:rsidR="00417BA4" w:rsidRPr="00DD27C0" w:rsidRDefault="00417BA4" w:rsidP="00362FEB">
            <w:pPr>
              <w:rPr>
                <w:rFonts w:ascii="Garamond" w:hAnsi="Garamond" w:cs="Arial"/>
              </w:rPr>
            </w:pPr>
          </w:p>
        </w:tc>
      </w:tr>
    </w:tbl>
    <w:p w14:paraId="20B2506A" w14:textId="77777777" w:rsidR="00CD3814" w:rsidRPr="00DD27C0" w:rsidRDefault="00CD3814">
      <w:pPr>
        <w:rPr>
          <w:rFonts w:ascii="Garamond" w:hAnsi="Garamond" w:cs="Arial"/>
        </w:rPr>
      </w:pPr>
    </w:p>
    <w:sectPr w:rsidR="00CD3814" w:rsidRPr="00DD27C0" w:rsidSect="005D72A0">
      <w:footerReference w:type="even" r:id="rId8"/>
      <w:footerReference w:type="default" r:id="rId9"/>
      <w:pgSz w:w="15840" w:h="12240" w:orient="landscape"/>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CD3B1" w14:textId="77777777" w:rsidR="006E3755" w:rsidRDefault="006E3755">
      <w:r>
        <w:separator/>
      </w:r>
    </w:p>
  </w:endnote>
  <w:endnote w:type="continuationSeparator" w:id="0">
    <w:p w14:paraId="7337C2D7" w14:textId="77777777" w:rsidR="006E3755" w:rsidRDefault="006E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842C8" w14:textId="77777777" w:rsidR="0056009E" w:rsidRDefault="0056009E" w:rsidP="00B44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6D88F" w14:textId="77777777" w:rsidR="0056009E" w:rsidRDefault="00560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77FD" w14:textId="77777777" w:rsidR="0056009E" w:rsidRDefault="0056009E" w:rsidP="00B44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641">
      <w:rPr>
        <w:rStyle w:val="PageNumber"/>
        <w:noProof/>
      </w:rPr>
      <w:t>1</w:t>
    </w:r>
    <w:r>
      <w:rPr>
        <w:rStyle w:val="PageNumber"/>
      </w:rPr>
      <w:fldChar w:fldCharType="end"/>
    </w:r>
  </w:p>
  <w:p w14:paraId="6BCDE2B9" w14:textId="77777777" w:rsidR="0056009E" w:rsidRDefault="00560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CA0EB" w14:textId="77777777" w:rsidR="006E3755" w:rsidRDefault="006E3755">
      <w:r>
        <w:separator/>
      </w:r>
    </w:p>
  </w:footnote>
  <w:footnote w:type="continuationSeparator" w:id="0">
    <w:p w14:paraId="7B63DCC1" w14:textId="77777777" w:rsidR="006E3755" w:rsidRDefault="006E3755">
      <w:r>
        <w:continuationSeparator/>
      </w:r>
    </w:p>
  </w:footnote>
  <w:footnote w:id="1">
    <w:p w14:paraId="08B6B59A" w14:textId="77777777" w:rsidR="0056009E" w:rsidRDefault="0056009E" w:rsidP="00FF7239">
      <w:pPr>
        <w:jc w:val="both"/>
        <w:outlineLvl w:val="0"/>
        <w:rPr>
          <w:rFonts w:ascii="Arial" w:hAnsi="Arial" w:cs="Arial"/>
          <w:sz w:val="20"/>
          <w:szCs w:val="20"/>
        </w:rPr>
      </w:pPr>
      <w:r>
        <w:rPr>
          <w:rStyle w:val="FootnoteReference"/>
          <w:sz w:val="20"/>
          <w:szCs w:val="20"/>
        </w:rPr>
        <w:footnoteRef/>
      </w:r>
      <w:r>
        <w:rPr>
          <w:sz w:val="20"/>
          <w:szCs w:val="20"/>
        </w:rPr>
        <w:t xml:space="preserve"> Fonds engagés  sont définis comme des contrats légaux pour des services, des travaux tels que régis par les procédures et régulations financières des agences </w:t>
      </w:r>
    </w:p>
    <w:p w14:paraId="6461989B" w14:textId="77777777" w:rsidR="0056009E" w:rsidRDefault="0056009E" w:rsidP="00FF7239">
      <w:pPr>
        <w:jc w:val="both"/>
        <w:outlineLvl w:val="0"/>
        <w:rPr>
          <w:sz w:val="20"/>
          <w:szCs w:val="20"/>
        </w:rPr>
      </w:pPr>
      <w:r>
        <w:rPr>
          <w:rStyle w:val="FootnoteReference"/>
          <w:sz w:val="20"/>
          <w:szCs w:val="20"/>
        </w:rPr>
        <w:t>2</w:t>
      </w:r>
      <w:r>
        <w:rPr>
          <w:sz w:val="20"/>
          <w:szCs w:val="20"/>
        </w:rPr>
        <w:t xml:space="preserve"> Paiement (services, travaux) sur les engagements. </w:t>
      </w:r>
    </w:p>
    <w:p w14:paraId="0F284CFA" w14:textId="77777777" w:rsidR="0056009E" w:rsidRDefault="0056009E" w:rsidP="00FF7239">
      <w:pPr>
        <w:pStyle w:val="FootnoteText"/>
        <w:rPr>
          <w:lang w:val="fr-FR"/>
        </w:rPr>
      </w:pPr>
    </w:p>
    <w:p w14:paraId="181DBE0F" w14:textId="77777777" w:rsidR="0056009E" w:rsidRPr="004A55DB" w:rsidRDefault="0056009E" w:rsidP="00C025B5">
      <w:pPr>
        <w:jc w:val="both"/>
        <w:outlineLvl w:val="0"/>
        <w:rPr>
          <w:rFonts w:ascii="Arial" w:hAnsi="Arial" w:cs="Arial"/>
          <w:sz w:val="20"/>
          <w:szCs w:val="20"/>
        </w:rPr>
      </w:pPr>
    </w:p>
  </w:footnote>
  <w:footnote w:id="2">
    <w:p w14:paraId="4810F182" w14:textId="77777777" w:rsidR="0056009E" w:rsidRPr="00F51E4D" w:rsidRDefault="0056009E" w:rsidP="00F51E4D">
      <w:pPr>
        <w:jc w:val="both"/>
        <w:outlineLvl w:val="0"/>
        <w:rPr>
          <w:sz w:val="20"/>
          <w:szCs w:val="20"/>
        </w:rPr>
      </w:pPr>
    </w:p>
    <w:p w14:paraId="4D0DDA93" w14:textId="77777777" w:rsidR="0056009E" w:rsidRPr="00FF7239" w:rsidRDefault="0056009E" w:rsidP="00CD3814">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618"/>
    <w:multiLevelType w:val="hybridMultilevel"/>
    <w:tmpl w:val="AEBE4E2E"/>
    <w:lvl w:ilvl="0" w:tplc="E21E1FC8">
      <w:start w:val="60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834A1"/>
    <w:multiLevelType w:val="hybridMultilevel"/>
    <w:tmpl w:val="A69E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F6EA5"/>
    <w:multiLevelType w:val="hybridMultilevel"/>
    <w:tmpl w:val="9A3A0EC6"/>
    <w:lvl w:ilvl="0" w:tplc="44700074">
      <w:numFmt w:val="bullet"/>
      <w:lvlText w:val="-"/>
      <w:lvlJc w:val="left"/>
      <w:pPr>
        <w:ind w:left="720" w:hanging="360"/>
      </w:pPr>
      <w:rPr>
        <w:rFonts w:ascii="Arial" w:eastAsia="Times New Roman" w:hAnsi="Arial" w:cs="Arial" w:hint="default"/>
        <w:b/>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F27208"/>
    <w:multiLevelType w:val="hybridMultilevel"/>
    <w:tmpl w:val="38F0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67CD5"/>
    <w:multiLevelType w:val="hybridMultilevel"/>
    <w:tmpl w:val="769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91090"/>
    <w:multiLevelType w:val="hybridMultilevel"/>
    <w:tmpl w:val="1D6C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4350D"/>
    <w:multiLevelType w:val="hybridMultilevel"/>
    <w:tmpl w:val="C5B2BCCE"/>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nsid w:val="51AC0589"/>
    <w:multiLevelType w:val="hybridMultilevel"/>
    <w:tmpl w:val="320E99C6"/>
    <w:lvl w:ilvl="0" w:tplc="E21E1FC8">
      <w:start w:val="60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C2A33"/>
    <w:multiLevelType w:val="hybridMultilevel"/>
    <w:tmpl w:val="44B0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D0A42"/>
    <w:multiLevelType w:val="hybridMultilevel"/>
    <w:tmpl w:val="55424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A6231"/>
    <w:multiLevelType w:val="hybridMultilevel"/>
    <w:tmpl w:val="9E9657E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F06A7"/>
    <w:multiLevelType w:val="hybridMultilevel"/>
    <w:tmpl w:val="65C4B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372ABD"/>
    <w:multiLevelType w:val="hybridMultilevel"/>
    <w:tmpl w:val="10D40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4B6140"/>
    <w:multiLevelType w:val="hybridMultilevel"/>
    <w:tmpl w:val="C35E698E"/>
    <w:lvl w:ilvl="0" w:tplc="EACE752E">
      <w:start w:val="60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FC0B19"/>
    <w:multiLevelType w:val="hybridMultilevel"/>
    <w:tmpl w:val="15F4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98714C"/>
    <w:multiLevelType w:val="hybridMultilevel"/>
    <w:tmpl w:val="A31E3738"/>
    <w:lvl w:ilvl="0" w:tplc="B37ABCF8">
      <w:start w:val="12"/>
      <w:numFmt w:val="bullet"/>
      <w:lvlText w:val="-"/>
      <w:lvlJc w:val="left"/>
      <w:pPr>
        <w:ind w:left="360" w:hanging="360"/>
      </w:pPr>
      <w:rPr>
        <w:rFonts w:ascii="Arial" w:eastAsia="Times New Roman" w:hAnsi="Arial" w:cs="Arial" w:hint="default"/>
        <w:color w:val="auto"/>
      </w:rPr>
    </w:lvl>
    <w:lvl w:ilvl="1" w:tplc="040C0003">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6">
    <w:nsid w:val="7DEF7E8E"/>
    <w:multiLevelType w:val="hybridMultilevel"/>
    <w:tmpl w:val="D0F872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
  </w:num>
  <w:num w:numId="4">
    <w:abstractNumId w:val="14"/>
  </w:num>
  <w:num w:numId="5">
    <w:abstractNumId w:val="13"/>
  </w:num>
  <w:num w:numId="6">
    <w:abstractNumId w:val="0"/>
  </w:num>
  <w:num w:numId="7">
    <w:abstractNumId w:val="7"/>
  </w:num>
  <w:num w:numId="8">
    <w:abstractNumId w:val="10"/>
  </w:num>
  <w:num w:numId="9">
    <w:abstractNumId w:val="8"/>
  </w:num>
  <w:num w:numId="10">
    <w:abstractNumId w:val="9"/>
  </w:num>
  <w:num w:numId="11">
    <w:abstractNumId w:val="5"/>
  </w:num>
  <w:num w:numId="12">
    <w:abstractNumId w:val="4"/>
  </w:num>
  <w:num w:numId="13">
    <w:abstractNumId w:val="11"/>
  </w:num>
  <w:num w:numId="14">
    <w:abstractNumId w:val="15"/>
  </w:num>
  <w:num w:numId="15">
    <w:abstractNumId w:val="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14"/>
    <w:rsid w:val="00001074"/>
    <w:rsid w:val="000010F7"/>
    <w:rsid w:val="00001C58"/>
    <w:rsid w:val="0000245E"/>
    <w:rsid w:val="00010595"/>
    <w:rsid w:val="00016D35"/>
    <w:rsid w:val="00022CA2"/>
    <w:rsid w:val="00024CAB"/>
    <w:rsid w:val="000251DC"/>
    <w:rsid w:val="000264C8"/>
    <w:rsid w:val="00026E40"/>
    <w:rsid w:val="00027A16"/>
    <w:rsid w:val="00030D07"/>
    <w:rsid w:val="00034DD6"/>
    <w:rsid w:val="000368F2"/>
    <w:rsid w:val="00036CB7"/>
    <w:rsid w:val="000376F8"/>
    <w:rsid w:val="00047A42"/>
    <w:rsid w:val="0005034B"/>
    <w:rsid w:val="00050D12"/>
    <w:rsid w:val="000510CA"/>
    <w:rsid w:val="00052881"/>
    <w:rsid w:val="000572D0"/>
    <w:rsid w:val="00060610"/>
    <w:rsid w:val="00063505"/>
    <w:rsid w:val="00064E3C"/>
    <w:rsid w:val="0006672F"/>
    <w:rsid w:val="000714DE"/>
    <w:rsid w:val="00074C87"/>
    <w:rsid w:val="000773A3"/>
    <w:rsid w:val="0008260B"/>
    <w:rsid w:val="00091918"/>
    <w:rsid w:val="00094F67"/>
    <w:rsid w:val="0009752E"/>
    <w:rsid w:val="000A299A"/>
    <w:rsid w:val="000A5E56"/>
    <w:rsid w:val="000A6EAA"/>
    <w:rsid w:val="000B5B9A"/>
    <w:rsid w:val="000C0AEA"/>
    <w:rsid w:val="000C31AD"/>
    <w:rsid w:val="000C53B2"/>
    <w:rsid w:val="000D0E31"/>
    <w:rsid w:val="000D5813"/>
    <w:rsid w:val="000D6EA3"/>
    <w:rsid w:val="000F3BE0"/>
    <w:rsid w:val="001001DF"/>
    <w:rsid w:val="00100CDE"/>
    <w:rsid w:val="001066AD"/>
    <w:rsid w:val="00110B51"/>
    <w:rsid w:val="00114B54"/>
    <w:rsid w:val="001173A2"/>
    <w:rsid w:val="001203EA"/>
    <w:rsid w:val="00123C93"/>
    <w:rsid w:val="00123FFF"/>
    <w:rsid w:val="00124285"/>
    <w:rsid w:val="00124472"/>
    <w:rsid w:val="00124A94"/>
    <w:rsid w:val="00130644"/>
    <w:rsid w:val="001342C1"/>
    <w:rsid w:val="00137D6E"/>
    <w:rsid w:val="00143415"/>
    <w:rsid w:val="001459B2"/>
    <w:rsid w:val="001462A0"/>
    <w:rsid w:val="00147B9E"/>
    <w:rsid w:val="00147F0E"/>
    <w:rsid w:val="00157BDE"/>
    <w:rsid w:val="00160221"/>
    <w:rsid w:val="00166505"/>
    <w:rsid w:val="001718AC"/>
    <w:rsid w:val="00173E88"/>
    <w:rsid w:val="00175F70"/>
    <w:rsid w:val="00180D27"/>
    <w:rsid w:val="0018423B"/>
    <w:rsid w:val="00185D57"/>
    <w:rsid w:val="00187138"/>
    <w:rsid w:val="00190035"/>
    <w:rsid w:val="00197312"/>
    <w:rsid w:val="001A6C07"/>
    <w:rsid w:val="001B002D"/>
    <w:rsid w:val="001B29FB"/>
    <w:rsid w:val="001B2A06"/>
    <w:rsid w:val="001B3E56"/>
    <w:rsid w:val="001B7666"/>
    <w:rsid w:val="001C417F"/>
    <w:rsid w:val="001C4D51"/>
    <w:rsid w:val="001C6938"/>
    <w:rsid w:val="001F4B21"/>
    <w:rsid w:val="001F6734"/>
    <w:rsid w:val="0020064A"/>
    <w:rsid w:val="002036C7"/>
    <w:rsid w:val="002068AE"/>
    <w:rsid w:val="00207D9D"/>
    <w:rsid w:val="00212BFA"/>
    <w:rsid w:val="00217A59"/>
    <w:rsid w:val="00217D70"/>
    <w:rsid w:val="00225458"/>
    <w:rsid w:val="00226C2B"/>
    <w:rsid w:val="002313DC"/>
    <w:rsid w:val="002373E5"/>
    <w:rsid w:val="00240E01"/>
    <w:rsid w:val="00244161"/>
    <w:rsid w:val="002465F6"/>
    <w:rsid w:val="00251B14"/>
    <w:rsid w:val="00254771"/>
    <w:rsid w:val="00255AD4"/>
    <w:rsid w:val="00262FB2"/>
    <w:rsid w:val="002633B7"/>
    <w:rsid w:val="00263BC5"/>
    <w:rsid w:val="00270835"/>
    <w:rsid w:val="002734FC"/>
    <w:rsid w:val="00273B08"/>
    <w:rsid w:val="0027741B"/>
    <w:rsid w:val="00284B69"/>
    <w:rsid w:val="0028729B"/>
    <w:rsid w:val="002921B3"/>
    <w:rsid w:val="002950B6"/>
    <w:rsid w:val="0029785C"/>
    <w:rsid w:val="00297906"/>
    <w:rsid w:val="002A01BE"/>
    <w:rsid w:val="002A6732"/>
    <w:rsid w:val="002A6B57"/>
    <w:rsid w:val="002A6C67"/>
    <w:rsid w:val="002B03D4"/>
    <w:rsid w:val="002B0A6B"/>
    <w:rsid w:val="002B23AC"/>
    <w:rsid w:val="002B3844"/>
    <w:rsid w:val="002B713A"/>
    <w:rsid w:val="002C5253"/>
    <w:rsid w:val="002D0F57"/>
    <w:rsid w:val="002D538C"/>
    <w:rsid w:val="002E0493"/>
    <w:rsid w:val="002E1FFA"/>
    <w:rsid w:val="002E243C"/>
    <w:rsid w:val="002E77E8"/>
    <w:rsid w:val="002F76C3"/>
    <w:rsid w:val="002F7C09"/>
    <w:rsid w:val="00302149"/>
    <w:rsid w:val="003063A4"/>
    <w:rsid w:val="003117A8"/>
    <w:rsid w:val="0031425B"/>
    <w:rsid w:val="0031502A"/>
    <w:rsid w:val="00317066"/>
    <w:rsid w:val="00320487"/>
    <w:rsid w:val="003264C7"/>
    <w:rsid w:val="003265B3"/>
    <w:rsid w:val="003337FE"/>
    <w:rsid w:val="00342193"/>
    <w:rsid w:val="0034259E"/>
    <w:rsid w:val="0034523C"/>
    <w:rsid w:val="00347E60"/>
    <w:rsid w:val="00355133"/>
    <w:rsid w:val="00357681"/>
    <w:rsid w:val="00362715"/>
    <w:rsid w:val="00362FEB"/>
    <w:rsid w:val="00375978"/>
    <w:rsid w:val="003815E5"/>
    <w:rsid w:val="00384694"/>
    <w:rsid w:val="00390392"/>
    <w:rsid w:val="00390B2F"/>
    <w:rsid w:val="0039255F"/>
    <w:rsid w:val="00397090"/>
    <w:rsid w:val="003A3789"/>
    <w:rsid w:val="003A5BB7"/>
    <w:rsid w:val="003A7483"/>
    <w:rsid w:val="003B0346"/>
    <w:rsid w:val="003B1EAF"/>
    <w:rsid w:val="003B41CE"/>
    <w:rsid w:val="003B6901"/>
    <w:rsid w:val="003C0441"/>
    <w:rsid w:val="003C07E8"/>
    <w:rsid w:val="003C1194"/>
    <w:rsid w:val="003C2496"/>
    <w:rsid w:val="003C2633"/>
    <w:rsid w:val="003C42DC"/>
    <w:rsid w:val="003C6BD9"/>
    <w:rsid w:val="003C709A"/>
    <w:rsid w:val="003D1F2D"/>
    <w:rsid w:val="003D5558"/>
    <w:rsid w:val="003D6940"/>
    <w:rsid w:val="003E23EC"/>
    <w:rsid w:val="003E4E87"/>
    <w:rsid w:val="003E7711"/>
    <w:rsid w:val="003F182F"/>
    <w:rsid w:val="003F3EC0"/>
    <w:rsid w:val="003F7095"/>
    <w:rsid w:val="00406D19"/>
    <w:rsid w:val="00411218"/>
    <w:rsid w:val="00411393"/>
    <w:rsid w:val="00415810"/>
    <w:rsid w:val="004174D5"/>
    <w:rsid w:val="00417BA4"/>
    <w:rsid w:val="00427D23"/>
    <w:rsid w:val="00427FEA"/>
    <w:rsid w:val="0043134C"/>
    <w:rsid w:val="00431BFD"/>
    <w:rsid w:val="00437AF5"/>
    <w:rsid w:val="00441119"/>
    <w:rsid w:val="004420B6"/>
    <w:rsid w:val="004430E4"/>
    <w:rsid w:val="00445DC5"/>
    <w:rsid w:val="004473D3"/>
    <w:rsid w:val="00453B20"/>
    <w:rsid w:val="00461F79"/>
    <w:rsid w:val="004639DE"/>
    <w:rsid w:val="004662CF"/>
    <w:rsid w:val="00470832"/>
    <w:rsid w:val="00471168"/>
    <w:rsid w:val="0047391A"/>
    <w:rsid w:val="004741E0"/>
    <w:rsid w:val="00481720"/>
    <w:rsid w:val="00482026"/>
    <w:rsid w:val="00482ACF"/>
    <w:rsid w:val="00491D90"/>
    <w:rsid w:val="0049641D"/>
    <w:rsid w:val="004A1EA6"/>
    <w:rsid w:val="004A55DB"/>
    <w:rsid w:val="004A5C06"/>
    <w:rsid w:val="004B08F8"/>
    <w:rsid w:val="004B0B6D"/>
    <w:rsid w:val="004B3195"/>
    <w:rsid w:val="004B3884"/>
    <w:rsid w:val="004B4720"/>
    <w:rsid w:val="004B5D8C"/>
    <w:rsid w:val="004C0FF8"/>
    <w:rsid w:val="004D0B9B"/>
    <w:rsid w:val="004D1029"/>
    <w:rsid w:val="004D1379"/>
    <w:rsid w:val="004D6075"/>
    <w:rsid w:val="004E0C17"/>
    <w:rsid w:val="004E0D3A"/>
    <w:rsid w:val="004E1037"/>
    <w:rsid w:val="004F03AC"/>
    <w:rsid w:val="004F13FE"/>
    <w:rsid w:val="004F300B"/>
    <w:rsid w:val="004F32A2"/>
    <w:rsid w:val="004F72D2"/>
    <w:rsid w:val="005054C7"/>
    <w:rsid w:val="0050593A"/>
    <w:rsid w:val="00505963"/>
    <w:rsid w:val="00505DB7"/>
    <w:rsid w:val="005148B4"/>
    <w:rsid w:val="00516872"/>
    <w:rsid w:val="0052424C"/>
    <w:rsid w:val="005251D8"/>
    <w:rsid w:val="005304B5"/>
    <w:rsid w:val="00531997"/>
    <w:rsid w:val="0054474A"/>
    <w:rsid w:val="005507D8"/>
    <w:rsid w:val="0055209E"/>
    <w:rsid w:val="005533A7"/>
    <w:rsid w:val="0056009E"/>
    <w:rsid w:val="00561F44"/>
    <w:rsid w:val="005727DC"/>
    <w:rsid w:val="00573003"/>
    <w:rsid w:val="00574DF7"/>
    <w:rsid w:val="00576643"/>
    <w:rsid w:val="005804D5"/>
    <w:rsid w:val="0058750E"/>
    <w:rsid w:val="00592B62"/>
    <w:rsid w:val="00595AF9"/>
    <w:rsid w:val="00597AF3"/>
    <w:rsid w:val="005A3C7F"/>
    <w:rsid w:val="005A7CE1"/>
    <w:rsid w:val="005B1315"/>
    <w:rsid w:val="005B57C8"/>
    <w:rsid w:val="005B7D27"/>
    <w:rsid w:val="005C12F4"/>
    <w:rsid w:val="005C54D2"/>
    <w:rsid w:val="005C7B70"/>
    <w:rsid w:val="005D1A09"/>
    <w:rsid w:val="005D508E"/>
    <w:rsid w:val="005D72A0"/>
    <w:rsid w:val="005E1CA1"/>
    <w:rsid w:val="005E32F2"/>
    <w:rsid w:val="005E6718"/>
    <w:rsid w:val="005E6E61"/>
    <w:rsid w:val="005E73C5"/>
    <w:rsid w:val="005E7876"/>
    <w:rsid w:val="005F0995"/>
    <w:rsid w:val="005F11A3"/>
    <w:rsid w:val="005F20D5"/>
    <w:rsid w:val="005F282A"/>
    <w:rsid w:val="005F532F"/>
    <w:rsid w:val="005F6E6C"/>
    <w:rsid w:val="00601517"/>
    <w:rsid w:val="00603A3B"/>
    <w:rsid w:val="00611D55"/>
    <w:rsid w:val="00612677"/>
    <w:rsid w:val="006126E1"/>
    <w:rsid w:val="00623C85"/>
    <w:rsid w:val="00624A75"/>
    <w:rsid w:val="00624C98"/>
    <w:rsid w:val="0063027B"/>
    <w:rsid w:val="006353B7"/>
    <w:rsid w:val="0064056F"/>
    <w:rsid w:val="006409B3"/>
    <w:rsid w:val="00642BAA"/>
    <w:rsid w:val="0064537B"/>
    <w:rsid w:val="00647D6C"/>
    <w:rsid w:val="006606B3"/>
    <w:rsid w:val="00666C1F"/>
    <w:rsid w:val="00670E5F"/>
    <w:rsid w:val="00673814"/>
    <w:rsid w:val="006750BE"/>
    <w:rsid w:val="00675485"/>
    <w:rsid w:val="00675CC3"/>
    <w:rsid w:val="00676600"/>
    <w:rsid w:val="00680B71"/>
    <w:rsid w:val="00683A38"/>
    <w:rsid w:val="00684E57"/>
    <w:rsid w:val="00690B0E"/>
    <w:rsid w:val="00694C52"/>
    <w:rsid w:val="00695232"/>
    <w:rsid w:val="006A02D8"/>
    <w:rsid w:val="006A1D80"/>
    <w:rsid w:val="006A25A5"/>
    <w:rsid w:val="006A4D3B"/>
    <w:rsid w:val="006A7F8C"/>
    <w:rsid w:val="006B0CB3"/>
    <w:rsid w:val="006B0F2C"/>
    <w:rsid w:val="006B44EC"/>
    <w:rsid w:val="006B5F9E"/>
    <w:rsid w:val="006B782C"/>
    <w:rsid w:val="006C655F"/>
    <w:rsid w:val="006C7941"/>
    <w:rsid w:val="006D3642"/>
    <w:rsid w:val="006D6927"/>
    <w:rsid w:val="006E0F86"/>
    <w:rsid w:val="006E3755"/>
    <w:rsid w:val="006E3D32"/>
    <w:rsid w:val="006E5613"/>
    <w:rsid w:val="006E746F"/>
    <w:rsid w:val="006E7FDA"/>
    <w:rsid w:val="006F160F"/>
    <w:rsid w:val="006F588D"/>
    <w:rsid w:val="006F602E"/>
    <w:rsid w:val="006F7616"/>
    <w:rsid w:val="0070141F"/>
    <w:rsid w:val="00701C54"/>
    <w:rsid w:val="007047F4"/>
    <w:rsid w:val="00705B17"/>
    <w:rsid w:val="0070789B"/>
    <w:rsid w:val="007116D3"/>
    <w:rsid w:val="007163B6"/>
    <w:rsid w:val="00716C54"/>
    <w:rsid w:val="007275A2"/>
    <w:rsid w:val="00730D2D"/>
    <w:rsid w:val="00731A77"/>
    <w:rsid w:val="007366D0"/>
    <w:rsid w:val="0074134F"/>
    <w:rsid w:val="007419E6"/>
    <w:rsid w:val="00741B11"/>
    <w:rsid w:val="0074220E"/>
    <w:rsid w:val="00747704"/>
    <w:rsid w:val="007478B0"/>
    <w:rsid w:val="007522D1"/>
    <w:rsid w:val="007565D7"/>
    <w:rsid w:val="007605A1"/>
    <w:rsid w:val="00761FD8"/>
    <w:rsid w:val="00762537"/>
    <w:rsid w:val="00764F27"/>
    <w:rsid w:val="00776E50"/>
    <w:rsid w:val="00780A18"/>
    <w:rsid w:val="007814D7"/>
    <w:rsid w:val="007971D0"/>
    <w:rsid w:val="007A55B1"/>
    <w:rsid w:val="007A6F1C"/>
    <w:rsid w:val="007B0575"/>
    <w:rsid w:val="007B2CD7"/>
    <w:rsid w:val="007B4B5F"/>
    <w:rsid w:val="007C4652"/>
    <w:rsid w:val="007D1DB0"/>
    <w:rsid w:val="007D2092"/>
    <w:rsid w:val="007D40A1"/>
    <w:rsid w:val="007E074C"/>
    <w:rsid w:val="007E412D"/>
    <w:rsid w:val="007E5CCE"/>
    <w:rsid w:val="007F040C"/>
    <w:rsid w:val="007F0D5E"/>
    <w:rsid w:val="007F2877"/>
    <w:rsid w:val="007F69CA"/>
    <w:rsid w:val="007F69EB"/>
    <w:rsid w:val="00800D75"/>
    <w:rsid w:val="00801C65"/>
    <w:rsid w:val="0080368F"/>
    <w:rsid w:val="0080547F"/>
    <w:rsid w:val="00807912"/>
    <w:rsid w:val="0081450E"/>
    <w:rsid w:val="00814772"/>
    <w:rsid w:val="00821A91"/>
    <w:rsid w:val="00822560"/>
    <w:rsid w:val="00825224"/>
    <w:rsid w:val="0082564A"/>
    <w:rsid w:val="0082585B"/>
    <w:rsid w:val="00826A74"/>
    <w:rsid w:val="00833CBE"/>
    <w:rsid w:val="008346D6"/>
    <w:rsid w:val="008360C5"/>
    <w:rsid w:val="00844ECE"/>
    <w:rsid w:val="008453E4"/>
    <w:rsid w:val="008470C0"/>
    <w:rsid w:val="008544FB"/>
    <w:rsid w:val="008546E7"/>
    <w:rsid w:val="008620D4"/>
    <w:rsid w:val="008628F5"/>
    <w:rsid w:val="00870127"/>
    <w:rsid w:val="00885506"/>
    <w:rsid w:val="008933B2"/>
    <w:rsid w:val="008A070A"/>
    <w:rsid w:val="008A414F"/>
    <w:rsid w:val="008A4DDC"/>
    <w:rsid w:val="008A66EB"/>
    <w:rsid w:val="008A6F41"/>
    <w:rsid w:val="008B06F4"/>
    <w:rsid w:val="008B36B3"/>
    <w:rsid w:val="008B3E69"/>
    <w:rsid w:val="008B4629"/>
    <w:rsid w:val="008B5E5D"/>
    <w:rsid w:val="008B62CF"/>
    <w:rsid w:val="008B66EE"/>
    <w:rsid w:val="008B68C0"/>
    <w:rsid w:val="008B76F6"/>
    <w:rsid w:val="008C2968"/>
    <w:rsid w:val="008C35CF"/>
    <w:rsid w:val="008C4573"/>
    <w:rsid w:val="008C6348"/>
    <w:rsid w:val="008D415E"/>
    <w:rsid w:val="008D449F"/>
    <w:rsid w:val="008D7A12"/>
    <w:rsid w:val="008E097E"/>
    <w:rsid w:val="008E0EBA"/>
    <w:rsid w:val="008E14DB"/>
    <w:rsid w:val="008E3EB4"/>
    <w:rsid w:val="008E4EF1"/>
    <w:rsid w:val="008E528C"/>
    <w:rsid w:val="008E7187"/>
    <w:rsid w:val="008F0D90"/>
    <w:rsid w:val="008F59E1"/>
    <w:rsid w:val="009027FC"/>
    <w:rsid w:val="00904857"/>
    <w:rsid w:val="00906643"/>
    <w:rsid w:val="00912FC8"/>
    <w:rsid w:val="00922507"/>
    <w:rsid w:val="00925408"/>
    <w:rsid w:val="00925B5F"/>
    <w:rsid w:val="009335B2"/>
    <w:rsid w:val="00941877"/>
    <w:rsid w:val="00942AF6"/>
    <w:rsid w:val="0094314E"/>
    <w:rsid w:val="00943E0D"/>
    <w:rsid w:val="00956755"/>
    <w:rsid w:val="00962E07"/>
    <w:rsid w:val="0096329C"/>
    <w:rsid w:val="009637A3"/>
    <w:rsid w:val="009640B9"/>
    <w:rsid w:val="009714DB"/>
    <w:rsid w:val="00991C7F"/>
    <w:rsid w:val="00991CD3"/>
    <w:rsid w:val="00997B81"/>
    <w:rsid w:val="009A09AA"/>
    <w:rsid w:val="009A0CDB"/>
    <w:rsid w:val="009A4F64"/>
    <w:rsid w:val="009A5A67"/>
    <w:rsid w:val="009A7867"/>
    <w:rsid w:val="009A7D25"/>
    <w:rsid w:val="009B40FF"/>
    <w:rsid w:val="009B4A8D"/>
    <w:rsid w:val="009B66CF"/>
    <w:rsid w:val="009B79FD"/>
    <w:rsid w:val="009D47BA"/>
    <w:rsid w:val="009D7A37"/>
    <w:rsid w:val="009E0077"/>
    <w:rsid w:val="009E4527"/>
    <w:rsid w:val="009F3336"/>
    <w:rsid w:val="009F34E3"/>
    <w:rsid w:val="00A13331"/>
    <w:rsid w:val="00A2023B"/>
    <w:rsid w:val="00A20667"/>
    <w:rsid w:val="00A20F94"/>
    <w:rsid w:val="00A218A6"/>
    <w:rsid w:val="00A24DCA"/>
    <w:rsid w:val="00A24EAE"/>
    <w:rsid w:val="00A3031A"/>
    <w:rsid w:val="00A31817"/>
    <w:rsid w:val="00A34A7D"/>
    <w:rsid w:val="00A35039"/>
    <w:rsid w:val="00A47FF9"/>
    <w:rsid w:val="00A566E3"/>
    <w:rsid w:val="00A57B8D"/>
    <w:rsid w:val="00A657C4"/>
    <w:rsid w:val="00A6628F"/>
    <w:rsid w:val="00A667E2"/>
    <w:rsid w:val="00A715F5"/>
    <w:rsid w:val="00A77411"/>
    <w:rsid w:val="00A808CC"/>
    <w:rsid w:val="00A80921"/>
    <w:rsid w:val="00A82014"/>
    <w:rsid w:val="00A90948"/>
    <w:rsid w:val="00A9266A"/>
    <w:rsid w:val="00A937FE"/>
    <w:rsid w:val="00A93959"/>
    <w:rsid w:val="00A93B13"/>
    <w:rsid w:val="00A9553F"/>
    <w:rsid w:val="00A95A9A"/>
    <w:rsid w:val="00AA46BF"/>
    <w:rsid w:val="00AA6C79"/>
    <w:rsid w:val="00AC040D"/>
    <w:rsid w:val="00AC2055"/>
    <w:rsid w:val="00AC5E1E"/>
    <w:rsid w:val="00AC7B1A"/>
    <w:rsid w:val="00AD0372"/>
    <w:rsid w:val="00AD33FC"/>
    <w:rsid w:val="00AD3DCB"/>
    <w:rsid w:val="00AD7254"/>
    <w:rsid w:val="00AE0E48"/>
    <w:rsid w:val="00AE2527"/>
    <w:rsid w:val="00AE2DBD"/>
    <w:rsid w:val="00AE6348"/>
    <w:rsid w:val="00B00CC7"/>
    <w:rsid w:val="00B03667"/>
    <w:rsid w:val="00B122B0"/>
    <w:rsid w:val="00B15CCE"/>
    <w:rsid w:val="00B16CFB"/>
    <w:rsid w:val="00B205A0"/>
    <w:rsid w:val="00B208BF"/>
    <w:rsid w:val="00B22674"/>
    <w:rsid w:val="00B2274D"/>
    <w:rsid w:val="00B22A6A"/>
    <w:rsid w:val="00B258CF"/>
    <w:rsid w:val="00B32FB8"/>
    <w:rsid w:val="00B40DA5"/>
    <w:rsid w:val="00B4416B"/>
    <w:rsid w:val="00B503EB"/>
    <w:rsid w:val="00B50E64"/>
    <w:rsid w:val="00B516CE"/>
    <w:rsid w:val="00B53A88"/>
    <w:rsid w:val="00B53D62"/>
    <w:rsid w:val="00B54183"/>
    <w:rsid w:val="00B61DE0"/>
    <w:rsid w:val="00B62612"/>
    <w:rsid w:val="00B66A98"/>
    <w:rsid w:val="00B750AE"/>
    <w:rsid w:val="00B751A8"/>
    <w:rsid w:val="00B809C1"/>
    <w:rsid w:val="00B85C61"/>
    <w:rsid w:val="00B86DAE"/>
    <w:rsid w:val="00B90D17"/>
    <w:rsid w:val="00B9315A"/>
    <w:rsid w:val="00B95D17"/>
    <w:rsid w:val="00BA0691"/>
    <w:rsid w:val="00BA48E5"/>
    <w:rsid w:val="00BA5034"/>
    <w:rsid w:val="00BA6045"/>
    <w:rsid w:val="00BB0457"/>
    <w:rsid w:val="00BB795E"/>
    <w:rsid w:val="00BC2C7C"/>
    <w:rsid w:val="00BC3578"/>
    <w:rsid w:val="00BC74F2"/>
    <w:rsid w:val="00BD2A87"/>
    <w:rsid w:val="00BD5220"/>
    <w:rsid w:val="00BD5549"/>
    <w:rsid w:val="00BF4618"/>
    <w:rsid w:val="00BF5BAD"/>
    <w:rsid w:val="00C002EB"/>
    <w:rsid w:val="00C02375"/>
    <w:rsid w:val="00C025B5"/>
    <w:rsid w:val="00C04BA3"/>
    <w:rsid w:val="00C0515C"/>
    <w:rsid w:val="00C06E78"/>
    <w:rsid w:val="00C078BC"/>
    <w:rsid w:val="00C0798D"/>
    <w:rsid w:val="00C1254D"/>
    <w:rsid w:val="00C12DEC"/>
    <w:rsid w:val="00C205DB"/>
    <w:rsid w:val="00C2462C"/>
    <w:rsid w:val="00C255C0"/>
    <w:rsid w:val="00C32DA9"/>
    <w:rsid w:val="00C41524"/>
    <w:rsid w:val="00C41B8F"/>
    <w:rsid w:val="00C523F6"/>
    <w:rsid w:val="00C55990"/>
    <w:rsid w:val="00C55C3C"/>
    <w:rsid w:val="00C57758"/>
    <w:rsid w:val="00C62CDD"/>
    <w:rsid w:val="00C66364"/>
    <w:rsid w:val="00C70BA7"/>
    <w:rsid w:val="00C72BE0"/>
    <w:rsid w:val="00C7560A"/>
    <w:rsid w:val="00C77240"/>
    <w:rsid w:val="00C77316"/>
    <w:rsid w:val="00C83D4C"/>
    <w:rsid w:val="00C84489"/>
    <w:rsid w:val="00C932DC"/>
    <w:rsid w:val="00C961F7"/>
    <w:rsid w:val="00CB03B3"/>
    <w:rsid w:val="00CB7FC5"/>
    <w:rsid w:val="00CC07CA"/>
    <w:rsid w:val="00CC6A74"/>
    <w:rsid w:val="00CC70A0"/>
    <w:rsid w:val="00CD0BAB"/>
    <w:rsid w:val="00CD10D3"/>
    <w:rsid w:val="00CD3814"/>
    <w:rsid w:val="00CD5F03"/>
    <w:rsid w:val="00CD73DC"/>
    <w:rsid w:val="00CE096C"/>
    <w:rsid w:val="00CE22BF"/>
    <w:rsid w:val="00CE4574"/>
    <w:rsid w:val="00CF2BCC"/>
    <w:rsid w:val="00CF2FB7"/>
    <w:rsid w:val="00CF41C3"/>
    <w:rsid w:val="00D05CCF"/>
    <w:rsid w:val="00D06478"/>
    <w:rsid w:val="00D142D7"/>
    <w:rsid w:val="00D16160"/>
    <w:rsid w:val="00D220CB"/>
    <w:rsid w:val="00D31668"/>
    <w:rsid w:val="00D3419D"/>
    <w:rsid w:val="00D3628C"/>
    <w:rsid w:val="00D4314E"/>
    <w:rsid w:val="00D43753"/>
    <w:rsid w:val="00D43C3D"/>
    <w:rsid w:val="00D46289"/>
    <w:rsid w:val="00D47352"/>
    <w:rsid w:val="00D47EE6"/>
    <w:rsid w:val="00D52CDF"/>
    <w:rsid w:val="00D53F9B"/>
    <w:rsid w:val="00D5469C"/>
    <w:rsid w:val="00D57484"/>
    <w:rsid w:val="00D6244A"/>
    <w:rsid w:val="00D62F9A"/>
    <w:rsid w:val="00D6456B"/>
    <w:rsid w:val="00D71BD7"/>
    <w:rsid w:val="00D72523"/>
    <w:rsid w:val="00D72EFA"/>
    <w:rsid w:val="00D77038"/>
    <w:rsid w:val="00D817B6"/>
    <w:rsid w:val="00D9143D"/>
    <w:rsid w:val="00D938AC"/>
    <w:rsid w:val="00D967D3"/>
    <w:rsid w:val="00DA35F0"/>
    <w:rsid w:val="00DA49FB"/>
    <w:rsid w:val="00DA7522"/>
    <w:rsid w:val="00DB5E35"/>
    <w:rsid w:val="00DB603C"/>
    <w:rsid w:val="00DB6626"/>
    <w:rsid w:val="00DB665B"/>
    <w:rsid w:val="00DB70F8"/>
    <w:rsid w:val="00DC46C4"/>
    <w:rsid w:val="00DC59DB"/>
    <w:rsid w:val="00DC7D3E"/>
    <w:rsid w:val="00DD27C0"/>
    <w:rsid w:val="00DD42FF"/>
    <w:rsid w:val="00DD64EF"/>
    <w:rsid w:val="00DE3CD8"/>
    <w:rsid w:val="00DE71D5"/>
    <w:rsid w:val="00DF10E7"/>
    <w:rsid w:val="00DF1BEA"/>
    <w:rsid w:val="00E00692"/>
    <w:rsid w:val="00E059A9"/>
    <w:rsid w:val="00E05D12"/>
    <w:rsid w:val="00E06C3D"/>
    <w:rsid w:val="00E13ACC"/>
    <w:rsid w:val="00E16393"/>
    <w:rsid w:val="00E17295"/>
    <w:rsid w:val="00E2328A"/>
    <w:rsid w:val="00E244B7"/>
    <w:rsid w:val="00E26EFF"/>
    <w:rsid w:val="00E313D9"/>
    <w:rsid w:val="00E31968"/>
    <w:rsid w:val="00E36263"/>
    <w:rsid w:val="00E369C8"/>
    <w:rsid w:val="00E36E1B"/>
    <w:rsid w:val="00E41CDC"/>
    <w:rsid w:val="00E42695"/>
    <w:rsid w:val="00E42E3E"/>
    <w:rsid w:val="00E4708D"/>
    <w:rsid w:val="00E50C88"/>
    <w:rsid w:val="00E51741"/>
    <w:rsid w:val="00E52462"/>
    <w:rsid w:val="00E57E5E"/>
    <w:rsid w:val="00E65487"/>
    <w:rsid w:val="00E806C6"/>
    <w:rsid w:val="00E832ED"/>
    <w:rsid w:val="00E83417"/>
    <w:rsid w:val="00E87031"/>
    <w:rsid w:val="00E906BE"/>
    <w:rsid w:val="00E91090"/>
    <w:rsid w:val="00E91EC0"/>
    <w:rsid w:val="00E96641"/>
    <w:rsid w:val="00EA07AF"/>
    <w:rsid w:val="00EA4488"/>
    <w:rsid w:val="00EB1C94"/>
    <w:rsid w:val="00EB2E22"/>
    <w:rsid w:val="00EB34B3"/>
    <w:rsid w:val="00EB37E5"/>
    <w:rsid w:val="00EB6586"/>
    <w:rsid w:val="00EB7AE5"/>
    <w:rsid w:val="00EC7F74"/>
    <w:rsid w:val="00ED1920"/>
    <w:rsid w:val="00ED1D32"/>
    <w:rsid w:val="00ED1D4F"/>
    <w:rsid w:val="00ED2711"/>
    <w:rsid w:val="00ED61EC"/>
    <w:rsid w:val="00ED6F02"/>
    <w:rsid w:val="00EE03B9"/>
    <w:rsid w:val="00EE24AC"/>
    <w:rsid w:val="00EE3DF7"/>
    <w:rsid w:val="00EE7CB2"/>
    <w:rsid w:val="00EF69F4"/>
    <w:rsid w:val="00EF75DA"/>
    <w:rsid w:val="00EF77A6"/>
    <w:rsid w:val="00F05E1D"/>
    <w:rsid w:val="00F074A4"/>
    <w:rsid w:val="00F07929"/>
    <w:rsid w:val="00F07E79"/>
    <w:rsid w:val="00F10201"/>
    <w:rsid w:val="00F104C8"/>
    <w:rsid w:val="00F152CB"/>
    <w:rsid w:val="00F202DA"/>
    <w:rsid w:val="00F24171"/>
    <w:rsid w:val="00F24A84"/>
    <w:rsid w:val="00F27E01"/>
    <w:rsid w:val="00F34847"/>
    <w:rsid w:val="00F34FA2"/>
    <w:rsid w:val="00F44E47"/>
    <w:rsid w:val="00F45D1B"/>
    <w:rsid w:val="00F47E3A"/>
    <w:rsid w:val="00F51E4D"/>
    <w:rsid w:val="00F55021"/>
    <w:rsid w:val="00F600F0"/>
    <w:rsid w:val="00F61ACA"/>
    <w:rsid w:val="00F64C69"/>
    <w:rsid w:val="00F67445"/>
    <w:rsid w:val="00F727D5"/>
    <w:rsid w:val="00F737EB"/>
    <w:rsid w:val="00F74DCB"/>
    <w:rsid w:val="00F75FA8"/>
    <w:rsid w:val="00F76419"/>
    <w:rsid w:val="00F767E7"/>
    <w:rsid w:val="00F773A6"/>
    <w:rsid w:val="00F80903"/>
    <w:rsid w:val="00F816FC"/>
    <w:rsid w:val="00F81EA4"/>
    <w:rsid w:val="00F82DE8"/>
    <w:rsid w:val="00F84933"/>
    <w:rsid w:val="00F93085"/>
    <w:rsid w:val="00F93E26"/>
    <w:rsid w:val="00F95EB8"/>
    <w:rsid w:val="00F96077"/>
    <w:rsid w:val="00FA0EED"/>
    <w:rsid w:val="00FA11D1"/>
    <w:rsid w:val="00FA17F0"/>
    <w:rsid w:val="00FA1949"/>
    <w:rsid w:val="00FA20B4"/>
    <w:rsid w:val="00FA5690"/>
    <w:rsid w:val="00FB51C3"/>
    <w:rsid w:val="00FC089D"/>
    <w:rsid w:val="00FC52AB"/>
    <w:rsid w:val="00FC5FAE"/>
    <w:rsid w:val="00FC60C2"/>
    <w:rsid w:val="00FD0358"/>
    <w:rsid w:val="00FD14BD"/>
    <w:rsid w:val="00FD30D1"/>
    <w:rsid w:val="00FD4CAD"/>
    <w:rsid w:val="00FD70AD"/>
    <w:rsid w:val="00FE3BED"/>
    <w:rsid w:val="00FE4E6D"/>
    <w:rsid w:val="00FF0C3A"/>
    <w:rsid w:val="00FF3D2E"/>
    <w:rsid w:val="00FF54DC"/>
    <w:rsid w:val="00FF583F"/>
    <w:rsid w:val="00FF7239"/>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3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14"/>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D3814"/>
    <w:pPr>
      <w:widowControl w:val="0"/>
    </w:pPr>
    <w:rPr>
      <w:snapToGrid w:val="0"/>
      <w:sz w:val="20"/>
      <w:szCs w:val="20"/>
      <w:lang w:val="en-GB"/>
    </w:rPr>
  </w:style>
  <w:style w:type="character" w:styleId="FootnoteReference">
    <w:name w:val="footnote reference"/>
    <w:semiHidden/>
    <w:rsid w:val="00CD3814"/>
    <w:rPr>
      <w:vertAlign w:val="superscript"/>
    </w:rPr>
  </w:style>
  <w:style w:type="paragraph" w:styleId="Footer">
    <w:name w:val="footer"/>
    <w:basedOn w:val="Normal"/>
    <w:rsid w:val="000C0AEA"/>
    <w:pPr>
      <w:tabs>
        <w:tab w:val="center" w:pos="4320"/>
        <w:tab w:val="right" w:pos="8640"/>
      </w:tabs>
    </w:pPr>
  </w:style>
  <w:style w:type="character" w:styleId="PageNumber">
    <w:name w:val="page number"/>
    <w:basedOn w:val="DefaultParagraphFont"/>
    <w:rsid w:val="000C0AEA"/>
  </w:style>
  <w:style w:type="character" w:customStyle="1" w:styleId="longtext">
    <w:name w:val="long_text"/>
    <w:basedOn w:val="DefaultParagraphFont"/>
    <w:rsid w:val="00705B17"/>
  </w:style>
  <w:style w:type="character" w:styleId="Strong">
    <w:name w:val="Strong"/>
    <w:uiPriority w:val="22"/>
    <w:qFormat/>
    <w:rsid w:val="003265B3"/>
    <w:rPr>
      <w:b/>
      <w:bCs/>
    </w:rPr>
  </w:style>
  <w:style w:type="paragraph" w:styleId="NoSpacing">
    <w:name w:val="No Spacing"/>
    <w:uiPriority w:val="1"/>
    <w:qFormat/>
    <w:rsid w:val="00F202DA"/>
    <w:rPr>
      <w:sz w:val="24"/>
      <w:szCs w:val="24"/>
      <w:lang w:val="fr-FR" w:eastAsia="en-US"/>
    </w:rPr>
  </w:style>
  <w:style w:type="character" w:customStyle="1" w:styleId="FootnoteTextChar">
    <w:name w:val="Footnote Text Char"/>
    <w:link w:val="FootnoteText"/>
    <w:semiHidden/>
    <w:rsid w:val="00FF7239"/>
    <w:rPr>
      <w:snapToGrid w:val="0"/>
      <w:lang w:val="en-GB"/>
    </w:rPr>
  </w:style>
  <w:style w:type="paragraph" w:styleId="BalloonText">
    <w:name w:val="Balloon Text"/>
    <w:basedOn w:val="Normal"/>
    <w:link w:val="BalloonTextChar"/>
    <w:rsid w:val="006C655F"/>
    <w:rPr>
      <w:rFonts w:ascii="Lucida Grande" w:hAnsi="Lucida Grande" w:cs="Lucida Grande"/>
      <w:sz w:val="18"/>
      <w:szCs w:val="18"/>
    </w:rPr>
  </w:style>
  <w:style w:type="character" w:customStyle="1" w:styleId="BalloonTextChar">
    <w:name w:val="Balloon Text Char"/>
    <w:basedOn w:val="DefaultParagraphFont"/>
    <w:link w:val="BalloonText"/>
    <w:rsid w:val="006C655F"/>
    <w:rPr>
      <w:rFonts w:ascii="Lucida Grande" w:hAnsi="Lucida Grande" w:cs="Lucida Grande"/>
      <w:sz w:val="18"/>
      <w:szCs w:val="18"/>
      <w:lang w:val="fr-FR" w:eastAsia="en-US"/>
    </w:rPr>
  </w:style>
  <w:style w:type="paragraph" w:styleId="Revision">
    <w:name w:val="Revision"/>
    <w:hidden/>
    <w:uiPriority w:val="99"/>
    <w:semiHidden/>
    <w:rsid w:val="0080547F"/>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14"/>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D3814"/>
    <w:pPr>
      <w:widowControl w:val="0"/>
    </w:pPr>
    <w:rPr>
      <w:snapToGrid w:val="0"/>
      <w:sz w:val="20"/>
      <w:szCs w:val="20"/>
      <w:lang w:val="en-GB"/>
    </w:rPr>
  </w:style>
  <w:style w:type="character" w:styleId="FootnoteReference">
    <w:name w:val="footnote reference"/>
    <w:semiHidden/>
    <w:rsid w:val="00CD3814"/>
    <w:rPr>
      <w:vertAlign w:val="superscript"/>
    </w:rPr>
  </w:style>
  <w:style w:type="paragraph" w:styleId="Footer">
    <w:name w:val="footer"/>
    <w:basedOn w:val="Normal"/>
    <w:rsid w:val="000C0AEA"/>
    <w:pPr>
      <w:tabs>
        <w:tab w:val="center" w:pos="4320"/>
        <w:tab w:val="right" w:pos="8640"/>
      </w:tabs>
    </w:pPr>
  </w:style>
  <w:style w:type="character" w:styleId="PageNumber">
    <w:name w:val="page number"/>
    <w:basedOn w:val="DefaultParagraphFont"/>
    <w:rsid w:val="000C0AEA"/>
  </w:style>
  <w:style w:type="character" w:customStyle="1" w:styleId="longtext">
    <w:name w:val="long_text"/>
    <w:basedOn w:val="DefaultParagraphFont"/>
    <w:rsid w:val="00705B17"/>
  </w:style>
  <w:style w:type="character" w:styleId="Strong">
    <w:name w:val="Strong"/>
    <w:uiPriority w:val="22"/>
    <w:qFormat/>
    <w:rsid w:val="003265B3"/>
    <w:rPr>
      <w:b/>
      <w:bCs/>
    </w:rPr>
  </w:style>
  <w:style w:type="paragraph" w:styleId="NoSpacing">
    <w:name w:val="No Spacing"/>
    <w:uiPriority w:val="1"/>
    <w:qFormat/>
    <w:rsid w:val="00F202DA"/>
    <w:rPr>
      <w:sz w:val="24"/>
      <w:szCs w:val="24"/>
      <w:lang w:val="fr-FR" w:eastAsia="en-US"/>
    </w:rPr>
  </w:style>
  <w:style w:type="character" w:customStyle="1" w:styleId="FootnoteTextChar">
    <w:name w:val="Footnote Text Char"/>
    <w:link w:val="FootnoteText"/>
    <w:semiHidden/>
    <w:rsid w:val="00FF7239"/>
    <w:rPr>
      <w:snapToGrid w:val="0"/>
      <w:lang w:val="en-GB"/>
    </w:rPr>
  </w:style>
  <w:style w:type="paragraph" w:styleId="BalloonText">
    <w:name w:val="Balloon Text"/>
    <w:basedOn w:val="Normal"/>
    <w:link w:val="BalloonTextChar"/>
    <w:rsid w:val="006C655F"/>
    <w:rPr>
      <w:rFonts w:ascii="Lucida Grande" w:hAnsi="Lucida Grande" w:cs="Lucida Grande"/>
      <w:sz w:val="18"/>
      <w:szCs w:val="18"/>
    </w:rPr>
  </w:style>
  <w:style w:type="character" w:customStyle="1" w:styleId="BalloonTextChar">
    <w:name w:val="Balloon Text Char"/>
    <w:basedOn w:val="DefaultParagraphFont"/>
    <w:link w:val="BalloonText"/>
    <w:rsid w:val="006C655F"/>
    <w:rPr>
      <w:rFonts w:ascii="Lucida Grande" w:hAnsi="Lucida Grande" w:cs="Lucida Grande"/>
      <w:sz w:val="18"/>
      <w:szCs w:val="18"/>
      <w:lang w:val="fr-FR" w:eastAsia="en-US"/>
    </w:rPr>
  </w:style>
  <w:style w:type="paragraph" w:styleId="Revision">
    <w:name w:val="Revision"/>
    <w:hidden/>
    <w:uiPriority w:val="99"/>
    <w:semiHidden/>
    <w:rsid w:val="0080547F"/>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0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2460</Words>
  <Characters>14022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QUARTERLY PROJECT  UPDATE </vt:lpstr>
      <vt:lpstr>QUARTERLY PROJECT  UPDATE </vt:lpstr>
    </vt:vector>
  </TitlesOfParts>
  <Company>United Nations</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PROJECT  UPDATE</dc:title>
  <dc:creator>United Nations</dc:creator>
  <cp:lastModifiedBy>Fiona Bayat</cp:lastModifiedBy>
  <cp:revision>2</cp:revision>
  <cp:lastPrinted>2012-07-26T11:22:00Z</cp:lastPrinted>
  <dcterms:created xsi:type="dcterms:W3CDTF">2012-07-29T18:07:00Z</dcterms:created>
  <dcterms:modified xsi:type="dcterms:W3CDTF">2012-07-29T18:07:00Z</dcterms:modified>
</cp:coreProperties>
</file>