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DA5962">
        <w:rPr>
          <w:rFonts w:ascii="Arial" w:hAnsi="Arial"/>
          <w:noProof/>
          <w:spacing w:val="-3"/>
          <w:sz w:val="20"/>
        </w:rPr>
        <w:drawing>
          <wp:inline distT="0" distB="0" distL="0" distR="0">
            <wp:extent cx="1457325" cy="619125"/>
            <wp:effectExtent l="0" t="0" r="9525" b="9525"/>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DA5962">
        <w:rPr>
          <w:rFonts w:ascii="Arial" w:hAnsi="Arial"/>
          <w:noProof/>
          <w:spacing w:val="-3"/>
          <w:sz w:val="20"/>
        </w:rPr>
        <w:drawing>
          <wp:inline distT="0" distB="0" distL="0" distR="0">
            <wp:extent cx="1438275" cy="1095375"/>
            <wp:effectExtent l="0" t="0" r="9525" b="9525"/>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sidRPr="00EA3D29">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3B130F">
        <w:t>Guin</w:t>
      </w:r>
      <w:r w:rsidR="00922772">
        <w:t xml:space="preserve">ea </w:t>
      </w:r>
      <w:r w:rsidR="003B130F">
        <w:t>Bissau</w:t>
      </w:r>
      <w:r w:rsidR="00C54643">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sidRPr="00922772">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E8005D">
        <w:t>14</w:t>
      </w:r>
      <w:r w:rsidR="00C54643">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E43FBA" w:rsidRPr="00DA5962" w:rsidRDefault="004D5527" w:rsidP="00E43FBA">
            <w:pPr>
              <w:rPr>
                <w:lang w:eastAsia="ja-JP"/>
              </w:rPr>
            </w:pPr>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sidRPr="00DA5962">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922772">
              <w:t>IRF-86 (00089877)</w:t>
            </w:r>
          </w:p>
          <w:p w:rsidR="004D5527" w:rsidRPr="00870590" w:rsidRDefault="00E43FBA" w:rsidP="00E43FBA">
            <w:pPr>
              <w:rPr>
                <w:rFonts w:cs="Times New Roman"/>
                <w:sz w:val="22"/>
                <w:szCs w:val="22"/>
              </w:rPr>
            </w:pPr>
            <w:r w:rsidRPr="00DA5962">
              <w:rPr>
                <w:lang w:eastAsia="ja-JP"/>
              </w:rPr>
              <w:t xml:space="preserve">Strengthening the media’s watchdog role  during the 2014 elections in Guinea Bissau  </w:t>
            </w:r>
            <w:r w:rsidR="00C54643">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C54643" w:rsidP="00E43FBA">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E43FBA" w:rsidRPr="00E43FBA">
              <w:t xml:space="preserve">UNIOGBIS </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C54643" w:rsidP="00E43FBA">
            <w:pPr>
              <w:rPr>
                <w:rFonts w:cs="Times New Roman"/>
                <w:bCs/>
                <w:sz w:val="22"/>
                <w:szCs w:val="22"/>
              </w:rPr>
            </w:pPr>
            <w:r>
              <w:rPr>
                <w:rFonts w:cs="Times New Roman"/>
                <w:bCs/>
                <w:sz w:val="22"/>
                <w:szCs w:val="22"/>
              </w:rPr>
              <w:fldChar w:fldCharType="begin">
                <w:ffData>
                  <w:name w:val="Text2"/>
                  <w:enabled/>
                  <w:calcOnExit w:val="0"/>
                  <w:textInput/>
                </w:ffData>
              </w:fldChar>
            </w:r>
            <w:bookmarkStart w:id="2" w:name="Text2"/>
            <w:r>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E43FBA" w:rsidRPr="00E43FBA">
              <w:t>State Secretariat for Social Communication</w:t>
            </w:r>
            <w:r>
              <w:rPr>
                <w:rFonts w:cs="Times New Roman"/>
                <w:bCs/>
                <w:sz w:val="22"/>
                <w:szCs w:val="22"/>
              </w:rPr>
              <w:fldChar w:fldCharType="end"/>
            </w:r>
            <w:bookmarkEnd w:id="2"/>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C54643" w:rsidP="00E43FBA">
            <w:pPr>
              <w:rPr>
                <w:rFonts w:cs="Times New Roman"/>
                <w:sz w:val="22"/>
                <w:szCs w:val="22"/>
              </w:rPr>
            </w:pPr>
            <w:r>
              <w:rPr>
                <w:rFonts w:cs="Times New Roman"/>
                <w:sz w:val="22"/>
                <w:szCs w:val="22"/>
              </w:rPr>
              <w:fldChar w:fldCharType="begin">
                <w:ffData>
                  <w:name w:val="Text3"/>
                  <w:enabled/>
                  <w:calcOnExit w:val="0"/>
                  <w:textInput/>
                </w:ffData>
              </w:fldChar>
            </w:r>
            <w:bookmarkStart w:id="3" w:name="Text3"/>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E43FBA" w:rsidRPr="00E43FBA">
              <w:t>Guinea-Bissau</w:t>
            </w:r>
            <w:r>
              <w:rPr>
                <w:rFonts w:cs="Times New Roman"/>
                <w:sz w:val="22"/>
                <w:szCs w:val="22"/>
              </w:rPr>
              <w:fldChar w:fldCharType="end"/>
            </w:r>
            <w:bookmarkEnd w:id="3"/>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C54643" w:rsidP="00E43FBA">
            <w:pPr>
              <w:rPr>
                <w:rFonts w:cs="Times New Roman"/>
                <w:sz w:val="22"/>
                <w:szCs w:val="22"/>
                <w:lang w:val="fr-FR"/>
              </w:rPr>
            </w:pPr>
            <w:r>
              <w:rPr>
                <w:rFonts w:cs="Times New Roman"/>
                <w:sz w:val="22"/>
                <w:szCs w:val="22"/>
                <w:lang w:val="fr-FR"/>
              </w:rPr>
              <w:fldChar w:fldCharType="begin">
                <w:ffData>
                  <w:name w:val="Text4"/>
                  <w:enabled/>
                  <w:calcOnExit w:val="0"/>
                  <w:textInput>
                    <w:type w:val="number"/>
                  </w:textInput>
                </w:ffData>
              </w:fldChar>
            </w:r>
            <w:bookmarkStart w:id="4" w:name="Text4"/>
            <w:r>
              <w:rPr>
                <w:rFonts w:cs="Times New Roman"/>
                <w:sz w:val="22"/>
                <w:szCs w:val="22"/>
                <w:lang w:val="fr-FR"/>
              </w:rPr>
              <w:instrText xml:space="preserve"> FORMTEXT </w:instrText>
            </w:r>
            <w:r>
              <w:rPr>
                <w:rFonts w:cs="Times New Roman"/>
                <w:sz w:val="22"/>
                <w:szCs w:val="22"/>
                <w:lang w:val="fr-FR"/>
              </w:rPr>
            </w:r>
            <w:r>
              <w:rPr>
                <w:rFonts w:cs="Times New Roman"/>
                <w:sz w:val="22"/>
                <w:szCs w:val="22"/>
                <w:lang w:val="fr-FR"/>
              </w:rPr>
              <w:fldChar w:fldCharType="separate"/>
            </w:r>
            <w:r w:rsidR="00922772">
              <w:rPr>
                <w:rFonts w:cs="Times New Roman"/>
                <w:sz w:val="22"/>
                <w:szCs w:val="22"/>
                <w:lang w:val="fr-FR"/>
              </w:rPr>
              <w:t>176674</w:t>
            </w:r>
            <w:r>
              <w:rPr>
                <w:rFonts w:cs="Times New Roman"/>
                <w:sz w:val="22"/>
                <w:szCs w:val="22"/>
                <w:lang w:val="fr-FR"/>
              </w:rPr>
              <w:fldChar w:fldCharType="end"/>
            </w:r>
            <w:bookmarkEnd w:id="4"/>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C54643" w:rsidP="00E43FBA">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5"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E43FBA" w:rsidRPr="00E43FBA">
              <w:rPr>
                <w:lang w:val="en-GB" w:eastAsia="ja-JP"/>
              </w:rPr>
              <w:t>NA</w:t>
            </w:r>
            <w:r>
              <w:rPr>
                <w:rFonts w:cs="Times New Roman"/>
                <w:sz w:val="22"/>
                <w:szCs w:val="22"/>
                <w:lang w:val="en-GB" w:eastAsia="ja-JP"/>
              </w:rPr>
              <w:fldChar w:fldCharType="end"/>
            </w:r>
            <w:bookmarkEnd w:id="5"/>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54643" w:rsidP="00E43FBA">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t>NA</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C54643" w:rsidP="00E43FBA">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6"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111,178.20 USD</w:t>
            </w:r>
            <w:r>
              <w:rPr>
                <w:rFonts w:cs="Times New Roman"/>
                <w:sz w:val="22"/>
                <w:szCs w:val="22"/>
                <w:lang w:val="fr-FR" w:eastAsia="ja-JP"/>
              </w:rPr>
              <w:fldChar w:fldCharType="end"/>
            </w:r>
            <w:bookmarkEnd w:id="6"/>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54643" w:rsidP="00E43FBA">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63 %</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E8005D">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2</w:t>
            </w:r>
            <w:r w:rsidR="00E8005D">
              <w:t>5</w:t>
            </w:r>
            <w:r w:rsidR="00E43FBA" w:rsidRPr="00E43FBA">
              <w:rPr>
                <w:lang w:val="fr-FR" w:eastAsia="ja-JP"/>
              </w:rPr>
              <w:t xml:space="preserve"> March 201</w:t>
            </w:r>
            <w:r w:rsidR="00E8005D">
              <w:t>4</w:t>
            </w:r>
            <w:r w:rsidR="00E43FBA" w:rsidRPr="00E43FBA">
              <w:rPr>
                <w:lang w:val="fr-FR" w:eastAsia="ja-JP"/>
              </w:rPr>
              <w:t xml:space="preserve"> </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C54643" w:rsidP="00E43FBA">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NA</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E43FBA" w:rsidRPr="00E43FBA" w:rsidRDefault="00C54643" w:rsidP="00E43FBA">
            <w:pPr>
              <w:rPr>
                <w:lang w:val="fr-FR" w:eastAsia="ja-JP"/>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1 April 2014</w:t>
            </w:r>
          </w:p>
          <w:p w:rsidR="00937667" w:rsidRDefault="00C54643" w:rsidP="00E43FBA">
            <w:pPr>
              <w:rPr>
                <w:rFonts w:cs="Times New Roman"/>
                <w:b/>
                <w:sz w:val="22"/>
                <w:szCs w:val="22"/>
              </w:rPr>
            </w:pP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54643" w:rsidP="00E43FBA">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E43FBA">
              <w:rPr>
                <w:lang w:val="fr-FR" w:eastAsia="ja-JP"/>
              </w:rPr>
              <w:t>31 December  2014</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C54643" w:rsidP="00922772">
            <w:pPr>
              <w:rPr>
                <w:rFonts w:cs="Times New Roman"/>
                <w:bCs/>
                <w:sz w:val="22"/>
                <w:szCs w:val="22"/>
              </w:rPr>
            </w:pPr>
            <w:r>
              <w:rPr>
                <w:rFonts w:cs="Times New Roman"/>
                <w:sz w:val="22"/>
                <w:szCs w:val="22"/>
                <w:lang w:val="fr-FR" w:eastAsia="ja-JP"/>
              </w:rPr>
              <w:fldChar w:fldCharType="begin">
                <w:ffData>
                  <w:name w:val=""/>
                  <w:enabled/>
                  <w:calcOnExit w:val="0"/>
                  <w:textInput/>
                </w:ffData>
              </w:fldChar>
            </w:r>
            <w:r w:rsidRPr="00DA5962">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43FBA" w:rsidRPr="00DA5962">
              <w:rPr>
                <w:lang w:eastAsia="ja-JP"/>
              </w:rPr>
              <w:t xml:space="preserve"> Transparent and accountable coverage of the electoral process contributes to the restoration of constitutional order in Guinea Bissau.</w:t>
            </w: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C54643" w:rsidP="00117B2B">
            <w:pPr>
              <w:rPr>
                <w:rFonts w:cs="Times New Roman"/>
                <w:sz w:val="22"/>
                <w:szCs w:val="22"/>
              </w:rPr>
            </w:pPr>
            <w:r>
              <w:rPr>
                <w:rFonts w:cs="Times New Roman"/>
                <w:sz w:val="22"/>
                <w:szCs w:val="22"/>
                <w:lang w:val="fr-FR" w:eastAsia="ja-JP"/>
              </w:rPr>
              <w:fldChar w:fldCharType="begin">
                <w:ffData>
                  <w:name w:val=""/>
                  <w:enabled/>
                  <w:calcOnExit w:val="0"/>
                  <w:textInput/>
                </w:ffData>
              </w:fldChar>
            </w:r>
            <w:r w:rsidRPr="00DA5962">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117B2B">
              <w:t xml:space="preserve">Promote coexistence and peaceful resolution of conflicts (Priority Area 2) </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033A32" w:rsidRDefault="00C54643" w:rsidP="00E43FBA">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033A32" w:rsidRPr="00033A32">
              <w:t>63 journalists from public and private sector received equipment and support for the coverage of the electoral process. They were also provided on the job training</w:t>
            </w:r>
            <w:r w:rsidR="00154243">
              <w:t xml:space="preserve"> which involved use of equipment and combining it with the lectu</w:t>
            </w:r>
            <w:r w:rsidR="00EA188B">
              <w:t>r</w:t>
            </w:r>
            <w:r w:rsidR="00154243">
              <w:t>er material from Nov 2013 training</w:t>
            </w:r>
            <w:r w:rsidR="00033A32" w:rsidRPr="00033A32">
              <w:t>.</w:t>
            </w:r>
            <w:r w:rsidR="00154243">
              <w:t xml:space="preserve"> This led to a 100 percent use of the equipment handed over for intended purpose and with in line with national code of conduct as developed with support of UNIOGBIS.</w:t>
            </w:r>
            <w:r w:rsidR="00DA5962">
              <w:t xml:space="preserve"> Besides media have been monitored daily on the outputs.</w:t>
            </w:r>
            <w:r w:rsidR="00033A32" w:rsidRPr="00033A32">
              <w:t xml:space="preserve"> </w:t>
            </w:r>
          </w:p>
          <w:p w:rsidR="00033A32" w:rsidRDefault="00033A32" w:rsidP="00E43FBA">
            <w:r w:rsidRPr="00033A32">
              <w:t xml:space="preserve">23 media channels (TV, radio, news agency and press) from public and private sector received </w:t>
            </w:r>
            <w:proofErr w:type="gramStart"/>
            <w:r w:rsidR="00E8005D">
              <w:t xml:space="preserve">approx 186 </w:t>
            </w:r>
            <w:r w:rsidRPr="00033A32">
              <w:t>equipment</w:t>
            </w:r>
            <w:proofErr w:type="gramEnd"/>
            <w:r w:rsidRPr="00033A32">
              <w:t xml:space="preserve"> and</w:t>
            </w:r>
            <w:r w:rsidR="00E8005D">
              <w:t xml:space="preserve"> financial</w:t>
            </w:r>
            <w:r w:rsidR="00EA188B">
              <w:t xml:space="preserve"> </w:t>
            </w:r>
            <w:r w:rsidRPr="00033A32">
              <w:t>support for the coverage of the electoral process.</w:t>
            </w:r>
          </w:p>
          <w:p w:rsidR="00033A32" w:rsidRPr="00033A32" w:rsidRDefault="00033A32" w:rsidP="00033A32">
            <w:r w:rsidRPr="00033A32">
              <w:t>1289 minutes of air time advocacy achieved. Four news print issued ( Code of Conduct , Press Kit, Mission and</w:t>
            </w:r>
            <w:r>
              <w:t xml:space="preserve"> </w:t>
            </w:r>
            <w:r w:rsidRPr="00033A32">
              <w:t>Code of Conduct , Press Kit, Mission and Mandate and Open Letter )</w:t>
            </w:r>
            <w:r w:rsidR="00154243">
              <w:t xml:space="preserve">. </w:t>
            </w:r>
            <w:r w:rsidR="00154243" w:rsidRPr="00154243">
              <w:t>UNIOGBIS designed, edited and published SRSG’s Open Letter to Bissau-Guinean Brothers, issued on the first week of May</w:t>
            </w:r>
            <w:r w:rsidR="00154243">
              <w:t>.</w:t>
            </w:r>
          </w:p>
          <w:p w:rsidR="00033A32" w:rsidRPr="00E43FBA" w:rsidRDefault="00033A32" w:rsidP="00033A32">
            <w:proofErr w:type="spellStart"/>
            <w:r w:rsidRPr="00033A32">
              <w:t>Post election</w:t>
            </w:r>
            <w:proofErr w:type="spellEnd"/>
            <w:r w:rsidRPr="00033A32">
              <w:t xml:space="preserve"> advocacy is ongoing</w:t>
            </w:r>
            <w:r>
              <w:t>.</w:t>
            </w:r>
          </w:p>
          <w:p w:rsidR="00C54643" w:rsidRDefault="00C54643" w:rsidP="00D13DC0">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C54643" w:rsidRDefault="00C54643" w:rsidP="00EA188B">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9D517C">
              <w:t>T</w:t>
            </w:r>
            <w:r w:rsidR="00E43FBA" w:rsidRPr="00E43FBA">
              <w:t xml:space="preserve">he PBF supported project of UNIOGBIS  helped bridge the gap of the intensive and transparent coverage of electoral process which commenced from November 2013 until June 2014 culminating in return of constitutional order in Guinea Bissau. </w:t>
            </w:r>
            <w:r w:rsidR="009D517C" w:rsidRPr="009D517C">
              <w:t xml:space="preserve"> The PBF support was largely used in fair and transparent coverage of activities from April until June 2014 during the reporting period. Till date the impact on peace building is considered positive as there were no</w:t>
            </w:r>
            <w:r w:rsidR="009D517C">
              <w:t xml:space="preserve"> </w:t>
            </w:r>
            <w:r w:rsidR="009D517C" w:rsidRPr="009D517C">
              <w:t>incidents of media threat, beating of journalist reported during the period.To quote the National Council for Social Communication (May 5, 2014): " In accordance with generic directive number 1/2014 and the Code of Conduct and Ethics on the media coverage for electoral coverage</w:t>
            </w:r>
            <w:r w:rsidR="000C6C88" w:rsidRPr="000C6C88">
              <w:t xml:space="preserve"> the Council concludes that in general the</w:t>
            </w:r>
            <w:r w:rsidR="000C6C88">
              <w:t xml:space="preserve"> </w:t>
            </w:r>
            <w:r w:rsidR="000C6C88" w:rsidRPr="000C6C88">
              <w:t xml:space="preserve">media and journalists performed in satisfactory manner in compliance with the norm".  </w:t>
            </w:r>
            <w:r w:rsidR="009D517C" w:rsidRPr="009D517C">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1772A4">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The successful return to constitutional order for the country has been commended by the international community</w:t>
            </w:r>
            <w:r w:rsidR="00373DA0">
              <w:t>. T</w:t>
            </w:r>
            <w:r w:rsidR="00E43FBA" w:rsidRPr="00E43FBA">
              <w:t>he Prime Minister elect</w:t>
            </w:r>
            <w:r w:rsidR="001772A4">
              <w:t>ed</w:t>
            </w:r>
            <w:r w:rsidR="00E43FBA" w:rsidRPr="00E43FBA">
              <w:t xml:space="preserve"> through the new government is gearing up for a DONORs pledging conference by the end of the year. The current project would be operational until Dec 2014 and would facilitate the national and regional media in covering the activities of the new government a</w:t>
            </w:r>
            <w:r w:rsidR="00373DA0">
              <w:t>nd</w:t>
            </w:r>
            <w:r w:rsidR="00E43FBA" w:rsidRPr="00E43FBA">
              <w:t xml:space="preserve"> preparation towards DONORs conference with an aim of reliable and timely information for all stakeholders for meaningful dialogue and priority listing for seeking funds. It can be said that the </w:t>
            </w:r>
            <w:r w:rsidR="00E43FBA" w:rsidRPr="00E43FBA">
              <w:lastRenderedPageBreak/>
              <w:t xml:space="preserve">transparent and fair reporting of media has improved the reputation of the country and partnerships in furtherance of the peace processes are expected to unleash in future. </w:t>
            </w:r>
            <w:r w:rsidR="00373DA0">
              <w:t>T</w:t>
            </w:r>
            <w:r w:rsidR="00E43FBA" w:rsidRPr="00E43FBA">
              <w:t>he media programs would be focused on consolidation of the four organs of sovereignty (President, Legislative, Executive and Judiciary along with the grant of nation sovereignty (Armed forces) for sustenance of co</w:t>
            </w:r>
            <w:r w:rsidR="00373DA0">
              <w:t>nstitutional order.</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1772A4">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The pace of the project has been in tune with the expected time line and set targets. There had been only brief delays in some of the purchase processes due to the remote location of the country and the procedural aspects of the purchase system.</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E43FBA" w:rsidRPr="00E43FBA" w:rsidRDefault="00C54643" w:rsidP="00E43FBA">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The activities for the remaining period of the project includes :</w:t>
            </w:r>
          </w:p>
          <w:p w:rsidR="001772A4" w:rsidRDefault="001772A4" w:rsidP="00E43FBA"/>
          <w:p w:rsidR="00C54643" w:rsidRDefault="00B44DEC" w:rsidP="001772A4">
            <w:r>
              <w:t xml:space="preserve">Airtime and newsprint reports on post electoral government - </w:t>
            </w:r>
            <w:r w:rsidR="00E43FBA" w:rsidRPr="00E43FBA">
              <w:t xml:space="preserve">Completion of the third phase of the project where by the media activities strengthening public opinion on institution building of various organs of sovereignty would be carried out in form of air time interviews and TV program in form of reportage and articles in newspaper. UNIOGBIS would also design, produce and distribute pamphlets/ small brochures on mission activities in the area of rule of law, justice, security, gender and human rights as part of citizen awareness.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1772A4">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At the moment the budget is considered satisfactory. Considering the fact that so far the project is following the expected time lines we may not need to adjust the project duration.</w:t>
            </w:r>
            <w:r w:rsidR="001772A4">
              <w:t xml:space="preserve"> </w:t>
            </w:r>
            <w:r w:rsidR="00E43FBA" w:rsidRPr="00E43FBA">
              <w:t>In the post electoral situation the focus would be to prepare the media to operate with objectivity in</w:t>
            </w:r>
            <w:r w:rsidR="001772A4">
              <w:t xml:space="preserve"> a</w:t>
            </w:r>
            <w:r w:rsidR="00E43FBA" w:rsidRPr="00E43FBA">
              <w:t xml:space="preserve"> democratic setting.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E43FBA" w:rsidRPr="00E43FBA" w:rsidRDefault="00C54643" w:rsidP="00E43FBA">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Lessons Learnt/Recommendations</w:t>
            </w:r>
            <w:r w:rsidR="001772A4">
              <w:t>:</w:t>
            </w:r>
          </w:p>
          <w:p w:rsidR="00E43FBA" w:rsidRPr="00E43FBA" w:rsidRDefault="00E43FBA" w:rsidP="00E43FBA">
            <w:r w:rsidRPr="00E43FBA">
              <w:t xml:space="preserve">1. Developing a positive perception and confidence in the objectivity, independence, impartiality and accuracy of the information propagated by the media among the population as a prerequisite of the project. This was addressed by making the media independent of any financial support from the political actors, preventing abuse of power, influence and nepotism. </w:t>
            </w:r>
          </w:p>
          <w:p w:rsidR="00E43FBA" w:rsidRPr="00E43FBA" w:rsidRDefault="00E43FBA" w:rsidP="00E43FBA">
            <w:r w:rsidRPr="00E43FBA">
              <w:t>2.  It was observed that there were tendencies that acquired equipment were not used for intended purpose</w:t>
            </w:r>
            <w:r w:rsidR="001772A4">
              <w:t xml:space="preserve"> </w:t>
            </w:r>
            <w:r w:rsidRPr="00E43FBA">
              <w:t xml:space="preserve">- </w:t>
            </w:r>
            <w:r w:rsidR="001772A4">
              <w:t>c</w:t>
            </w:r>
            <w:r w:rsidRPr="00E43FBA">
              <w:t>lose monitoring and accountability mechanisms</w:t>
            </w:r>
            <w:r w:rsidR="001772A4">
              <w:t xml:space="preserve"> were then</w:t>
            </w:r>
            <w:r w:rsidRPr="00E43FBA">
              <w:t xml:space="preserve"> established in consultation with implementing partners. </w:t>
            </w:r>
          </w:p>
          <w:p w:rsidR="00E43FBA" w:rsidRPr="00E43FBA" w:rsidRDefault="00E43FBA" w:rsidP="00E43FBA">
            <w:r w:rsidRPr="00E43FBA">
              <w:t xml:space="preserve">3. Closely monitor the developments of the professional behavior of the journalists as the political environment is yet to root in democratic principles.  </w:t>
            </w:r>
          </w:p>
          <w:p w:rsidR="00C54643" w:rsidRDefault="00E43FBA" w:rsidP="00FE7A46">
            <w:r w:rsidRPr="00E43FBA">
              <w:lastRenderedPageBreak/>
              <w:t xml:space="preserve">4. </w:t>
            </w:r>
            <w:r w:rsidR="00FE7A46">
              <w:t xml:space="preserve">Post electoral mandate </w:t>
            </w:r>
            <w:r w:rsidRPr="00E43FBA">
              <w:t>to be reinforced by a comprehensive approach to media development with a peacebuilding focus once constitutional order has been restored.</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466014">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43FBA" w:rsidRPr="00E43FBA">
              <w:t xml:space="preserve">The delivery rate is 63 % with USD 111,178.20 spent towards the outcome of the project. </w:t>
            </w:r>
            <w:proofErr w:type="gramStart"/>
            <w:r w:rsidR="00E43FBA" w:rsidRPr="00E43FBA">
              <w:t>This expenses</w:t>
            </w:r>
            <w:proofErr w:type="gramEnd"/>
            <w:r w:rsidR="00E43FBA" w:rsidRPr="00E43FBA">
              <w:t xml:space="preserve"> include supplies and commodities, equipment, contractual services, general operating and direct costs. </w:t>
            </w:r>
            <w:r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Any other information that the project needs to </w:t>
            </w:r>
            <w:proofErr w:type="gramStart"/>
            <w:r w:rsidRPr="000D4837">
              <w:rPr>
                <w:rFonts w:cs="Times New Roman"/>
                <w:i/>
                <w:color w:val="000000"/>
                <w:sz w:val="22"/>
                <w:szCs w:val="22"/>
              </w:rPr>
              <w:t>convey  to</w:t>
            </w:r>
            <w:proofErr w:type="gramEnd"/>
            <w:r w:rsidRPr="000D4837">
              <w:rPr>
                <w:rFonts w:cs="Times New Roman"/>
                <w:i/>
                <w:color w:val="000000"/>
                <w:sz w:val="22"/>
                <w:szCs w:val="22"/>
              </w:rPr>
              <w:t xml:space="preserve"> PBSO (and JSC) at this stage?</w:t>
            </w:r>
          </w:p>
          <w:p w:rsidR="00096385"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C0EED" w:rsidRPr="000D4837" w:rsidRDefault="00C54643" w:rsidP="00E43FBA">
            <w:pPr>
              <w:outlineLvl w:val="0"/>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E43FBA" w:rsidRPr="00E43FBA">
              <w:t xml:space="preserve">NA </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123B4F">
        <w:trPr>
          <w:trHeight w:val="548"/>
        </w:trPr>
        <w:tc>
          <w:tcPr>
            <w:tcW w:w="1530" w:type="dxa"/>
            <w:vMerge w:val="restart"/>
          </w:tcPr>
          <w:p w:rsidR="00C54643" w:rsidRDefault="00C54643" w:rsidP="00837D7F">
            <w:pPr>
              <w:rPr>
                <w:b/>
              </w:rPr>
            </w:pPr>
            <w:r w:rsidRPr="00DF4C99">
              <w:rPr>
                <w:b/>
              </w:rPr>
              <w:t>Outcome 1</w:t>
            </w:r>
          </w:p>
          <w:p w:rsidR="00C54643" w:rsidRPr="00DF4C99" w:rsidRDefault="00C54643" w:rsidP="0061103D">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AD041A" w:rsidRPr="00AD041A">
              <w:t>Transparent and accountable coverage of the electoral process contributes to the restoration of constitutional order in Guinea Bissau.</w:t>
            </w:r>
            <w:r>
              <w:rPr>
                <w:rFonts w:cs="Times New Roman"/>
                <w:b/>
                <w:sz w:val="22"/>
                <w:szCs w:val="22"/>
              </w:rPr>
              <w:fldChar w:fldCharType="end"/>
            </w:r>
          </w:p>
        </w:tc>
        <w:tc>
          <w:tcPr>
            <w:tcW w:w="1980" w:type="dxa"/>
            <w:shd w:val="clear" w:color="auto" w:fill="EEECE1"/>
          </w:tcPr>
          <w:p w:rsidR="00C54643" w:rsidRDefault="00C54643" w:rsidP="006C1B11">
            <w:pPr>
              <w:jc w:val="both"/>
            </w:pPr>
            <w:r>
              <w:t>Indicator 1.1</w:t>
            </w:r>
          </w:p>
          <w:p w:rsidR="00C54643" w:rsidRPr="00F3492E" w:rsidRDefault="00C54643" w:rsidP="0061103D">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8733D">
              <w:t xml:space="preserve">No reported electoral incidents as a result of biased and/or unprofessional media coverage </w:t>
            </w:r>
            <w:r>
              <w:rPr>
                <w:rFonts w:cs="Times New Roman"/>
                <w:b/>
                <w:sz w:val="22"/>
                <w:szCs w:val="22"/>
              </w:rPr>
              <w:fldChar w:fldCharType="end"/>
            </w:r>
          </w:p>
        </w:tc>
        <w:tc>
          <w:tcPr>
            <w:tcW w:w="2062" w:type="dxa"/>
            <w:shd w:val="clear" w:color="auto" w:fill="EEECE1"/>
          </w:tcPr>
          <w:p w:rsidR="00C54643" w:rsidRPr="007D00E3" w:rsidRDefault="00C54643" w:rsidP="002C2250">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2250" w:rsidRPr="002C2250">
              <w:t>Baselines: N/A</w:t>
            </w:r>
            <w:r>
              <w:rPr>
                <w:rFonts w:cs="Times New Roman"/>
                <w:b/>
                <w:sz w:val="22"/>
                <w:szCs w:val="22"/>
              </w:rPr>
              <w:fldChar w:fldCharType="end"/>
            </w:r>
          </w:p>
        </w:tc>
        <w:tc>
          <w:tcPr>
            <w:tcW w:w="2160" w:type="dxa"/>
            <w:shd w:val="clear" w:color="auto" w:fill="EEECE1"/>
          </w:tcPr>
          <w:p w:rsidR="002C2250" w:rsidRPr="002C2250" w:rsidRDefault="00C54643" w:rsidP="002C225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Target 1</w:t>
            </w:r>
            <w:r w:rsidR="0061103D">
              <w:t>:</w:t>
            </w:r>
            <w:r w:rsidR="002C2250" w:rsidRPr="002C2250">
              <w:t xml:space="preserve"> Media trained in electoral best practices and code of conduct</w:t>
            </w:r>
          </w:p>
          <w:p w:rsidR="00C54643" w:rsidRDefault="00C54643" w:rsidP="002C2250">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1.2</w:t>
            </w:r>
          </w:p>
          <w:p w:rsidR="00220EAD" w:rsidRDefault="00C54643" w:rsidP="0088733D">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8733D">
              <w:t>No reported incidents undermining the restoration of constitutional order in the aftermath of the elections.</w:t>
            </w:r>
          </w:p>
          <w:p w:rsidR="00220EAD" w:rsidRDefault="00220EAD" w:rsidP="0088733D">
            <w:pPr>
              <w:jc w:val="both"/>
            </w:pPr>
          </w:p>
          <w:p w:rsidR="00220EAD" w:rsidRDefault="00220EAD" w:rsidP="0088733D">
            <w:pPr>
              <w:jc w:val="both"/>
            </w:pPr>
            <w:r>
              <w:t>Indicator 1.3</w:t>
            </w:r>
          </w:p>
          <w:p w:rsidR="00220EAD" w:rsidRDefault="00220EAD" w:rsidP="0088733D">
            <w:pPr>
              <w:jc w:val="both"/>
            </w:pPr>
            <w:r>
              <w:t xml:space="preserve">Number of violent incidents escalating from biased and </w:t>
            </w:r>
            <w:proofErr w:type="spellStart"/>
            <w:r>
              <w:t>tendencious</w:t>
            </w:r>
            <w:proofErr w:type="spellEnd"/>
            <w:r>
              <w:t xml:space="preserve"> </w:t>
            </w:r>
            <w:r>
              <w:lastRenderedPageBreak/>
              <w:t>reporting.</w:t>
            </w:r>
          </w:p>
          <w:p w:rsidR="00C54643" w:rsidRPr="00F3492E" w:rsidRDefault="00C54643" w:rsidP="0088733D">
            <w:pPr>
              <w:jc w:val="both"/>
            </w:pPr>
            <w:r>
              <w:rPr>
                <w:rFonts w:cs="Times New Roman"/>
                <w:b/>
                <w:sz w:val="22"/>
                <w:szCs w:val="22"/>
              </w:rPr>
              <w:fldChar w:fldCharType="end"/>
            </w:r>
          </w:p>
        </w:tc>
        <w:tc>
          <w:tcPr>
            <w:tcW w:w="2062" w:type="dxa"/>
            <w:shd w:val="clear" w:color="auto" w:fill="EEECE1"/>
          </w:tcPr>
          <w:p w:rsidR="00220EAD" w:rsidRDefault="00C54643" w:rsidP="002C2250">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C2250" w:rsidRPr="002C2250">
              <w:t>Baselines: N/A</w:t>
            </w:r>
          </w:p>
          <w:p w:rsidR="00220EAD" w:rsidRDefault="00220EAD" w:rsidP="002C2250"/>
          <w:p w:rsidR="00220EAD" w:rsidRDefault="00220EAD" w:rsidP="002C2250"/>
          <w:p w:rsidR="00220EAD" w:rsidRDefault="00220EAD" w:rsidP="002C2250"/>
          <w:p w:rsidR="00220EAD" w:rsidRDefault="00220EAD" w:rsidP="002C2250"/>
          <w:p w:rsidR="00220EAD" w:rsidRDefault="00220EAD" w:rsidP="002C2250"/>
          <w:p w:rsidR="00220EAD" w:rsidRDefault="00220EAD" w:rsidP="002C2250"/>
          <w:p w:rsidR="00220EAD" w:rsidRDefault="00220EAD" w:rsidP="002C2250"/>
          <w:p w:rsidR="00220EAD" w:rsidRDefault="00220EAD" w:rsidP="002C2250"/>
          <w:p w:rsidR="00220EAD" w:rsidRDefault="00220EAD" w:rsidP="002C2250"/>
          <w:p w:rsidR="00C54643" w:rsidRDefault="00220EAD" w:rsidP="002C2250">
            <w:r>
              <w:t>Baselines: N/A</w:t>
            </w:r>
            <w:r w:rsidR="00C54643" w:rsidRPr="008B41E0">
              <w:rPr>
                <w:rFonts w:cs="Times New Roman"/>
                <w:b/>
                <w:sz w:val="22"/>
                <w:szCs w:val="22"/>
              </w:rPr>
              <w:fldChar w:fldCharType="end"/>
            </w:r>
          </w:p>
        </w:tc>
        <w:tc>
          <w:tcPr>
            <w:tcW w:w="2160" w:type="dxa"/>
            <w:shd w:val="clear" w:color="auto" w:fill="EEECE1"/>
          </w:tcPr>
          <w:p w:rsidR="00220EAD" w:rsidRDefault="00C54643" w:rsidP="0061103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Target 2: Media supported in  coverage reporting</w:t>
            </w:r>
            <w:r w:rsidR="0061103D">
              <w:t>, particularly</w:t>
            </w:r>
            <w:r w:rsidR="002C2250" w:rsidRPr="002C2250">
              <w:t xml:space="preserve"> </w:t>
            </w:r>
            <w:r w:rsidR="0088733D">
              <w:t>in and on the regions</w:t>
            </w:r>
          </w:p>
          <w:p w:rsidR="00220EAD" w:rsidRDefault="00220EAD" w:rsidP="0061103D"/>
          <w:p w:rsidR="00220EAD" w:rsidRDefault="00220EAD" w:rsidP="0061103D"/>
          <w:p w:rsidR="00220EAD" w:rsidRDefault="00220EAD" w:rsidP="0061103D"/>
          <w:p w:rsidR="00220EAD" w:rsidRDefault="00220EAD" w:rsidP="0061103D"/>
          <w:p w:rsidR="00220EAD" w:rsidRDefault="00220EAD" w:rsidP="0061103D"/>
          <w:p w:rsidR="00C54643" w:rsidRDefault="00220EAD" w:rsidP="00220EAD">
            <w:r>
              <w:t>Target 3: N/A</w:t>
            </w:r>
            <w:r w:rsidR="00C54643" w:rsidRPr="00A9625C">
              <w:rPr>
                <w:rFonts w:cs="Times New Roman"/>
                <w:b/>
                <w:sz w:val="22"/>
                <w:szCs w:val="22"/>
              </w:rPr>
              <w:fldChar w:fldCharType="end"/>
            </w:r>
          </w:p>
        </w:tc>
        <w:tc>
          <w:tcPr>
            <w:tcW w:w="2430" w:type="dxa"/>
          </w:tcPr>
          <w:p w:rsidR="00C54643" w:rsidRDefault="00C54643" w:rsidP="002C225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Pr>
                <w:rFonts w:cs="Times New Roman"/>
                <w:b/>
                <w:sz w:val="22"/>
                <w:szCs w:val="22"/>
              </w:rPr>
              <w:t> </w:t>
            </w:r>
            <w:r w:rsidR="002C2250">
              <w:rPr>
                <w:rFonts w:cs="Times New Roman"/>
                <w:b/>
                <w:sz w:val="22"/>
                <w:szCs w:val="22"/>
              </w:rPr>
              <w:t> </w:t>
            </w:r>
            <w:r w:rsidR="002C2250">
              <w:rPr>
                <w:rFonts w:cs="Times New Roman"/>
                <w:b/>
                <w:sz w:val="22"/>
                <w:szCs w:val="22"/>
              </w:rPr>
              <w:t> </w:t>
            </w:r>
            <w:r w:rsidR="002C2250">
              <w:rPr>
                <w:rFonts w:cs="Times New Roman"/>
                <w:b/>
                <w:sz w:val="22"/>
                <w:szCs w:val="22"/>
              </w:rPr>
              <w:t> </w:t>
            </w:r>
            <w:r w:rsidR="002C2250">
              <w:rPr>
                <w:rFonts w:cs="Times New Roman"/>
                <w:b/>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val="restart"/>
          </w:tcPr>
          <w:p w:rsidR="00C54643" w:rsidRDefault="00C54643" w:rsidP="006C1B11">
            <w:r w:rsidRPr="00D33A6D">
              <w:lastRenderedPageBreak/>
              <w:t>Output 1.1</w:t>
            </w:r>
          </w:p>
          <w:p w:rsidR="00C54643" w:rsidRPr="00D33A6D" w:rsidRDefault="00C54643" w:rsidP="002C2250">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36351">
              <w:t>Media produce elections-oriented content in accordance with code of conduct</w:t>
            </w:r>
            <w:r w:rsidR="002C2250" w:rsidRPr="002C2250">
              <w:t xml:space="preserve"> </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1.1.1</w:t>
            </w:r>
          </w:p>
          <w:p w:rsidR="00C54643" w:rsidRPr="00F3492E" w:rsidRDefault="00C54643" w:rsidP="00220EAD">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20EAD">
              <w:t>#</w:t>
            </w:r>
            <w:r w:rsidR="0088733D">
              <w:t xml:space="preserve"> of trainees with evidence of full undersatnding of principles of fairness, transparency and ethics in media</w:t>
            </w:r>
            <w:r>
              <w:rPr>
                <w:rFonts w:cs="Times New Roman"/>
                <w:b/>
                <w:sz w:val="22"/>
                <w:szCs w:val="22"/>
              </w:rPr>
              <w:fldChar w:fldCharType="end"/>
            </w:r>
          </w:p>
        </w:tc>
        <w:tc>
          <w:tcPr>
            <w:tcW w:w="2062" w:type="dxa"/>
            <w:shd w:val="clear" w:color="auto" w:fill="EEECE1"/>
          </w:tcPr>
          <w:p w:rsidR="002C2250" w:rsidRPr="002C2250" w:rsidRDefault="00C54643" w:rsidP="002C2250">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C2250" w:rsidRPr="002C2250">
              <w:t xml:space="preserve">Baseline 2012 : None  </w:t>
            </w:r>
          </w:p>
          <w:p w:rsidR="00C54643" w:rsidRDefault="00C54643" w:rsidP="002C2250">
            <w:r w:rsidRPr="008B41E0">
              <w:rPr>
                <w:rFonts w:cs="Times New Roman"/>
                <w:b/>
                <w:sz w:val="22"/>
                <w:szCs w:val="22"/>
              </w:rPr>
              <w:fldChar w:fldCharType="end"/>
            </w:r>
          </w:p>
        </w:tc>
        <w:tc>
          <w:tcPr>
            <w:tcW w:w="2160" w:type="dxa"/>
            <w:shd w:val="clear" w:color="auto" w:fill="EEECE1"/>
          </w:tcPr>
          <w:p w:rsidR="002C2250" w:rsidRPr="002C2250" w:rsidRDefault="00C54643" w:rsidP="002C225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 xml:space="preserve">Target: </w:t>
            </w:r>
          </w:p>
          <w:p w:rsidR="002C2250" w:rsidRPr="002C2250" w:rsidRDefault="002C2250" w:rsidP="002C2250"/>
          <w:p w:rsidR="00220EAD" w:rsidRDefault="002C2250" w:rsidP="002C2250">
            <w:proofErr w:type="spellStart"/>
            <w:r w:rsidRPr="002C2250">
              <w:t>Pre election</w:t>
            </w:r>
            <w:proofErr w:type="spellEnd"/>
            <w:r w:rsidR="00220EAD">
              <w:t xml:space="preserve"> -</w:t>
            </w:r>
            <w:r w:rsidRPr="002C2250">
              <w:t>At</w:t>
            </w:r>
            <w:r w:rsidR="00220EAD">
              <w:t xml:space="preserve"> </w:t>
            </w:r>
            <w:r w:rsidRPr="002C2250">
              <w:t>l</w:t>
            </w:r>
            <w:r w:rsidR="00220EAD">
              <w:t>east</w:t>
            </w:r>
            <w:r w:rsidRPr="002C2250">
              <w:t xml:space="preserve"> two training</w:t>
            </w:r>
            <w:r w:rsidR="00915351">
              <w:t xml:space="preserve"> cycles</w:t>
            </w:r>
            <w:r w:rsidRPr="002C2250">
              <w:t xml:space="preserve"> are undertaken</w:t>
            </w:r>
          </w:p>
          <w:p w:rsidR="00220EAD" w:rsidRDefault="00220EAD" w:rsidP="002C2250"/>
          <w:p w:rsidR="002C2250" w:rsidRPr="002C2250" w:rsidRDefault="002C2250" w:rsidP="002C2250">
            <w:r w:rsidRPr="002C2250">
              <w:t xml:space="preserve">During election – At least 70 journalist’s cover the elections </w:t>
            </w:r>
            <w:r w:rsidR="00915351">
              <w:t>in accordance with training principles</w:t>
            </w:r>
          </w:p>
          <w:p w:rsidR="00C54643" w:rsidRDefault="00C54643" w:rsidP="002C2250">
            <w:r w:rsidRPr="00A9625C">
              <w:rPr>
                <w:rFonts w:cs="Times New Roman"/>
                <w:b/>
                <w:sz w:val="22"/>
                <w:szCs w:val="22"/>
              </w:rPr>
              <w:fldChar w:fldCharType="end"/>
            </w:r>
          </w:p>
        </w:tc>
        <w:tc>
          <w:tcPr>
            <w:tcW w:w="2430" w:type="dxa"/>
          </w:tcPr>
          <w:p w:rsidR="00C54643" w:rsidRDefault="00C54643" w:rsidP="002C225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 xml:space="preserve">63 journalists from public and private sector received equipment and support for the coverage of the electoral process. They were also provided on the job training. </w:t>
            </w:r>
            <w:r w:rsidRPr="00A9625C">
              <w:rPr>
                <w:rFonts w:cs="Times New Roman"/>
                <w:b/>
                <w:sz w:val="22"/>
                <w:szCs w:val="22"/>
              </w:rPr>
              <w:fldChar w:fldCharType="end"/>
            </w:r>
          </w:p>
        </w:tc>
        <w:tc>
          <w:tcPr>
            <w:tcW w:w="2888" w:type="dxa"/>
          </w:tcPr>
          <w:p w:rsidR="00C54643" w:rsidRDefault="00C54643" w:rsidP="00220EA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 xml:space="preserve">63 journalist were selected on three point criteria- validity of the company in terms of national presence , population catered to and visible lack of resources as identified in need assessment. </w:t>
            </w:r>
            <w:r w:rsidRPr="00A9625C">
              <w:rPr>
                <w:rFonts w:cs="Times New Roman"/>
                <w:b/>
                <w:sz w:val="22"/>
                <w:szCs w:val="22"/>
              </w:rPr>
              <w:fldChar w:fldCharType="end"/>
            </w:r>
          </w:p>
        </w:tc>
        <w:tc>
          <w:tcPr>
            <w:tcW w:w="2078" w:type="dxa"/>
          </w:tcPr>
          <w:p w:rsidR="00C54643" w:rsidRDefault="00C54643" w:rsidP="00220EA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 xml:space="preserve">63 </w:t>
            </w:r>
            <w:proofErr w:type="gramStart"/>
            <w:r w:rsidR="002C2250" w:rsidRPr="002C2250">
              <w:t>journalist</w:t>
            </w:r>
            <w:proofErr w:type="gramEnd"/>
            <w:r w:rsidR="002C2250" w:rsidRPr="002C2250">
              <w:t xml:space="preserve"> in place of 70. </w:t>
            </w:r>
            <w:r w:rsidRPr="00A9625C">
              <w:rPr>
                <w:rFonts w:cs="Times New Roman"/>
                <w:b/>
                <w:sz w:val="22"/>
                <w:szCs w:val="22"/>
              </w:rPr>
              <w:fldChar w:fldCharType="end"/>
            </w:r>
          </w:p>
        </w:tc>
      </w:tr>
      <w:tr w:rsidR="00C54643" w:rsidRPr="007D00E3" w:rsidTr="00123B4F">
        <w:trPr>
          <w:trHeight w:val="51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40"/>
        </w:trPr>
        <w:tc>
          <w:tcPr>
            <w:tcW w:w="1530" w:type="dxa"/>
            <w:vMerge w:val="restart"/>
          </w:tcPr>
          <w:p w:rsidR="00C54643" w:rsidRDefault="00C54643" w:rsidP="006C1B11">
            <w:r w:rsidRPr="00D33A6D">
              <w:t>Output 1.2</w:t>
            </w:r>
          </w:p>
          <w:p w:rsidR="00C54643" w:rsidRPr="00D33A6D" w:rsidRDefault="00C54643" w:rsidP="00220EAD">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36351">
              <w:t>Media channels disseminate ethical, fair and professional messa</w:t>
            </w:r>
            <w:r w:rsidR="00220EAD">
              <w:t>g</w:t>
            </w:r>
            <w:r w:rsidR="00336351">
              <w:t>es to the population</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t>Indicator  1.2.1</w:t>
            </w:r>
          </w:p>
          <w:p w:rsidR="002C2250" w:rsidRPr="002C2250" w:rsidRDefault="00C54643" w:rsidP="002C2250">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20EAD">
              <w:t>%</w:t>
            </w:r>
            <w:r w:rsidR="0088733D">
              <w:t xml:space="preserve"> of equipment delivered and properly used for its designated purposes by the media channesl during and after elections. </w:t>
            </w:r>
          </w:p>
          <w:p w:rsidR="00C54643" w:rsidRPr="00F3492E" w:rsidRDefault="00C54643" w:rsidP="002C2250">
            <w:pPr>
              <w:jc w:val="both"/>
            </w:pPr>
            <w:r>
              <w:rPr>
                <w:rFonts w:cs="Times New Roman"/>
                <w:b/>
                <w:sz w:val="22"/>
                <w:szCs w:val="22"/>
              </w:rPr>
              <w:fldChar w:fldCharType="end"/>
            </w:r>
          </w:p>
        </w:tc>
        <w:tc>
          <w:tcPr>
            <w:tcW w:w="2062" w:type="dxa"/>
            <w:shd w:val="clear" w:color="auto" w:fill="EEECE1"/>
          </w:tcPr>
          <w:p w:rsidR="00C54643" w:rsidRDefault="00C54643" w:rsidP="002C2250">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C2250" w:rsidRPr="002C2250">
              <w:t xml:space="preserve">Baseline 2012 : None  </w:t>
            </w:r>
            <w:r w:rsidRPr="008B41E0">
              <w:rPr>
                <w:rFonts w:cs="Times New Roman"/>
                <w:b/>
                <w:sz w:val="22"/>
                <w:szCs w:val="22"/>
              </w:rPr>
              <w:fldChar w:fldCharType="end"/>
            </w:r>
          </w:p>
        </w:tc>
        <w:tc>
          <w:tcPr>
            <w:tcW w:w="2160" w:type="dxa"/>
            <w:shd w:val="clear" w:color="auto" w:fill="EEECE1"/>
          </w:tcPr>
          <w:p w:rsidR="00915351" w:rsidRDefault="00C54643" w:rsidP="00915351">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15351" w:rsidRPr="00915351">
              <w:t>At least 2000 minutes air time election advocacy prior to election</w:t>
            </w:r>
          </w:p>
          <w:p w:rsidR="00220EAD" w:rsidRPr="00915351" w:rsidRDefault="00220EAD" w:rsidP="00915351"/>
          <w:p w:rsidR="00915351" w:rsidRPr="00915351" w:rsidRDefault="00915351" w:rsidP="00915351">
            <w:r w:rsidRPr="00915351">
              <w:t>At least 4 newsprint reports issued</w:t>
            </w:r>
            <w:r>
              <w:t xml:space="preserve"> on development in government for </w:t>
            </w:r>
            <w:proofErr w:type="spellStart"/>
            <w:r>
              <w:t>amtion</w:t>
            </w:r>
            <w:proofErr w:type="spellEnd"/>
            <w:r>
              <w:t xml:space="preserve"> and reforms.</w:t>
            </w:r>
          </w:p>
          <w:p w:rsidR="00915351" w:rsidRPr="00915351" w:rsidRDefault="00915351" w:rsidP="00915351"/>
          <w:p w:rsidR="00915351" w:rsidRPr="00915351" w:rsidRDefault="00915351" w:rsidP="00915351">
            <w:r w:rsidRPr="00915351">
              <w:t xml:space="preserve">Post-election </w:t>
            </w:r>
          </w:p>
          <w:p w:rsidR="00915351" w:rsidRPr="00915351" w:rsidRDefault="00915351" w:rsidP="00915351">
            <w:r w:rsidRPr="00915351">
              <w:t xml:space="preserve">At least 400  </w:t>
            </w:r>
            <w:r w:rsidRPr="00915351">
              <w:lastRenderedPageBreak/>
              <w:t xml:space="preserve">minutes airtime on post electoral performance issues </w:t>
            </w:r>
          </w:p>
          <w:p w:rsidR="00C54643" w:rsidRDefault="00C54643" w:rsidP="00915351">
            <w:r w:rsidRPr="00A9625C">
              <w:rPr>
                <w:rFonts w:cs="Times New Roman"/>
                <w:b/>
                <w:sz w:val="22"/>
                <w:szCs w:val="22"/>
              </w:rPr>
              <w:fldChar w:fldCharType="end"/>
            </w:r>
          </w:p>
        </w:tc>
        <w:tc>
          <w:tcPr>
            <w:tcW w:w="2430" w:type="dxa"/>
          </w:tcPr>
          <w:p w:rsidR="00915351" w:rsidRDefault="00C54643" w:rsidP="00915351">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23 media channels</w:t>
            </w:r>
            <w:r w:rsidR="00915351">
              <w:t xml:space="preserve"> equipped with </w:t>
            </w:r>
            <w:r w:rsidR="002C2250" w:rsidRPr="002C2250">
              <w:t>186 professional equipment</w:t>
            </w:r>
          </w:p>
          <w:p w:rsidR="00915351" w:rsidRDefault="00915351" w:rsidP="00915351"/>
          <w:p w:rsidR="00915351" w:rsidRPr="00915351" w:rsidRDefault="00915351" w:rsidP="00915351">
            <w:r>
              <w:t>1</w:t>
            </w:r>
            <w:r w:rsidRPr="00915351">
              <w:t xml:space="preserve">289 minutes of air time advocacy achieved. </w:t>
            </w:r>
          </w:p>
          <w:p w:rsidR="00915351" w:rsidRPr="00915351" w:rsidRDefault="00915351" w:rsidP="00915351"/>
          <w:p w:rsidR="00915351" w:rsidRPr="00915351" w:rsidRDefault="00915351" w:rsidP="00915351">
            <w:r w:rsidRPr="00915351">
              <w:t xml:space="preserve">Four news print issued ( Code of Conduct , Press Kit, Mission and Mandate and Open </w:t>
            </w:r>
            <w:r w:rsidRPr="00915351">
              <w:lastRenderedPageBreak/>
              <w:t>Letter )</w:t>
            </w:r>
          </w:p>
          <w:p w:rsidR="00915351" w:rsidRPr="00915351" w:rsidRDefault="00915351" w:rsidP="00915351"/>
          <w:p w:rsidR="00915351" w:rsidRPr="00915351" w:rsidRDefault="00915351" w:rsidP="00915351"/>
          <w:p w:rsidR="00C54643" w:rsidRDefault="00915351" w:rsidP="00915351">
            <w:r w:rsidRPr="00915351">
              <w:t xml:space="preserve">Post election advocacy is ongoing </w:t>
            </w:r>
            <w:r w:rsidR="00C54643" w:rsidRPr="00A9625C">
              <w:rPr>
                <w:rFonts w:cs="Times New Roman"/>
                <w:b/>
                <w:sz w:val="22"/>
                <w:szCs w:val="22"/>
              </w:rPr>
              <w:fldChar w:fldCharType="end"/>
            </w:r>
          </w:p>
        </w:tc>
        <w:tc>
          <w:tcPr>
            <w:tcW w:w="2888" w:type="dxa"/>
          </w:tcPr>
          <w:p w:rsidR="00883DD7" w:rsidRDefault="00C54643" w:rsidP="002C2250">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As per need assessment and selection criteria 23 names were identified</w:t>
            </w:r>
            <w:r w:rsidR="009E6950">
              <w:t>.</w:t>
            </w:r>
            <w:r w:rsidR="00883DD7">
              <w:t xml:space="preserve"> </w:t>
            </w:r>
          </w:p>
          <w:p w:rsidR="00C54643" w:rsidRDefault="00883DD7" w:rsidP="009E6950">
            <w:r w:rsidRPr="00883DD7">
              <w:t>The deficit in air time prior to elections was due to the SRSGs monitoring visits to the 8 regions during the electoral process</w:t>
            </w:r>
            <w:r w:rsidR="009E6950">
              <w:t xml:space="preserve"> and written outputs over audio. </w:t>
            </w:r>
            <w:r w:rsidR="009E6950" w:rsidRPr="009E6950">
              <w:t xml:space="preserve"> </w:t>
            </w:r>
            <w:r w:rsidR="002C2250" w:rsidRPr="002C2250">
              <w:t xml:space="preserve"> </w:t>
            </w:r>
            <w:r w:rsidR="00C54643" w:rsidRPr="00A9625C">
              <w:rPr>
                <w:rFonts w:cs="Times New Roman"/>
                <w:b/>
                <w:sz w:val="22"/>
                <w:szCs w:val="22"/>
              </w:rPr>
              <w:fldChar w:fldCharType="end"/>
            </w:r>
          </w:p>
        </w:tc>
        <w:tc>
          <w:tcPr>
            <w:tcW w:w="2078" w:type="dxa"/>
          </w:tcPr>
          <w:p w:rsidR="00A30525" w:rsidRDefault="00C54643" w:rsidP="002C225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2250" w:rsidRPr="002C2250">
              <w:t>At</w:t>
            </w:r>
            <w:r w:rsidR="00BA075B">
              <w:t xml:space="preserve"> </w:t>
            </w:r>
            <w:r w:rsidR="002C2250" w:rsidRPr="002C2250">
              <w:t>least 23 media channels in place of 10.</w:t>
            </w:r>
          </w:p>
          <w:p w:rsidR="00A30525" w:rsidRPr="00A30525" w:rsidRDefault="00A30525" w:rsidP="00A30525">
            <w:r w:rsidRPr="00A30525">
              <w:t xml:space="preserve">Revised targets for post electoral airtime advocacy. </w:t>
            </w:r>
          </w:p>
          <w:p w:rsidR="00C54643" w:rsidRDefault="00A30525" w:rsidP="00A30525">
            <w:r w:rsidRPr="00A30525">
              <w:t>At</w:t>
            </w:r>
            <w:r w:rsidR="00BA075B">
              <w:t xml:space="preserve"> </w:t>
            </w:r>
            <w:bookmarkStart w:id="7" w:name="_GoBack"/>
            <w:bookmarkEnd w:id="7"/>
            <w:r w:rsidRPr="00A30525">
              <w:t xml:space="preserve">least 1000 minutes. </w:t>
            </w:r>
            <w:r w:rsidR="002C2250" w:rsidRPr="002C2250">
              <w:t xml:space="preserve"> </w:t>
            </w:r>
            <w:r w:rsidR="00C54643" w:rsidRPr="00A9625C">
              <w:rPr>
                <w:rFonts w:cs="Times New Roman"/>
                <w:b/>
                <w:sz w:val="22"/>
                <w:szCs w:val="22"/>
              </w:rPr>
              <w:fldChar w:fldCharType="end"/>
            </w:r>
          </w:p>
        </w:tc>
      </w:tr>
      <w:tr w:rsidR="00C54643" w:rsidRPr="007D00E3" w:rsidTr="00123B4F">
        <w:trPr>
          <w:trHeight w:val="467"/>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CC0EED">
              <w:t>Output 1.3</w:t>
            </w:r>
          </w:p>
          <w:p w:rsidR="00C54643" w:rsidRPr="00CC0EED" w:rsidRDefault="00C54643" w:rsidP="0091535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1.3.1</w:t>
            </w:r>
          </w:p>
          <w:p w:rsidR="00C54643" w:rsidRDefault="00C54643" w:rsidP="0091535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915351">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Pr="008B41E0">
              <w:rPr>
                <w:rFonts w:cs="Times New Roman"/>
                <w:b/>
                <w:sz w:val="22"/>
                <w:szCs w:val="22"/>
              </w:rPr>
              <w:fldChar w:fldCharType="end"/>
            </w:r>
          </w:p>
        </w:tc>
        <w:tc>
          <w:tcPr>
            <w:tcW w:w="2160" w:type="dxa"/>
            <w:shd w:val="clear" w:color="auto" w:fill="EEECE1"/>
          </w:tcPr>
          <w:p w:rsidR="00C54643" w:rsidRDefault="00C54643" w:rsidP="00915351">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00915351">
              <w:rPr>
                <w:rFonts w:cs="Times New Roman"/>
                <w:b/>
                <w:sz w:val="22"/>
                <w:szCs w:val="22"/>
              </w:rPr>
              <w:t> </w:t>
            </w:r>
            <w:r w:rsidRPr="00A9625C">
              <w:rPr>
                <w:rFonts w:cs="Times New Roman"/>
                <w:b/>
                <w:sz w:val="22"/>
                <w:szCs w:val="22"/>
              </w:rPr>
              <w:fldChar w:fldCharType="end"/>
            </w:r>
          </w:p>
        </w:tc>
        <w:tc>
          <w:tcPr>
            <w:tcW w:w="2430" w:type="dxa"/>
          </w:tcPr>
          <w:p w:rsidR="00C54643" w:rsidRDefault="00C54643" w:rsidP="00883DD7">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83DD7">
              <w:rPr>
                <w:rFonts w:cs="Times New Roman"/>
                <w:b/>
                <w:sz w:val="22"/>
                <w:szCs w:val="22"/>
              </w:rPr>
              <w:t> </w:t>
            </w:r>
            <w:r w:rsidR="00883DD7">
              <w:rPr>
                <w:rFonts w:cs="Times New Roman"/>
                <w:b/>
                <w:sz w:val="22"/>
                <w:szCs w:val="22"/>
              </w:rPr>
              <w:t> </w:t>
            </w:r>
            <w:r w:rsidR="00883DD7">
              <w:rPr>
                <w:rFonts w:cs="Times New Roman"/>
                <w:b/>
                <w:sz w:val="22"/>
                <w:szCs w:val="22"/>
              </w:rPr>
              <w:t> </w:t>
            </w:r>
            <w:r w:rsidR="00883DD7">
              <w:rPr>
                <w:rFonts w:cs="Times New Roman"/>
                <w:b/>
                <w:sz w:val="22"/>
                <w:szCs w:val="22"/>
              </w:rPr>
              <w:t> </w:t>
            </w:r>
            <w:r w:rsidR="00883DD7">
              <w:rPr>
                <w:rFonts w:cs="Times New Roman"/>
                <w:b/>
                <w:sz w:val="22"/>
                <w:szCs w:val="22"/>
              </w:rPr>
              <w:t> </w:t>
            </w:r>
            <w:r w:rsidRPr="00A9625C">
              <w:rPr>
                <w:rFonts w:cs="Times New Roman"/>
                <w:b/>
                <w:sz w:val="22"/>
                <w:szCs w:val="22"/>
              </w:rPr>
              <w:fldChar w:fldCharType="end"/>
            </w:r>
          </w:p>
        </w:tc>
        <w:tc>
          <w:tcPr>
            <w:tcW w:w="2888" w:type="dxa"/>
          </w:tcPr>
          <w:p w:rsidR="00C54643" w:rsidRDefault="00C54643" w:rsidP="00A3052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Pr="00A9625C">
              <w:rPr>
                <w:rFonts w:cs="Times New Roman"/>
                <w:b/>
                <w:sz w:val="22"/>
                <w:szCs w:val="22"/>
              </w:rPr>
              <w:fldChar w:fldCharType="end"/>
            </w:r>
          </w:p>
        </w:tc>
        <w:tc>
          <w:tcPr>
            <w:tcW w:w="2078" w:type="dxa"/>
          </w:tcPr>
          <w:p w:rsidR="00C54643" w:rsidRDefault="00C54643" w:rsidP="00A3052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00A30525">
              <w:rPr>
                <w:rFonts w:cs="Times New Roman"/>
                <w:b/>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1.3.2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pPr>
              <w:rPr>
                <w:b/>
              </w:rPr>
            </w:pPr>
            <w:r w:rsidRPr="00DF4C99">
              <w:rPr>
                <w:b/>
              </w:rPr>
              <w:t>Outcome 2</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t>Indicator 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D33A6D">
              <w:t>Output 2.1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t>Indicator  2.2.1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511429">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2.3</w:t>
            </w:r>
            <w:r w:rsidRPr="00F3492E">
              <w:t>.1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2.3</w:t>
            </w:r>
            <w:r w:rsidRPr="00F3492E">
              <w:t>.2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pPr>
              <w:rPr>
                <w:b/>
              </w:rPr>
            </w:pPr>
            <w:r>
              <w:rPr>
                <w:b/>
              </w:rPr>
              <w:t>Outcome 3</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lastRenderedPageBreak/>
              <w:t>Output 3.1</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t>Output 3.2</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3.2.2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Output 3.</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3.3.1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3.3.2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pPr>
              <w:rPr>
                <w:b/>
              </w:rPr>
            </w:pPr>
            <w:r>
              <w:rPr>
                <w:b/>
              </w:rPr>
              <w:t>Outcome 4</w:t>
            </w:r>
          </w:p>
          <w:p w:rsidR="00385C3F" w:rsidRPr="00DF4C99" w:rsidRDefault="00385C3F" w:rsidP="00511429">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4.2</w:t>
            </w:r>
          </w:p>
          <w:p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4.1.2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4.2.1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4.2.2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val="restart"/>
          </w:tcPr>
          <w:p w:rsidR="00385C3F" w:rsidRDefault="00385C3F" w:rsidP="00511429">
            <w:r>
              <w:t>Output 4</w:t>
            </w:r>
            <w:r w:rsidRPr="00CC0EED">
              <w:t>.</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FA" w:rsidRDefault="00177EFA">
      <w:r>
        <w:separator/>
      </w:r>
    </w:p>
  </w:endnote>
  <w:endnote w:type="continuationSeparator" w:id="0">
    <w:p w:rsidR="00177EFA" w:rsidRDefault="001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A4" w:rsidRDefault="001772A4"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72A4" w:rsidRDefault="001772A4"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A4" w:rsidRDefault="001772A4"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75B">
      <w:rPr>
        <w:rStyle w:val="PageNumber"/>
        <w:noProof/>
      </w:rPr>
      <w:t>3</w:t>
    </w:r>
    <w:r>
      <w:rPr>
        <w:rStyle w:val="PageNumber"/>
      </w:rPr>
      <w:fldChar w:fldCharType="end"/>
    </w:r>
  </w:p>
  <w:p w:rsidR="001772A4" w:rsidRDefault="001772A4"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FA" w:rsidRDefault="00177EFA">
      <w:r>
        <w:separator/>
      </w:r>
    </w:p>
  </w:footnote>
  <w:footnote w:type="continuationSeparator" w:id="0">
    <w:p w:rsidR="00177EFA" w:rsidRDefault="00177EFA">
      <w:r>
        <w:continuationSeparator/>
      </w:r>
    </w:p>
  </w:footnote>
  <w:footnote w:id="1">
    <w:p w:rsidR="001772A4" w:rsidRPr="00CC0EED" w:rsidRDefault="001772A4">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1772A4" w:rsidRPr="00CC0EED" w:rsidRDefault="001772A4">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1772A4" w:rsidRPr="00CC0EED" w:rsidRDefault="001772A4"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1772A4" w:rsidRPr="00CC0EED" w:rsidRDefault="001772A4" w:rsidP="006C1B11">
      <w:pPr>
        <w:jc w:val="both"/>
        <w:outlineLvl w:val="0"/>
        <w:rPr>
          <w:sz w:val="16"/>
          <w:szCs w:val="16"/>
        </w:rPr>
      </w:pPr>
      <w:r>
        <w:rPr>
          <w:rStyle w:val="FootnoteReference"/>
          <w:sz w:val="16"/>
          <w:szCs w:val="16"/>
        </w:rPr>
        <w:t>4</w:t>
      </w:r>
      <w:r w:rsidRPr="00CC0EED">
        <w:rPr>
          <w:sz w:val="16"/>
          <w:szCs w:val="16"/>
        </w:rPr>
        <w:t xml:space="preserve"> Actual payments (contracts, services, </w:t>
      </w:r>
      <w:proofErr w:type="gramStart"/>
      <w:r w:rsidRPr="00CC0EED">
        <w:rPr>
          <w:sz w:val="16"/>
          <w:szCs w:val="16"/>
        </w:rPr>
        <w:t>works</w:t>
      </w:r>
      <w:proofErr w:type="gramEnd"/>
      <w:r w:rsidRPr="00CC0EED">
        <w:rPr>
          <w:sz w:val="16"/>
          <w:szCs w:val="16"/>
        </w:rPr>
        <w:t xml:space="preserve">) made on commitments.  </w:t>
      </w:r>
    </w:p>
    <w:p w:rsidR="001772A4" w:rsidRPr="00CC0EED" w:rsidRDefault="001772A4" w:rsidP="00F05D7B">
      <w:pPr>
        <w:pStyle w:val="FootnoteText"/>
        <w:rPr>
          <w:sz w:val="16"/>
          <w:szCs w:val="16"/>
        </w:rPr>
      </w:pPr>
      <w:r w:rsidRPr="00CC0EED">
        <w:rPr>
          <w:sz w:val="16"/>
          <w:szCs w:val="16"/>
          <w:lang w:val="en-US"/>
        </w:rPr>
        <w:t xml:space="preserve">5 </w:t>
      </w:r>
      <w:r w:rsidRPr="00CC0EED">
        <w:rPr>
          <w:sz w:val="16"/>
          <w:szCs w:val="16"/>
        </w:rPr>
        <w:t>PBF focus areas are:</w:t>
      </w:r>
    </w:p>
    <w:p w:rsidR="001772A4" w:rsidRPr="00CC0EED" w:rsidRDefault="001772A4"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1772A4" w:rsidRPr="00CC0EED" w:rsidRDefault="001772A4"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rsidR="001772A4" w:rsidRPr="00CC0EED" w:rsidRDefault="001772A4"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1772A4" w:rsidRPr="00CC0EED" w:rsidRDefault="001772A4" w:rsidP="00F05D7B">
      <w:pPr>
        <w:pStyle w:val="FootnoteText"/>
        <w:rPr>
          <w:sz w:val="16"/>
          <w:szCs w:val="16"/>
        </w:rPr>
      </w:pPr>
      <w:r w:rsidRPr="00CC0EED">
        <w:rPr>
          <w:sz w:val="16"/>
          <w:szCs w:val="16"/>
        </w:rPr>
        <w:t xml:space="preserve">(2.1) National reconciliation; (2.1) Democratic Governance; (2.3) Management of natural resources; </w:t>
      </w:r>
    </w:p>
    <w:p w:rsidR="001772A4" w:rsidRPr="00CC0EED" w:rsidRDefault="001772A4"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1772A4" w:rsidRPr="00CC0EED" w:rsidRDefault="001772A4" w:rsidP="00F05D7B">
      <w:pPr>
        <w:pStyle w:val="FootnoteText"/>
        <w:rPr>
          <w:sz w:val="16"/>
          <w:szCs w:val="16"/>
        </w:rPr>
      </w:pPr>
      <w:r w:rsidRPr="00CC0EED">
        <w:rPr>
          <w:sz w:val="16"/>
          <w:szCs w:val="16"/>
        </w:rPr>
        <w:t>(3.1) Short-term employment generation; (3.2) Sustainable livelihoods</w:t>
      </w:r>
    </w:p>
    <w:p w:rsidR="001772A4" w:rsidRPr="00CC0EED" w:rsidRDefault="001772A4"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1772A4" w:rsidRPr="00CC0EED" w:rsidRDefault="001772A4" w:rsidP="00F05D7B">
      <w:pPr>
        <w:pStyle w:val="FootnoteText"/>
        <w:rPr>
          <w:sz w:val="16"/>
          <w:szCs w:val="16"/>
        </w:rPr>
      </w:pPr>
      <w:proofErr w:type="gramStart"/>
      <w:r w:rsidRPr="00CC0EED">
        <w:rPr>
          <w:bCs/>
          <w:sz w:val="16"/>
          <w:szCs w:val="16"/>
        </w:rPr>
        <w:t>(4.1) Public administration; (4.2) Public service delivery (including infrastructure)</w:t>
      </w:r>
      <w:r w:rsidRPr="00CC0EED">
        <w:rPr>
          <w:sz w:val="16"/>
          <w:szCs w:val="16"/>
        </w:rPr>
        <w:t>.</w:t>
      </w:r>
      <w:proofErr w:type="gramEnd"/>
    </w:p>
    <w:p w:rsidR="001772A4" w:rsidRPr="00132065" w:rsidRDefault="001772A4" w:rsidP="00CC0EED">
      <w:pPr>
        <w:pStyle w:val="FootnoteText"/>
      </w:pPr>
    </w:p>
  </w:footnote>
  <w:footnote w:id="4">
    <w:p w:rsidR="001772A4" w:rsidRPr="00132065" w:rsidRDefault="001772A4" w:rsidP="006C1B11">
      <w:pPr>
        <w:pStyle w:val="FootnoteText"/>
        <w:rPr>
          <w:lang w:val="en-US"/>
        </w:rPr>
      </w:pPr>
    </w:p>
  </w:footnote>
  <w:footnote w:id="5">
    <w:p w:rsidR="001772A4" w:rsidRPr="00190A73" w:rsidRDefault="001772A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9WNfBzMCZXcQc52rTIQBpZ/IItA=" w:salt="6l9a31n4q6itohpeyyK8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21D13"/>
    <w:rsid w:val="00030833"/>
    <w:rsid w:val="00033A32"/>
    <w:rsid w:val="000427F4"/>
    <w:rsid w:val="000435E1"/>
    <w:rsid w:val="00044965"/>
    <w:rsid w:val="00056D4E"/>
    <w:rsid w:val="00092840"/>
    <w:rsid w:val="00096385"/>
    <w:rsid w:val="000A26AD"/>
    <w:rsid w:val="000B45E6"/>
    <w:rsid w:val="000C6C88"/>
    <w:rsid w:val="000D4837"/>
    <w:rsid w:val="000D7682"/>
    <w:rsid w:val="000E0EC7"/>
    <w:rsid w:val="000E6C55"/>
    <w:rsid w:val="00110C5D"/>
    <w:rsid w:val="00116A91"/>
    <w:rsid w:val="00117B2B"/>
    <w:rsid w:val="00123B4F"/>
    <w:rsid w:val="00132065"/>
    <w:rsid w:val="00137EB9"/>
    <w:rsid w:val="00143D1B"/>
    <w:rsid w:val="00144A01"/>
    <w:rsid w:val="001512C4"/>
    <w:rsid w:val="00154243"/>
    <w:rsid w:val="00173ECA"/>
    <w:rsid w:val="00174E6B"/>
    <w:rsid w:val="001772A4"/>
    <w:rsid w:val="00177EFA"/>
    <w:rsid w:val="00190A73"/>
    <w:rsid w:val="00191AD3"/>
    <w:rsid w:val="001A2A5D"/>
    <w:rsid w:val="001C61B0"/>
    <w:rsid w:val="001C7060"/>
    <w:rsid w:val="001D57C2"/>
    <w:rsid w:val="001D7143"/>
    <w:rsid w:val="001E2EB3"/>
    <w:rsid w:val="001E3396"/>
    <w:rsid w:val="001E75AB"/>
    <w:rsid w:val="001F1904"/>
    <w:rsid w:val="001F453B"/>
    <w:rsid w:val="001F762C"/>
    <w:rsid w:val="00203EC6"/>
    <w:rsid w:val="00210D22"/>
    <w:rsid w:val="00220EAD"/>
    <w:rsid w:val="00230B3D"/>
    <w:rsid w:val="00235AF1"/>
    <w:rsid w:val="002376E6"/>
    <w:rsid w:val="00241631"/>
    <w:rsid w:val="002427AE"/>
    <w:rsid w:val="0025112D"/>
    <w:rsid w:val="002519F5"/>
    <w:rsid w:val="00293F4B"/>
    <w:rsid w:val="002977D0"/>
    <w:rsid w:val="002A2DF4"/>
    <w:rsid w:val="002A7578"/>
    <w:rsid w:val="002C2250"/>
    <w:rsid w:val="002C31F6"/>
    <w:rsid w:val="002C37C8"/>
    <w:rsid w:val="002C5F9B"/>
    <w:rsid w:val="002D29E1"/>
    <w:rsid w:val="002D53B1"/>
    <w:rsid w:val="002D6A0E"/>
    <w:rsid w:val="002D727B"/>
    <w:rsid w:val="002D7C74"/>
    <w:rsid w:val="002E1CE2"/>
    <w:rsid w:val="002E208C"/>
    <w:rsid w:val="002E686E"/>
    <w:rsid w:val="003005BA"/>
    <w:rsid w:val="00335D95"/>
    <w:rsid w:val="00336351"/>
    <w:rsid w:val="00340D86"/>
    <w:rsid w:val="00352BD5"/>
    <w:rsid w:val="00363DA8"/>
    <w:rsid w:val="00373DA0"/>
    <w:rsid w:val="00374586"/>
    <w:rsid w:val="003757A8"/>
    <w:rsid w:val="00382635"/>
    <w:rsid w:val="00385C3F"/>
    <w:rsid w:val="00392194"/>
    <w:rsid w:val="003961FA"/>
    <w:rsid w:val="003B130F"/>
    <w:rsid w:val="003C1095"/>
    <w:rsid w:val="003C2AB0"/>
    <w:rsid w:val="00404B54"/>
    <w:rsid w:val="004136E2"/>
    <w:rsid w:val="0042476D"/>
    <w:rsid w:val="0043302C"/>
    <w:rsid w:val="004359CD"/>
    <w:rsid w:val="00436939"/>
    <w:rsid w:val="004400F5"/>
    <w:rsid w:val="00442896"/>
    <w:rsid w:val="004617D3"/>
    <w:rsid w:val="00466014"/>
    <w:rsid w:val="004678C1"/>
    <w:rsid w:val="00495391"/>
    <w:rsid w:val="004B4B20"/>
    <w:rsid w:val="004C0D69"/>
    <w:rsid w:val="004C653B"/>
    <w:rsid w:val="004D5527"/>
    <w:rsid w:val="004D7D52"/>
    <w:rsid w:val="004E38CF"/>
    <w:rsid w:val="004E6410"/>
    <w:rsid w:val="004F5AF6"/>
    <w:rsid w:val="00510044"/>
    <w:rsid w:val="00511429"/>
    <w:rsid w:val="005146A6"/>
    <w:rsid w:val="00521DFA"/>
    <w:rsid w:val="00535E20"/>
    <w:rsid w:val="00536D57"/>
    <w:rsid w:val="00544B11"/>
    <w:rsid w:val="00575A6B"/>
    <w:rsid w:val="005825A1"/>
    <w:rsid w:val="00592C2F"/>
    <w:rsid w:val="005A52B3"/>
    <w:rsid w:val="005A6802"/>
    <w:rsid w:val="005B1C7E"/>
    <w:rsid w:val="005C114F"/>
    <w:rsid w:val="005D3179"/>
    <w:rsid w:val="005D4986"/>
    <w:rsid w:val="005E0931"/>
    <w:rsid w:val="005E2170"/>
    <w:rsid w:val="005E7E27"/>
    <w:rsid w:val="00600450"/>
    <w:rsid w:val="0061103D"/>
    <w:rsid w:val="006154D2"/>
    <w:rsid w:val="00616452"/>
    <w:rsid w:val="00625DE5"/>
    <w:rsid w:val="00627C33"/>
    <w:rsid w:val="00646D24"/>
    <w:rsid w:val="00662BA1"/>
    <w:rsid w:val="00665D7A"/>
    <w:rsid w:val="0069404F"/>
    <w:rsid w:val="006A57FB"/>
    <w:rsid w:val="006A7CC1"/>
    <w:rsid w:val="006B72D0"/>
    <w:rsid w:val="006C1B11"/>
    <w:rsid w:val="006D2889"/>
    <w:rsid w:val="006D6FF6"/>
    <w:rsid w:val="006E3151"/>
    <w:rsid w:val="006F087D"/>
    <w:rsid w:val="006F4CC1"/>
    <w:rsid w:val="006F6DA0"/>
    <w:rsid w:val="00707F58"/>
    <w:rsid w:val="00714481"/>
    <w:rsid w:val="00721DE4"/>
    <w:rsid w:val="007246DC"/>
    <w:rsid w:val="0075400A"/>
    <w:rsid w:val="0078370F"/>
    <w:rsid w:val="007952C4"/>
    <w:rsid w:val="007A1C35"/>
    <w:rsid w:val="007D167D"/>
    <w:rsid w:val="007E0630"/>
    <w:rsid w:val="007E0D7E"/>
    <w:rsid w:val="007E2A06"/>
    <w:rsid w:val="007E55C0"/>
    <w:rsid w:val="007E5DF3"/>
    <w:rsid w:val="007F431F"/>
    <w:rsid w:val="00806A8B"/>
    <w:rsid w:val="008119A2"/>
    <w:rsid w:val="00837D7F"/>
    <w:rsid w:val="00851B17"/>
    <w:rsid w:val="0085516E"/>
    <w:rsid w:val="0086448F"/>
    <w:rsid w:val="008701E2"/>
    <w:rsid w:val="00870590"/>
    <w:rsid w:val="00883DD7"/>
    <w:rsid w:val="00884694"/>
    <w:rsid w:val="0088733D"/>
    <w:rsid w:val="00897466"/>
    <w:rsid w:val="008A4275"/>
    <w:rsid w:val="008C1BE0"/>
    <w:rsid w:val="008C456F"/>
    <w:rsid w:val="008D2C49"/>
    <w:rsid w:val="008D4EF4"/>
    <w:rsid w:val="008D5521"/>
    <w:rsid w:val="008D6E2F"/>
    <w:rsid w:val="008E7AB9"/>
    <w:rsid w:val="008F3667"/>
    <w:rsid w:val="00900057"/>
    <w:rsid w:val="00915351"/>
    <w:rsid w:val="009220FD"/>
    <w:rsid w:val="00922772"/>
    <w:rsid w:val="00930D93"/>
    <w:rsid w:val="00934B57"/>
    <w:rsid w:val="00937667"/>
    <w:rsid w:val="0094344C"/>
    <w:rsid w:val="00973165"/>
    <w:rsid w:val="009807C5"/>
    <w:rsid w:val="00984005"/>
    <w:rsid w:val="00994899"/>
    <w:rsid w:val="009961D3"/>
    <w:rsid w:val="009A26AA"/>
    <w:rsid w:val="009B6029"/>
    <w:rsid w:val="009D517C"/>
    <w:rsid w:val="009D62F0"/>
    <w:rsid w:val="009E5E7F"/>
    <w:rsid w:val="009E6950"/>
    <w:rsid w:val="00A02B08"/>
    <w:rsid w:val="00A10B86"/>
    <w:rsid w:val="00A24F45"/>
    <w:rsid w:val="00A30525"/>
    <w:rsid w:val="00A54051"/>
    <w:rsid w:val="00A55520"/>
    <w:rsid w:val="00A5589E"/>
    <w:rsid w:val="00A70C6C"/>
    <w:rsid w:val="00A71369"/>
    <w:rsid w:val="00A72972"/>
    <w:rsid w:val="00A76F5F"/>
    <w:rsid w:val="00A8085B"/>
    <w:rsid w:val="00AA5C9E"/>
    <w:rsid w:val="00AD041A"/>
    <w:rsid w:val="00AD2D0D"/>
    <w:rsid w:val="00AD637E"/>
    <w:rsid w:val="00AF1BE0"/>
    <w:rsid w:val="00B0317B"/>
    <w:rsid w:val="00B127F2"/>
    <w:rsid w:val="00B139A3"/>
    <w:rsid w:val="00B20899"/>
    <w:rsid w:val="00B21324"/>
    <w:rsid w:val="00B272FD"/>
    <w:rsid w:val="00B44DEC"/>
    <w:rsid w:val="00B46145"/>
    <w:rsid w:val="00B5560A"/>
    <w:rsid w:val="00B627A4"/>
    <w:rsid w:val="00B92499"/>
    <w:rsid w:val="00B928C8"/>
    <w:rsid w:val="00B95203"/>
    <w:rsid w:val="00BA075B"/>
    <w:rsid w:val="00BA40EC"/>
    <w:rsid w:val="00BA4DB4"/>
    <w:rsid w:val="00BA50CC"/>
    <w:rsid w:val="00BB2676"/>
    <w:rsid w:val="00BB52FC"/>
    <w:rsid w:val="00BB5393"/>
    <w:rsid w:val="00BC0233"/>
    <w:rsid w:val="00BD0981"/>
    <w:rsid w:val="00BD1934"/>
    <w:rsid w:val="00BD1B96"/>
    <w:rsid w:val="00BE1D65"/>
    <w:rsid w:val="00BE7B5E"/>
    <w:rsid w:val="00BF06E7"/>
    <w:rsid w:val="00BF3FD2"/>
    <w:rsid w:val="00C00EF9"/>
    <w:rsid w:val="00C10D0C"/>
    <w:rsid w:val="00C123BB"/>
    <w:rsid w:val="00C3296E"/>
    <w:rsid w:val="00C3536F"/>
    <w:rsid w:val="00C3631B"/>
    <w:rsid w:val="00C42544"/>
    <w:rsid w:val="00C42A9D"/>
    <w:rsid w:val="00C5228F"/>
    <w:rsid w:val="00C531CB"/>
    <w:rsid w:val="00C54643"/>
    <w:rsid w:val="00C61A63"/>
    <w:rsid w:val="00C623E0"/>
    <w:rsid w:val="00C64837"/>
    <w:rsid w:val="00C865E9"/>
    <w:rsid w:val="00CA49EB"/>
    <w:rsid w:val="00CC0EED"/>
    <w:rsid w:val="00CD6669"/>
    <w:rsid w:val="00CF4802"/>
    <w:rsid w:val="00D01718"/>
    <w:rsid w:val="00D035FC"/>
    <w:rsid w:val="00D13DC0"/>
    <w:rsid w:val="00D171EA"/>
    <w:rsid w:val="00D33A6D"/>
    <w:rsid w:val="00D43493"/>
    <w:rsid w:val="00D45676"/>
    <w:rsid w:val="00D501C6"/>
    <w:rsid w:val="00D76427"/>
    <w:rsid w:val="00D81843"/>
    <w:rsid w:val="00D95E36"/>
    <w:rsid w:val="00DA5962"/>
    <w:rsid w:val="00DB2E7B"/>
    <w:rsid w:val="00DB3A52"/>
    <w:rsid w:val="00DC060C"/>
    <w:rsid w:val="00DC092B"/>
    <w:rsid w:val="00DD3F57"/>
    <w:rsid w:val="00DF2376"/>
    <w:rsid w:val="00DF2DD5"/>
    <w:rsid w:val="00DF782D"/>
    <w:rsid w:val="00DF7898"/>
    <w:rsid w:val="00E12B33"/>
    <w:rsid w:val="00E3059E"/>
    <w:rsid w:val="00E35FEE"/>
    <w:rsid w:val="00E41377"/>
    <w:rsid w:val="00E43FBA"/>
    <w:rsid w:val="00E4425C"/>
    <w:rsid w:val="00E51726"/>
    <w:rsid w:val="00E71AFA"/>
    <w:rsid w:val="00E7332A"/>
    <w:rsid w:val="00E773C5"/>
    <w:rsid w:val="00E8005D"/>
    <w:rsid w:val="00E86307"/>
    <w:rsid w:val="00E92010"/>
    <w:rsid w:val="00E927A2"/>
    <w:rsid w:val="00E9630E"/>
    <w:rsid w:val="00EA188B"/>
    <w:rsid w:val="00EA3D29"/>
    <w:rsid w:val="00EB11A7"/>
    <w:rsid w:val="00EB1C3E"/>
    <w:rsid w:val="00EB4AF6"/>
    <w:rsid w:val="00EC161B"/>
    <w:rsid w:val="00EC6055"/>
    <w:rsid w:val="00EF0836"/>
    <w:rsid w:val="00EF5118"/>
    <w:rsid w:val="00EF585F"/>
    <w:rsid w:val="00F05D7B"/>
    <w:rsid w:val="00F209F5"/>
    <w:rsid w:val="00F229FD"/>
    <w:rsid w:val="00F3046E"/>
    <w:rsid w:val="00F50D5F"/>
    <w:rsid w:val="00F568C5"/>
    <w:rsid w:val="00F5703A"/>
    <w:rsid w:val="00F60E89"/>
    <w:rsid w:val="00F95435"/>
    <w:rsid w:val="00FB6D19"/>
    <w:rsid w:val="00FB7D55"/>
    <w:rsid w:val="00FC2E04"/>
    <w:rsid w:val="00FD1A06"/>
    <w:rsid w:val="00FD7C05"/>
    <w:rsid w:val="00FE7A46"/>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A001-A290-488B-B4B2-6254EEB5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Diva Biai</cp:lastModifiedBy>
  <cp:revision>7</cp:revision>
  <cp:lastPrinted>2014-06-30T13:12:00Z</cp:lastPrinted>
  <dcterms:created xsi:type="dcterms:W3CDTF">2014-07-09T16:39:00Z</dcterms:created>
  <dcterms:modified xsi:type="dcterms:W3CDTF">2014-07-10T09:00:00Z</dcterms:modified>
</cp:coreProperties>
</file>