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F0" w:rsidRPr="00CC0EED" w:rsidRDefault="009D62F0" w:rsidP="009D62F0">
      <w:pPr>
        <w:pStyle w:val="Heading1"/>
        <w:rPr>
          <w:rFonts w:ascii="Times New Roman" w:hAnsi="Times New Roman"/>
          <w:bCs w:val="0"/>
          <w:kern w:val="0"/>
          <w:sz w:val="22"/>
          <w:szCs w:val="22"/>
        </w:rPr>
      </w:pPr>
      <w:bookmarkStart w:id="0" w:name="_Toc244414388"/>
      <w:r>
        <w:rPr>
          <w:rFonts w:ascii="Times New Roman" w:hAnsi="Times New Roman"/>
          <w:bCs w:val="0"/>
          <w:kern w:val="0"/>
          <w:sz w:val="22"/>
          <w:szCs w:val="22"/>
        </w:rPr>
        <w:t>RUNO Half Yearly Reporting</w:t>
      </w:r>
      <w:r w:rsidRPr="00CC0EED">
        <w:rPr>
          <w:rFonts w:ascii="Times New Roman" w:hAnsi="Times New Roman"/>
          <w:bCs w:val="0"/>
          <w:kern w:val="0"/>
          <w:sz w:val="22"/>
          <w:szCs w:val="22"/>
        </w:rPr>
        <w:t xml:space="preserve"> </w:t>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t xml:space="preserve">TEMPLATE </w:t>
      </w:r>
      <w:r>
        <w:rPr>
          <w:rFonts w:ascii="Times New Roman" w:hAnsi="Times New Roman"/>
          <w:bCs w:val="0"/>
          <w:kern w:val="0"/>
          <w:sz w:val="22"/>
          <w:szCs w:val="22"/>
        </w:rPr>
        <w:t>4.3</w:t>
      </w:r>
    </w:p>
    <w:bookmarkEnd w:id="0"/>
    <w:p w:rsidR="009D62F0" w:rsidRPr="00481C06" w:rsidRDefault="009D62F0" w:rsidP="009D62F0">
      <w:pPr>
        <w:numPr>
          <w:ilvl w:val="12"/>
          <w:numId w:val="0"/>
        </w:numPr>
        <w:tabs>
          <w:tab w:val="left" w:pos="0"/>
        </w:tabs>
        <w:suppressAutoHyphens/>
        <w:jc w:val="center"/>
        <w:rPr>
          <w:b/>
          <w:bCs/>
          <w:spacing w:val="-3"/>
        </w:rPr>
      </w:pPr>
      <w:r>
        <w:rPr>
          <w:rFonts w:ascii="Arial" w:hAnsi="Arial"/>
          <w:spacing w:val="-3"/>
          <w:sz w:val="20"/>
        </w:rPr>
        <w:tab/>
      </w:r>
      <w:r w:rsidR="007D1A33">
        <w:rPr>
          <w:rFonts w:ascii="Arial" w:hAnsi="Arial"/>
          <w:noProof/>
          <w:spacing w:val="-3"/>
          <w:sz w:val="20"/>
        </w:rPr>
        <w:drawing>
          <wp:inline distT="0" distB="0" distL="0" distR="0">
            <wp:extent cx="1460500" cy="617220"/>
            <wp:effectExtent l="19050" t="0" r="6350" b="0"/>
            <wp:docPr id="1" name="Picture 1"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O Logo English _smallerCMYK"/>
                    <pic:cNvPicPr>
                      <a:picLocks noChangeAspect="1" noChangeArrowheads="1"/>
                    </pic:cNvPicPr>
                  </pic:nvPicPr>
                  <pic:blipFill>
                    <a:blip r:embed="rId8" cstate="print"/>
                    <a:srcRect/>
                    <a:stretch>
                      <a:fillRect/>
                    </a:stretch>
                  </pic:blipFill>
                  <pic:spPr bwMode="auto">
                    <a:xfrm>
                      <a:off x="0" y="0"/>
                      <a:ext cx="1460500" cy="617220"/>
                    </a:xfrm>
                    <a:prstGeom prst="rect">
                      <a:avLst/>
                    </a:prstGeom>
                    <a:noFill/>
                    <a:ln w="9525">
                      <a:noFill/>
                      <a:miter lim="800000"/>
                      <a:headEnd/>
                      <a:tailEnd/>
                    </a:ln>
                  </pic:spPr>
                </pic:pic>
              </a:graphicData>
            </a:graphic>
          </wp:inline>
        </w:drawing>
      </w:r>
      <w:r w:rsidR="005E2170">
        <w:rPr>
          <w:rFonts w:ascii="Arial" w:hAnsi="Arial"/>
          <w:spacing w:val="-3"/>
          <w:sz w:val="20"/>
        </w:rPr>
        <w:tab/>
      </w:r>
      <w:r w:rsidR="005E2170">
        <w:rPr>
          <w:rFonts w:ascii="Arial" w:hAnsi="Arial"/>
          <w:spacing w:val="-3"/>
          <w:sz w:val="20"/>
        </w:rPr>
        <w:tab/>
      </w:r>
      <w:r w:rsidR="005E2170">
        <w:rPr>
          <w:rFonts w:ascii="Arial" w:hAnsi="Arial"/>
          <w:spacing w:val="-3"/>
          <w:sz w:val="20"/>
        </w:rPr>
        <w:tab/>
      </w:r>
      <w:r w:rsidR="005E2170">
        <w:rPr>
          <w:rFonts w:ascii="Arial" w:hAnsi="Arial"/>
          <w:spacing w:val="-3"/>
          <w:sz w:val="20"/>
        </w:rPr>
        <w:tab/>
      </w:r>
      <w:r w:rsidR="007D1A33">
        <w:rPr>
          <w:rFonts w:ascii="Arial" w:hAnsi="Arial"/>
          <w:noProof/>
          <w:spacing w:val="-3"/>
          <w:sz w:val="20"/>
        </w:rPr>
        <w:drawing>
          <wp:inline distT="0" distB="0" distL="0" distR="0">
            <wp:extent cx="1437005" cy="1092835"/>
            <wp:effectExtent l="19050" t="0" r="0" b="0"/>
            <wp:docPr id="2" name="Picture 2"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_triangle"/>
                    <pic:cNvPicPr>
                      <a:picLocks noChangeAspect="1" noChangeArrowheads="1"/>
                    </pic:cNvPicPr>
                  </pic:nvPicPr>
                  <pic:blipFill>
                    <a:blip r:embed="rId9" cstate="print"/>
                    <a:srcRect/>
                    <a:stretch>
                      <a:fillRect/>
                    </a:stretch>
                  </pic:blipFill>
                  <pic:spPr bwMode="auto">
                    <a:xfrm>
                      <a:off x="0" y="0"/>
                      <a:ext cx="1437005" cy="1092835"/>
                    </a:xfrm>
                    <a:prstGeom prst="rect">
                      <a:avLst/>
                    </a:prstGeom>
                    <a:noFill/>
                    <a:ln w="9525">
                      <a:noFill/>
                      <a:miter lim="800000"/>
                      <a:headEnd/>
                      <a:tailEnd/>
                    </a:ln>
                  </pic:spPr>
                </pic:pic>
              </a:graphicData>
            </a:graphic>
          </wp:inline>
        </w:drawing>
      </w:r>
      <w:r w:rsidR="005E2170">
        <w:rPr>
          <w:rFonts w:ascii="Arial" w:hAnsi="Arial"/>
          <w:spacing w:val="-3"/>
          <w:sz w:val="20"/>
        </w:rPr>
        <w:tab/>
      </w:r>
    </w:p>
    <w:p w:rsidR="00FF3594" w:rsidRPr="00FF0380" w:rsidRDefault="00870590" w:rsidP="00FF3594">
      <w:pPr>
        <w:jc w:val="center"/>
        <w:rPr>
          <w:rFonts w:cs="Times New Roman"/>
          <w:b/>
          <w:sz w:val="22"/>
          <w:szCs w:val="22"/>
        </w:rPr>
      </w:pPr>
      <w:r>
        <w:rPr>
          <w:rFonts w:cs="Times New Roman"/>
          <w:b/>
          <w:sz w:val="22"/>
          <w:szCs w:val="22"/>
        </w:rPr>
        <w:t>[</w:t>
      </w:r>
      <w:r w:rsidR="001E75AB" w:rsidRPr="00870590">
        <w:rPr>
          <w:rFonts w:cs="Times New Roman"/>
          <w:b/>
          <w:sz w:val="22"/>
          <w:szCs w:val="22"/>
          <w:u w:val="single"/>
        </w:rPr>
        <w:t>COUNTRY</w:t>
      </w:r>
      <w:r w:rsidR="00C54643">
        <w:rPr>
          <w:rFonts w:cs="Times New Roman"/>
          <w:b/>
          <w:sz w:val="22"/>
          <w:szCs w:val="22"/>
          <w:u w:val="single"/>
        </w:rPr>
        <w:t xml:space="preserve">: </w:t>
      </w:r>
      <w:r w:rsidR="001E0E99">
        <w:rPr>
          <w:rFonts w:cs="Times New Roman"/>
          <w:sz w:val="22"/>
          <w:szCs w:val="22"/>
          <w:lang w:val="fr-FR" w:eastAsia="ja-JP"/>
        </w:rPr>
        <w:fldChar w:fldCharType="begin">
          <w:ffData>
            <w:name w:val=""/>
            <w:enabled/>
            <w:calcOnExit w:val="0"/>
            <w:textInput/>
          </w:ffData>
        </w:fldChar>
      </w:r>
      <w:r w:rsidR="00C54643">
        <w:rPr>
          <w:rFonts w:cs="Times New Roman"/>
          <w:sz w:val="22"/>
          <w:szCs w:val="22"/>
          <w:lang w:val="fr-FR" w:eastAsia="ja-JP"/>
        </w:rPr>
        <w:instrText xml:space="preserve"> FORMTEXT </w:instrText>
      </w:r>
      <w:r w:rsidR="001E0E99">
        <w:rPr>
          <w:rFonts w:cs="Times New Roman"/>
          <w:sz w:val="22"/>
          <w:szCs w:val="22"/>
          <w:lang w:val="fr-FR" w:eastAsia="ja-JP"/>
        </w:rPr>
      </w:r>
      <w:r w:rsidR="001E0E99">
        <w:rPr>
          <w:rFonts w:cs="Times New Roman"/>
          <w:sz w:val="22"/>
          <w:szCs w:val="22"/>
          <w:lang w:val="fr-FR" w:eastAsia="ja-JP"/>
        </w:rPr>
        <w:fldChar w:fldCharType="separate"/>
      </w:r>
      <w:r w:rsidR="001509E7">
        <w:t>LIBERIA</w:t>
      </w:r>
      <w:r w:rsidR="001E0E99">
        <w:rPr>
          <w:rFonts w:cs="Times New Roman"/>
          <w:sz w:val="22"/>
          <w:szCs w:val="22"/>
          <w:lang w:val="fr-FR" w:eastAsia="ja-JP"/>
        </w:rPr>
        <w:fldChar w:fldCharType="end"/>
      </w:r>
      <w:r>
        <w:rPr>
          <w:rFonts w:cs="Times New Roman"/>
          <w:b/>
          <w:sz w:val="22"/>
          <w:szCs w:val="22"/>
        </w:rPr>
        <w:t>]</w:t>
      </w:r>
    </w:p>
    <w:p w:rsidR="00FF3594" w:rsidRPr="00FF0380" w:rsidRDefault="00FF3594" w:rsidP="00FF3594">
      <w:pPr>
        <w:jc w:val="center"/>
        <w:rPr>
          <w:rFonts w:cs="Times New Roman"/>
          <w:b/>
          <w:sz w:val="22"/>
          <w:szCs w:val="22"/>
        </w:rPr>
      </w:pPr>
    </w:p>
    <w:p w:rsidR="00FF3594" w:rsidRPr="00FF0380" w:rsidRDefault="00FF3594" w:rsidP="00FF3594">
      <w:pPr>
        <w:jc w:val="center"/>
        <w:rPr>
          <w:rFonts w:cs="Times New Roman"/>
          <w:b/>
          <w:sz w:val="22"/>
          <w:szCs w:val="22"/>
        </w:rPr>
      </w:pPr>
      <w:r w:rsidRPr="00FF0380">
        <w:rPr>
          <w:rFonts w:cs="Times New Roman"/>
          <w:b/>
          <w:sz w:val="22"/>
          <w:szCs w:val="22"/>
        </w:rPr>
        <w:t xml:space="preserve">PROJECT </w:t>
      </w:r>
      <w:r w:rsidR="00D45676">
        <w:rPr>
          <w:rFonts w:cs="Times New Roman"/>
          <w:b/>
          <w:sz w:val="22"/>
          <w:szCs w:val="22"/>
        </w:rPr>
        <w:t>HALF YEARLY PROGRESS UPDATE</w:t>
      </w:r>
      <w:r w:rsidRPr="00FF0380">
        <w:rPr>
          <w:rFonts w:cs="Times New Roman"/>
          <w:b/>
          <w:sz w:val="22"/>
          <w:szCs w:val="22"/>
        </w:rPr>
        <w:t xml:space="preserve"> </w:t>
      </w:r>
    </w:p>
    <w:p w:rsidR="00870590" w:rsidRDefault="00870590" w:rsidP="00FF3594">
      <w:pPr>
        <w:jc w:val="center"/>
        <w:rPr>
          <w:rFonts w:cs="Times New Roman"/>
          <w:b/>
          <w:sz w:val="22"/>
          <w:szCs w:val="22"/>
        </w:rPr>
      </w:pPr>
    </w:p>
    <w:p w:rsidR="00BA50CC" w:rsidRDefault="00F05D7B" w:rsidP="00FF3594">
      <w:pPr>
        <w:jc w:val="center"/>
        <w:rPr>
          <w:rFonts w:cs="Times New Roman"/>
          <w:b/>
          <w:sz w:val="22"/>
          <w:szCs w:val="22"/>
        </w:rPr>
      </w:pPr>
      <w:r>
        <w:rPr>
          <w:rFonts w:cs="Times New Roman"/>
          <w:b/>
          <w:sz w:val="22"/>
          <w:szCs w:val="22"/>
        </w:rPr>
        <w:t>PERIOD COVERED:</w:t>
      </w:r>
      <w:r w:rsidR="00D45676">
        <w:rPr>
          <w:rFonts w:cs="Times New Roman"/>
          <w:b/>
          <w:sz w:val="22"/>
          <w:szCs w:val="22"/>
          <w:u w:val="single"/>
        </w:rPr>
        <w:t xml:space="preserve"> JANUARY – JUNE 20</w:t>
      </w:r>
      <w:r w:rsidR="001E0E99">
        <w:rPr>
          <w:rFonts w:cs="Times New Roman"/>
          <w:sz w:val="22"/>
          <w:szCs w:val="22"/>
          <w:lang w:val="fr-FR" w:eastAsia="ja-JP"/>
        </w:rPr>
        <w:fldChar w:fldCharType="begin">
          <w:ffData>
            <w:name w:val=""/>
            <w:enabled/>
            <w:calcOnExit w:val="0"/>
            <w:textInput/>
          </w:ffData>
        </w:fldChar>
      </w:r>
      <w:r w:rsidR="00C54643">
        <w:rPr>
          <w:rFonts w:cs="Times New Roman"/>
          <w:sz w:val="22"/>
          <w:szCs w:val="22"/>
          <w:lang w:val="fr-FR" w:eastAsia="ja-JP"/>
        </w:rPr>
        <w:instrText xml:space="preserve"> FORMTEXT </w:instrText>
      </w:r>
      <w:r w:rsidR="001E0E99">
        <w:rPr>
          <w:rFonts w:cs="Times New Roman"/>
          <w:sz w:val="22"/>
          <w:szCs w:val="22"/>
          <w:lang w:val="fr-FR" w:eastAsia="ja-JP"/>
        </w:rPr>
      </w:r>
      <w:r w:rsidR="001E0E99">
        <w:rPr>
          <w:rFonts w:cs="Times New Roman"/>
          <w:sz w:val="22"/>
          <w:szCs w:val="22"/>
          <w:lang w:val="fr-FR" w:eastAsia="ja-JP"/>
        </w:rPr>
        <w:fldChar w:fldCharType="separate"/>
      </w:r>
      <w:r w:rsidR="001509E7">
        <w:t>15</w:t>
      </w:r>
      <w:r w:rsidR="001E0E99">
        <w:rPr>
          <w:rFonts w:cs="Times New Roman"/>
          <w:sz w:val="22"/>
          <w:szCs w:val="22"/>
          <w:lang w:val="fr-FR" w:eastAsia="ja-JP"/>
        </w:rPr>
        <w:fldChar w:fldCharType="end"/>
      </w:r>
    </w:p>
    <w:p w:rsidR="00870590" w:rsidRPr="00FF0380" w:rsidRDefault="00870590" w:rsidP="00FF3594">
      <w:pPr>
        <w:jc w:val="center"/>
        <w:rPr>
          <w:rFonts w:cs="Times New Roman"/>
          <w:b/>
          <w:sz w:val="22"/>
          <w:szCs w:val="22"/>
        </w:rPr>
      </w:pP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2520"/>
        <w:gridCol w:w="2880"/>
        <w:gridCol w:w="2340"/>
      </w:tblGrid>
      <w:tr w:rsidR="004D5527" w:rsidRPr="00FF0380" w:rsidTr="00BB2676">
        <w:trPr>
          <w:trHeight w:val="620"/>
        </w:trPr>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Project No &amp; Title:</w:t>
            </w:r>
          </w:p>
        </w:tc>
        <w:tc>
          <w:tcPr>
            <w:tcW w:w="7740" w:type="dxa"/>
            <w:gridSpan w:val="3"/>
            <w:tcBorders>
              <w:top w:val="single" w:sz="4" w:space="0" w:color="auto"/>
              <w:left w:val="single" w:sz="4" w:space="0" w:color="auto"/>
              <w:bottom w:val="single" w:sz="4" w:space="0" w:color="auto"/>
              <w:right w:val="single" w:sz="4" w:space="0" w:color="auto"/>
            </w:tcBorders>
            <w:shd w:val="clear" w:color="auto" w:fill="FFFFFF"/>
          </w:tcPr>
          <w:p w:rsidR="004D5527" w:rsidRPr="00870590" w:rsidRDefault="004D5527" w:rsidP="00870590">
            <w:pPr>
              <w:rPr>
                <w:rFonts w:cs="Times New Roman"/>
                <w:sz w:val="22"/>
                <w:szCs w:val="22"/>
              </w:rPr>
            </w:pPr>
          </w:p>
          <w:p w:rsidR="004D5527" w:rsidRPr="00870590" w:rsidRDefault="004D5527" w:rsidP="00A90DEE">
            <w:pPr>
              <w:rPr>
                <w:rFonts w:cs="Times New Roman"/>
                <w:sz w:val="22"/>
                <w:szCs w:val="22"/>
              </w:rPr>
            </w:pPr>
            <w:r w:rsidRPr="00870590">
              <w:rPr>
                <w:rFonts w:cs="Times New Roman"/>
                <w:sz w:val="22"/>
                <w:szCs w:val="22"/>
              </w:rPr>
              <w:t>PBF/</w:t>
            </w:r>
            <w:r w:rsidR="001E0E99">
              <w:rPr>
                <w:rFonts w:cs="Times New Roman"/>
                <w:sz w:val="22"/>
                <w:szCs w:val="22"/>
                <w:lang w:val="fr-FR" w:eastAsia="ja-JP"/>
              </w:rPr>
              <w:fldChar w:fldCharType="begin">
                <w:ffData>
                  <w:name w:val=""/>
                  <w:enabled/>
                  <w:calcOnExit w:val="0"/>
                  <w:textInput/>
                </w:ffData>
              </w:fldChar>
            </w:r>
            <w:r w:rsidR="00C54643">
              <w:rPr>
                <w:rFonts w:cs="Times New Roman"/>
                <w:sz w:val="22"/>
                <w:szCs w:val="22"/>
                <w:lang w:val="fr-FR" w:eastAsia="ja-JP"/>
              </w:rPr>
              <w:instrText xml:space="preserve"> FORMTEXT </w:instrText>
            </w:r>
            <w:r w:rsidR="001E0E99">
              <w:rPr>
                <w:rFonts w:cs="Times New Roman"/>
                <w:sz w:val="22"/>
                <w:szCs w:val="22"/>
                <w:lang w:val="fr-FR" w:eastAsia="ja-JP"/>
              </w:rPr>
            </w:r>
            <w:r w:rsidR="001E0E99">
              <w:rPr>
                <w:rFonts w:cs="Times New Roman"/>
                <w:sz w:val="22"/>
                <w:szCs w:val="22"/>
                <w:lang w:val="fr-FR" w:eastAsia="ja-JP"/>
              </w:rPr>
              <w:fldChar w:fldCharType="separate"/>
            </w:r>
            <w:r w:rsidR="00A90DEE">
              <w:t>LBR/A-9, 00088029, Support to the establishment of a land disputes prevention and resolution system in Liberia - Phase 2</w:t>
            </w:r>
            <w:r w:rsidR="001E0E99">
              <w:rPr>
                <w:rFonts w:cs="Times New Roman"/>
                <w:sz w:val="22"/>
                <w:szCs w:val="22"/>
                <w:lang w:val="fr-FR" w:eastAsia="ja-JP"/>
              </w:rPr>
              <w:fldChar w:fldCharType="end"/>
            </w:r>
          </w:p>
        </w:tc>
      </w:tr>
      <w:tr w:rsidR="00870590" w:rsidRPr="00FF0380" w:rsidTr="00BB2676">
        <w:trPr>
          <w:trHeight w:val="436"/>
        </w:trPr>
        <w:tc>
          <w:tcPr>
            <w:tcW w:w="2880" w:type="dxa"/>
            <w:tcBorders>
              <w:bottom w:val="single" w:sz="4" w:space="0" w:color="auto"/>
            </w:tcBorders>
            <w:shd w:val="clear" w:color="auto" w:fill="E6E6E6"/>
            <w:vAlign w:val="center"/>
          </w:tcPr>
          <w:p w:rsidR="00870590" w:rsidRPr="00FF0380" w:rsidRDefault="00870590" w:rsidP="00870590">
            <w:pPr>
              <w:rPr>
                <w:rFonts w:cs="Times New Roman"/>
                <w:sz w:val="22"/>
                <w:szCs w:val="22"/>
              </w:rPr>
            </w:pPr>
            <w:r w:rsidRPr="00FF0380">
              <w:rPr>
                <w:rFonts w:cs="Times New Roman"/>
                <w:b/>
                <w:sz w:val="22"/>
                <w:szCs w:val="22"/>
              </w:rPr>
              <w:t>Recipient Organization</w:t>
            </w:r>
            <w:r>
              <w:rPr>
                <w:rFonts w:cs="Times New Roman"/>
                <w:b/>
                <w:sz w:val="22"/>
                <w:szCs w:val="22"/>
              </w:rPr>
              <w:t>(s)</w:t>
            </w:r>
            <w:r w:rsidR="00BB2676">
              <w:rPr>
                <w:rStyle w:val="FootnoteReference"/>
                <w:rFonts w:cs="Times New Roman"/>
                <w:b/>
                <w:sz w:val="22"/>
                <w:szCs w:val="22"/>
              </w:rPr>
              <w:footnoteReference w:id="1"/>
            </w:r>
            <w:r w:rsidRPr="00FF0380">
              <w:rPr>
                <w:rFonts w:cs="Times New Roman"/>
                <w:b/>
                <w:sz w:val="22"/>
                <w:szCs w:val="22"/>
              </w:rPr>
              <w:t xml:space="preserve">:  </w:t>
            </w:r>
          </w:p>
        </w:tc>
        <w:tc>
          <w:tcPr>
            <w:tcW w:w="7740" w:type="dxa"/>
            <w:gridSpan w:val="3"/>
            <w:vAlign w:val="center"/>
          </w:tcPr>
          <w:p w:rsidR="00870590" w:rsidRPr="00FF0380" w:rsidRDefault="001E0E99" w:rsidP="00A90DEE">
            <w:pPr>
              <w:rPr>
                <w:rFonts w:cs="Times New Roman"/>
                <w:sz w:val="22"/>
                <w:szCs w:val="22"/>
              </w:rPr>
            </w:pPr>
            <w:r>
              <w:rPr>
                <w:rFonts w:cs="Times New Roman"/>
                <w:sz w:val="22"/>
                <w:szCs w:val="22"/>
              </w:rPr>
              <w:fldChar w:fldCharType="begin">
                <w:ffData>
                  <w:name w:val="Text1"/>
                  <w:enabled/>
                  <w:calcOnExit w:val="0"/>
                  <w:textInput/>
                </w:ffData>
              </w:fldChar>
            </w:r>
            <w:bookmarkStart w:id="1" w:name="Text1"/>
            <w:r w:rsidR="00C54643">
              <w:rPr>
                <w:rFonts w:cs="Times New Roman"/>
                <w:sz w:val="22"/>
                <w:szCs w:val="22"/>
              </w:rPr>
              <w:instrText xml:space="preserve"> FORMTEXT </w:instrText>
            </w:r>
            <w:r>
              <w:rPr>
                <w:rFonts w:cs="Times New Roman"/>
                <w:sz w:val="22"/>
                <w:szCs w:val="22"/>
              </w:rPr>
            </w:r>
            <w:r>
              <w:rPr>
                <w:rFonts w:cs="Times New Roman"/>
                <w:sz w:val="22"/>
                <w:szCs w:val="22"/>
              </w:rPr>
              <w:fldChar w:fldCharType="separate"/>
            </w:r>
            <w:r w:rsidR="00A90DEE">
              <w:t>UN-Habitat</w:t>
            </w:r>
            <w:r>
              <w:rPr>
                <w:rFonts w:cs="Times New Roman"/>
                <w:sz w:val="22"/>
                <w:szCs w:val="22"/>
              </w:rPr>
              <w:fldChar w:fldCharType="end"/>
            </w:r>
            <w:bookmarkEnd w:id="1"/>
          </w:p>
        </w:tc>
      </w:tr>
      <w:tr w:rsidR="004D5527" w:rsidRPr="00FF0380" w:rsidTr="00BB2676">
        <w:trPr>
          <w:trHeight w:val="375"/>
        </w:trPr>
        <w:tc>
          <w:tcPr>
            <w:tcW w:w="2880" w:type="dxa"/>
            <w:shd w:val="clear" w:color="auto" w:fill="E6E6E6"/>
            <w:vAlign w:val="center"/>
          </w:tcPr>
          <w:p w:rsidR="004D5527" w:rsidRPr="00FF0380" w:rsidRDefault="00D45676" w:rsidP="00870590">
            <w:pPr>
              <w:rPr>
                <w:rFonts w:cs="Times New Roman"/>
                <w:bCs/>
                <w:sz w:val="22"/>
                <w:szCs w:val="22"/>
              </w:rPr>
            </w:pPr>
            <w:r>
              <w:rPr>
                <w:rFonts w:cs="Times New Roman"/>
                <w:b/>
                <w:sz w:val="22"/>
                <w:szCs w:val="22"/>
              </w:rPr>
              <w:t>Implementing Partners (Government, UN agencies, NGOs etc)</w:t>
            </w:r>
            <w:r w:rsidR="000A26AD">
              <w:rPr>
                <w:rFonts w:cs="Times New Roman"/>
                <w:b/>
                <w:sz w:val="22"/>
                <w:szCs w:val="22"/>
              </w:rPr>
              <w:t>:</w:t>
            </w:r>
          </w:p>
        </w:tc>
        <w:tc>
          <w:tcPr>
            <w:tcW w:w="7740" w:type="dxa"/>
            <w:gridSpan w:val="3"/>
            <w:vAlign w:val="center"/>
          </w:tcPr>
          <w:p w:rsidR="004D5527" w:rsidRPr="00FF0380" w:rsidRDefault="001E0E99" w:rsidP="00A90DEE">
            <w:pPr>
              <w:rPr>
                <w:rFonts w:cs="Times New Roman"/>
                <w:bCs/>
                <w:sz w:val="22"/>
                <w:szCs w:val="22"/>
              </w:rPr>
            </w:pPr>
            <w:r>
              <w:rPr>
                <w:rFonts w:cs="Times New Roman"/>
                <w:bCs/>
                <w:sz w:val="22"/>
                <w:szCs w:val="22"/>
              </w:rPr>
              <w:fldChar w:fldCharType="begin">
                <w:ffData>
                  <w:name w:val="Text2"/>
                  <w:enabled/>
                  <w:calcOnExit w:val="0"/>
                  <w:textInput/>
                </w:ffData>
              </w:fldChar>
            </w:r>
            <w:bookmarkStart w:id="2" w:name="Text2"/>
            <w:r w:rsidR="00C54643">
              <w:rPr>
                <w:rFonts w:cs="Times New Roman"/>
                <w:bCs/>
                <w:sz w:val="22"/>
                <w:szCs w:val="22"/>
              </w:rPr>
              <w:instrText xml:space="preserve"> FORMTEXT </w:instrText>
            </w:r>
            <w:r>
              <w:rPr>
                <w:rFonts w:cs="Times New Roman"/>
                <w:bCs/>
                <w:sz w:val="22"/>
                <w:szCs w:val="22"/>
              </w:rPr>
            </w:r>
            <w:r>
              <w:rPr>
                <w:rFonts w:cs="Times New Roman"/>
                <w:bCs/>
                <w:sz w:val="22"/>
                <w:szCs w:val="22"/>
              </w:rPr>
              <w:fldChar w:fldCharType="separate"/>
            </w:r>
            <w:r w:rsidR="00A90DEE">
              <w:t>Land Commission</w:t>
            </w:r>
            <w:r>
              <w:rPr>
                <w:rFonts w:cs="Times New Roman"/>
                <w:bCs/>
                <w:sz w:val="22"/>
                <w:szCs w:val="22"/>
              </w:rPr>
              <w:fldChar w:fldCharType="end"/>
            </w:r>
            <w:bookmarkEnd w:id="2"/>
          </w:p>
        </w:tc>
      </w:tr>
      <w:tr w:rsidR="00132065" w:rsidRPr="00BF179A" w:rsidTr="00BB2676">
        <w:trPr>
          <w:trHeight w:val="375"/>
        </w:trPr>
        <w:tc>
          <w:tcPr>
            <w:tcW w:w="2880" w:type="dxa"/>
            <w:shd w:val="clear" w:color="auto" w:fill="E6E6E6"/>
          </w:tcPr>
          <w:p w:rsidR="00132065" w:rsidRPr="00BF179A" w:rsidRDefault="00132065" w:rsidP="006C1B11">
            <w:pPr>
              <w:rPr>
                <w:rFonts w:cs="Times New Roman"/>
                <w:b/>
                <w:sz w:val="22"/>
                <w:szCs w:val="22"/>
                <w:lang w:val="en-GB"/>
              </w:rPr>
            </w:pPr>
            <w:r w:rsidRPr="00BF179A">
              <w:rPr>
                <w:rFonts w:cs="Times New Roman"/>
                <w:b/>
                <w:sz w:val="22"/>
                <w:szCs w:val="22"/>
                <w:lang w:val="en-GB"/>
              </w:rPr>
              <w:t>Total Approved Budget</w:t>
            </w:r>
            <w:r w:rsidR="000A26AD" w:rsidRPr="00BF179A">
              <w:rPr>
                <w:rFonts w:cs="Times New Roman"/>
                <w:b/>
                <w:sz w:val="22"/>
                <w:szCs w:val="22"/>
                <w:lang w:val="en-GB"/>
              </w:rPr>
              <w:t> :</w:t>
            </w:r>
            <w:r w:rsidR="00BB2676" w:rsidRPr="00BF179A">
              <w:rPr>
                <w:rStyle w:val="FootnoteReference"/>
                <w:rFonts w:cs="Times New Roman"/>
                <w:b/>
                <w:sz w:val="22"/>
                <w:szCs w:val="22"/>
                <w:lang w:val="en-GB"/>
              </w:rPr>
              <w:footnoteReference w:id="2"/>
            </w:r>
          </w:p>
        </w:tc>
        <w:tc>
          <w:tcPr>
            <w:tcW w:w="7740" w:type="dxa"/>
            <w:gridSpan w:val="3"/>
            <w:shd w:val="clear" w:color="auto" w:fill="auto"/>
            <w:vAlign w:val="center"/>
          </w:tcPr>
          <w:p w:rsidR="00132065" w:rsidRPr="00BF179A" w:rsidRDefault="001E0E99" w:rsidP="003E2329">
            <w:pPr>
              <w:rPr>
                <w:rFonts w:cs="Times New Roman"/>
                <w:sz w:val="22"/>
                <w:szCs w:val="22"/>
                <w:lang w:val="en-GB"/>
              </w:rPr>
            </w:pPr>
            <w:r w:rsidRPr="00BF179A">
              <w:rPr>
                <w:rFonts w:cs="Times New Roman"/>
                <w:sz w:val="22"/>
                <w:szCs w:val="22"/>
                <w:lang w:val="en-GB"/>
              </w:rPr>
              <w:fldChar w:fldCharType="begin">
                <w:ffData>
                  <w:name w:val="Text4"/>
                  <w:enabled/>
                  <w:calcOnExit w:val="0"/>
                  <w:textInput>
                    <w:type w:val="number"/>
                  </w:textInput>
                </w:ffData>
              </w:fldChar>
            </w:r>
            <w:bookmarkStart w:id="3" w:name="Text4"/>
            <w:r w:rsidR="00C54643" w:rsidRPr="00BF179A">
              <w:rPr>
                <w:rFonts w:cs="Times New Roman"/>
                <w:sz w:val="22"/>
                <w:szCs w:val="22"/>
                <w:lang w:val="en-GB"/>
              </w:rPr>
              <w:instrText xml:space="preserve"> FORMTEXT </w:instrText>
            </w:r>
            <w:r w:rsidRPr="00BF179A">
              <w:rPr>
                <w:rFonts w:cs="Times New Roman"/>
                <w:sz w:val="22"/>
                <w:szCs w:val="22"/>
                <w:lang w:val="en-GB"/>
              </w:rPr>
            </w:r>
            <w:r w:rsidRPr="00BF179A">
              <w:rPr>
                <w:rFonts w:cs="Times New Roman"/>
                <w:sz w:val="22"/>
                <w:szCs w:val="22"/>
                <w:lang w:val="en-GB"/>
              </w:rPr>
              <w:fldChar w:fldCharType="separate"/>
            </w:r>
            <w:r w:rsidR="003E2329">
              <w:t>US$ 2 million</w:t>
            </w:r>
            <w:r w:rsidRPr="00BF179A">
              <w:rPr>
                <w:rFonts w:cs="Times New Roman"/>
                <w:sz w:val="22"/>
                <w:szCs w:val="22"/>
                <w:lang w:val="en-GB"/>
              </w:rPr>
              <w:fldChar w:fldCharType="end"/>
            </w:r>
            <w:bookmarkEnd w:id="3"/>
          </w:p>
        </w:tc>
      </w:tr>
      <w:tr w:rsidR="00E71AFA" w:rsidRPr="00132065" w:rsidTr="00BB2676">
        <w:trPr>
          <w:trHeight w:val="375"/>
        </w:trPr>
        <w:tc>
          <w:tcPr>
            <w:tcW w:w="2880" w:type="dxa"/>
            <w:shd w:val="clear" w:color="auto" w:fill="E6E6E6"/>
          </w:tcPr>
          <w:p w:rsidR="00E71AFA" w:rsidRPr="000A26AD" w:rsidRDefault="000A26AD" w:rsidP="000A26AD">
            <w:pPr>
              <w:rPr>
                <w:rFonts w:cs="Times New Roman"/>
                <w:b/>
                <w:sz w:val="22"/>
                <w:szCs w:val="22"/>
                <w:lang w:val="en-GB"/>
              </w:rPr>
            </w:pPr>
            <w:r w:rsidRPr="000A26AD">
              <w:rPr>
                <w:rFonts w:cs="Times New Roman"/>
                <w:b/>
                <w:sz w:val="22"/>
                <w:szCs w:val="22"/>
                <w:lang w:val="en-GB"/>
              </w:rPr>
              <w:t>Preliminary data on funds c</w:t>
            </w:r>
            <w:r w:rsidR="00132065" w:rsidRPr="000A26AD">
              <w:rPr>
                <w:rFonts w:cs="Times New Roman"/>
                <w:b/>
                <w:sz w:val="22"/>
                <w:szCs w:val="22"/>
                <w:lang w:val="en-GB"/>
              </w:rPr>
              <w:t>ommitted</w:t>
            </w:r>
            <w:r w:rsidRPr="000A26AD">
              <w:rPr>
                <w:rFonts w:cs="Times New Roman"/>
                <w:b/>
                <w:sz w:val="22"/>
                <w:szCs w:val="22"/>
                <w:lang w:val="en-GB"/>
              </w:rPr>
              <w:t xml:space="preserve"> : </w:t>
            </w:r>
            <w:r w:rsidR="00E71AFA" w:rsidRPr="00335D95">
              <w:rPr>
                <w:rStyle w:val="FootnoteReference"/>
                <w:rFonts w:cs="Times New Roman"/>
                <w:b/>
                <w:sz w:val="22"/>
                <w:szCs w:val="22"/>
              </w:rPr>
              <w:footnoteReference w:id="3"/>
            </w:r>
            <w:r w:rsidR="00E71AFA" w:rsidRPr="000A26AD">
              <w:rPr>
                <w:rFonts w:cs="Times New Roman"/>
                <w:b/>
                <w:sz w:val="22"/>
                <w:szCs w:val="22"/>
                <w:lang w:val="en-GB"/>
              </w:rPr>
              <w:t xml:space="preserve"> </w:t>
            </w:r>
          </w:p>
        </w:tc>
        <w:tc>
          <w:tcPr>
            <w:tcW w:w="2520" w:type="dxa"/>
            <w:shd w:val="clear" w:color="auto" w:fill="auto"/>
            <w:vAlign w:val="center"/>
          </w:tcPr>
          <w:p w:rsidR="00E71AFA" w:rsidRPr="000A26AD" w:rsidRDefault="001E0E99" w:rsidP="00A90DEE">
            <w:pPr>
              <w:rPr>
                <w:rFonts w:cs="Times New Roman"/>
                <w:sz w:val="22"/>
                <w:szCs w:val="22"/>
                <w:lang w:val="en-GB"/>
              </w:rPr>
            </w:pPr>
            <w:r>
              <w:rPr>
                <w:rFonts w:cs="Times New Roman"/>
                <w:sz w:val="22"/>
                <w:szCs w:val="22"/>
                <w:lang w:val="en-GB" w:eastAsia="ja-JP"/>
              </w:rPr>
              <w:fldChar w:fldCharType="begin">
                <w:ffData>
                  <w:name w:val="Text5"/>
                  <w:enabled/>
                  <w:calcOnExit w:val="0"/>
                  <w:textInput/>
                </w:ffData>
              </w:fldChar>
            </w:r>
            <w:bookmarkStart w:id="4" w:name="Text5"/>
            <w:r w:rsidR="00C54643">
              <w:rPr>
                <w:rFonts w:cs="Times New Roman"/>
                <w:sz w:val="22"/>
                <w:szCs w:val="22"/>
                <w:lang w:val="en-GB" w:eastAsia="ja-JP"/>
              </w:rPr>
              <w:instrText xml:space="preserve"> FORMTEXT </w:instrText>
            </w:r>
            <w:r>
              <w:rPr>
                <w:rFonts w:cs="Times New Roman"/>
                <w:sz w:val="22"/>
                <w:szCs w:val="22"/>
                <w:lang w:val="en-GB" w:eastAsia="ja-JP"/>
              </w:rPr>
            </w:r>
            <w:r>
              <w:rPr>
                <w:rFonts w:cs="Times New Roman"/>
                <w:sz w:val="22"/>
                <w:szCs w:val="22"/>
                <w:lang w:val="en-GB" w:eastAsia="ja-JP"/>
              </w:rPr>
              <w:fldChar w:fldCharType="separate"/>
            </w:r>
            <w:r w:rsidR="00A90DEE">
              <w:t xml:space="preserve">US$2 million  </w:t>
            </w:r>
            <w:r>
              <w:rPr>
                <w:rFonts w:cs="Times New Roman"/>
                <w:sz w:val="22"/>
                <w:szCs w:val="22"/>
                <w:lang w:val="en-GB" w:eastAsia="ja-JP"/>
              </w:rPr>
              <w:fldChar w:fldCharType="end"/>
            </w:r>
            <w:bookmarkEnd w:id="4"/>
          </w:p>
        </w:tc>
        <w:tc>
          <w:tcPr>
            <w:tcW w:w="2880" w:type="dxa"/>
            <w:shd w:val="pct15" w:color="auto" w:fill="auto"/>
            <w:vAlign w:val="center"/>
          </w:tcPr>
          <w:p w:rsidR="00E71AFA" w:rsidRPr="00C531CB" w:rsidRDefault="00E71AFA" w:rsidP="00132065">
            <w:pPr>
              <w:rPr>
                <w:rFonts w:cs="Times New Roman"/>
                <w:b/>
                <w:sz w:val="22"/>
                <w:szCs w:val="22"/>
              </w:rPr>
            </w:pPr>
            <w:r w:rsidRPr="00C531CB">
              <w:rPr>
                <w:rFonts w:cs="Times New Roman"/>
                <w:b/>
                <w:sz w:val="22"/>
                <w:szCs w:val="22"/>
              </w:rPr>
              <w:t xml:space="preserve">% </w:t>
            </w:r>
            <w:r w:rsidR="00132065" w:rsidRPr="00C531CB">
              <w:rPr>
                <w:rFonts w:cs="Times New Roman"/>
                <w:b/>
                <w:sz w:val="22"/>
                <w:szCs w:val="22"/>
              </w:rPr>
              <w:t xml:space="preserve">of funds committed </w:t>
            </w:r>
            <w:r w:rsidRPr="00C531CB">
              <w:rPr>
                <w:rFonts w:cs="Times New Roman"/>
                <w:b/>
                <w:sz w:val="22"/>
                <w:szCs w:val="22"/>
              </w:rPr>
              <w:t xml:space="preserve"> / </w:t>
            </w:r>
            <w:r w:rsidR="00132065" w:rsidRPr="00C531CB">
              <w:rPr>
                <w:rFonts w:cs="Times New Roman"/>
                <w:b/>
                <w:sz w:val="22"/>
                <w:szCs w:val="22"/>
              </w:rPr>
              <w:t xml:space="preserve">total approved </w:t>
            </w:r>
            <w:r w:rsidRPr="00C531CB">
              <w:rPr>
                <w:rFonts w:cs="Times New Roman"/>
                <w:b/>
                <w:sz w:val="22"/>
                <w:szCs w:val="22"/>
              </w:rPr>
              <w:t>budget:</w:t>
            </w:r>
          </w:p>
        </w:tc>
        <w:tc>
          <w:tcPr>
            <w:tcW w:w="2340" w:type="dxa"/>
            <w:shd w:val="clear" w:color="auto" w:fill="auto"/>
            <w:vAlign w:val="center"/>
          </w:tcPr>
          <w:p w:rsidR="00E71AFA" w:rsidRPr="00132065" w:rsidRDefault="001E0E99" w:rsidP="005C64EA">
            <w:pPr>
              <w:rPr>
                <w:rFonts w:cs="Times New Roman"/>
                <w:sz w:val="22"/>
                <w:szCs w:val="22"/>
              </w:rPr>
            </w:pPr>
            <w:r>
              <w:rPr>
                <w:rFonts w:cs="Times New Roman"/>
                <w:sz w:val="22"/>
                <w:szCs w:val="22"/>
                <w:lang w:val="fr-FR" w:eastAsia="ja-JP"/>
              </w:rPr>
              <w:fldChar w:fldCharType="begin">
                <w:ffData>
                  <w:name w:val=""/>
                  <w:enabled/>
                  <w:calcOnExit w:val="0"/>
                  <w:textInput/>
                </w:ffData>
              </w:fldChar>
            </w:r>
            <w:r w:rsidR="00C54643">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5C64EA">
              <w:t>100</w:t>
            </w:r>
            <w:r w:rsidR="008C24E7">
              <w:t>%</w:t>
            </w:r>
            <w:r>
              <w:rPr>
                <w:rFonts w:cs="Times New Roman"/>
                <w:sz w:val="22"/>
                <w:szCs w:val="22"/>
                <w:lang w:val="fr-FR" w:eastAsia="ja-JP"/>
              </w:rPr>
              <w:fldChar w:fldCharType="end"/>
            </w:r>
          </w:p>
        </w:tc>
      </w:tr>
      <w:tr w:rsidR="00E71AFA" w:rsidRPr="00132065" w:rsidTr="00BB2676">
        <w:trPr>
          <w:trHeight w:val="375"/>
        </w:trPr>
        <w:tc>
          <w:tcPr>
            <w:tcW w:w="2880" w:type="dxa"/>
            <w:shd w:val="clear" w:color="auto" w:fill="E6E6E6"/>
          </w:tcPr>
          <w:p w:rsidR="00E71AFA" w:rsidRPr="00335D95" w:rsidRDefault="00132065" w:rsidP="00132065">
            <w:pPr>
              <w:rPr>
                <w:rFonts w:cs="Times New Roman"/>
                <w:b/>
                <w:sz w:val="22"/>
                <w:szCs w:val="22"/>
                <w:lang w:val="fr-FR"/>
              </w:rPr>
            </w:pPr>
            <w:r w:rsidRPr="00335D95">
              <w:rPr>
                <w:rFonts w:cs="Times New Roman"/>
                <w:b/>
                <w:sz w:val="22"/>
                <w:szCs w:val="22"/>
                <w:lang w:val="fr-FR"/>
              </w:rPr>
              <w:t>Expenditure</w:t>
            </w:r>
            <w:r w:rsidR="00E71AFA" w:rsidRPr="00335D95">
              <w:rPr>
                <w:rStyle w:val="FootnoteReference"/>
                <w:rFonts w:cs="Times New Roman"/>
                <w:b/>
                <w:sz w:val="22"/>
                <w:szCs w:val="22"/>
              </w:rPr>
              <w:footnoteReference w:id="4"/>
            </w:r>
            <w:r w:rsidR="00E71AFA" w:rsidRPr="00335D95">
              <w:rPr>
                <w:rFonts w:cs="Times New Roman"/>
                <w:b/>
                <w:sz w:val="22"/>
                <w:szCs w:val="22"/>
                <w:lang w:val="fr-FR"/>
              </w:rPr>
              <w:t>:</w:t>
            </w:r>
          </w:p>
        </w:tc>
        <w:tc>
          <w:tcPr>
            <w:tcW w:w="2520" w:type="dxa"/>
            <w:shd w:val="clear" w:color="auto" w:fill="auto"/>
            <w:vAlign w:val="center"/>
          </w:tcPr>
          <w:p w:rsidR="00E71AFA" w:rsidRPr="00E71AFA" w:rsidRDefault="001E0E99" w:rsidP="003E2329">
            <w:pPr>
              <w:rPr>
                <w:rFonts w:cs="Times New Roman"/>
                <w:sz w:val="22"/>
                <w:szCs w:val="22"/>
                <w:lang w:val="fr-FR" w:eastAsia="ja-JP"/>
              </w:rPr>
            </w:pPr>
            <w:r>
              <w:rPr>
                <w:rFonts w:cs="Times New Roman"/>
                <w:sz w:val="22"/>
                <w:szCs w:val="22"/>
                <w:lang w:val="fr-FR" w:eastAsia="ja-JP"/>
              </w:rPr>
              <w:fldChar w:fldCharType="begin">
                <w:ffData>
                  <w:name w:val="Text6"/>
                  <w:enabled/>
                  <w:calcOnExit w:val="0"/>
                  <w:textInput/>
                </w:ffData>
              </w:fldChar>
            </w:r>
            <w:bookmarkStart w:id="5" w:name="Text6"/>
            <w:r w:rsidR="00C54643">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2E331C">
              <w:t>US$</w:t>
            </w:r>
            <w:r w:rsidR="003E2329">
              <w:t>1,662,000</w:t>
            </w:r>
            <w:r>
              <w:rPr>
                <w:rFonts w:cs="Times New Roman"/>
                <w:sz w:val="22"/>
                <w:szCs w:val="22"/>
                <w:lang w:val="fr-FR" w:eastAsia="ja-JP"/>
              </w:rPr>
              <w:fldChar w:fldCharType="end"/>
            </w:r>
            <w:bookmarkEnd w:id="5"/>
          </w:p>
        </w:tc>
        <w:tc>
          <w:tcPr>
            <w:tcW w:w="2880" w:type="dxa"/>
            <w:tcBorders>
              <w:bottom w:val="single" w:sz="4" w:space="0" w:color="auto"/>
            </w:tcBorders>
            <w:shd w:val="pct15" w:color="auto" w:fill="auto"/>
            <w:vAlign w:val="center"/>
          </w:tcPr>
          <w:p w:rsidR="00E71AFA" w:rsidRPr="00C531CB" w:rsidRDefault="00E71AFA" w:rsidP="00132065">
            <w:pPr>
              <w:rPr>
                <w:rFonts w:cs="Times New Roman"/>
                <w:sz w:val="22"/>
                <w:szCs w:val="22"/>
              </w:rPr>
            </w:pPr>
            <w:r w:rsidRPr="00C531CB">
              <w:rPr>
                <w:rFonts w:cs="Times New Roman"/>
                <w:b/>
                <w:sz w:val="22"/>
                <w:szCs w:val="22"/>
              </w:rPr>
              <w:t xml:space="preserve">% </w:t>
            </w:r>
            <w:r w:rsidR="00132065" w:rsidRPr="00C531CB">
              <w:rPr>
                <w:rFonts w:cs="Times New Roman"/>
                <w:b/>
                <w:sz w:val="22"/>
                <w:szCs w:val="22"/>
              </w:rPr>
              <w:t xml:space="preserve">of expenditure </w:t>
            </w:r>
            <w:r w:rsidRPr="00C531CB">
              <w:rPr>
                <w:rFonts w:cs="Times New Roman"/>
                <w:b/>
                <w:sz w:val="22"/>
                <w:szCs w:val="22"/>
              </w:rPr>
              <w:t xml:space="preserve">/ </w:t>
            </w:r>
            <w:r w:rsidR="00132065" w:rsidRPr="00C531CB">
              <w:rPr>
                <w:rFonts w:cs="Times New Roman"/>
                <w:b/>
                <w:sz w:val="22"/>
                <w:szCs w:val="22"/>
              </w:rPr>
              <w:t xml:space="preserve">total </w:t>
            </w:r>
            <w:r w:rsidRPr="00C531CB">
              <w:rPr>
                <w:rFonts w:cs="Times New Roman"/>
                <w:b/>
                <w:sz w:val="22"/>
                <w:szCs w:val="22"/>
              </w:rPr>
              <w:t>budget:</w:t>
            </w:r>
            <w:r w:rsidR="00D45676" w:rsidRPr="00C531CB">
              <w:rPr>
                <w:rFonts w:cs="Times New Roman"/>
                <w:b/>
                <w:sz w:val="22"/>
                <w:szCs w:val="22"/>
              </w:rPr>
              <w:t xml:space="preserve"> (Delivery rate)</w:t>
            </w:r>
          </w:p>
        </w:tc>
        <w:tc>
          <w:tcPr>
            <w:tcW w:w="2340" w:type="dxa"/>
            <w:shd w:val="clear" w:color="auto" w:fill="auto"/>
            <w:vAlign w:val="center"/>
          </w:tcPr>
          <w:p w:rsidR="00E71AFA" w:rsidRPr="00132065" w:rsidRDefault="001E0E99" w:rsidP="003E2329">
            <w:pPr>
              <w:rPr>
                <w:rFonts w:cs="Times New Roman"/>
                <w:sz w:val="22"/>
                <w:szCs w:val="22"/>
                <w:lang w:eastAsia="ja-JP"/>
              </w:rPr>
            </w:pPr>
            <w:r>
              <w:rPr>
                <w:rFonts w:cs="Times New Roman"/>
                <w:sz w:val="22"/>
                <w:szCs w:val="22"/>
                <w:lang w:val="fr-FR" w:eastAsia="ja-JP"/>
              </w:rPr>
              <w:fldChar w:fldCharType="begin">
                <w:ffData>
                  <w:name w:val=""/>
                  <w:enabled/>
                  <w:calcOnExit w:val="0"/>
                  <w:textInput/>
                </w:ffData>
              </w:fldChar>
            </w:r>
            <w:r w:rsidR="00C54643">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3E2329">
              <w:t>83.1%</w:t>
            </w:r>
            <w:r>
              <w:rPr>
                <w:rFonts w:cs="Times New Roman"/>
                <w:sz w:val="22"/>
                <w:szCs w:val="22"/>
                <w:lang w:val="fr-FR" w:eastAsia="ja-JP"/>
              </w:rPr>
              <w:fldChar w:fldCharType="end"/>
            </w:r>
          </w:p>
        </w:tc>
      </w:tr>
      <w:tr w:rsidR="00937667" w:rsidRPr="00FF0380" w:rsidTr="00BB2676">
        <w:trPr>
          <w:trHeight w:val="420"/>
        </w:trPr>
        <w:tc>
          <w:tcPr>
            <w:tcW w:w="2880" w:type="dxa"/>
            <w:shd w:val="clear" w:color="auto" w:fill="E6E6E6"/>
            <w:vAlign w:val="center"/>
          </w:tcPr>
          <w:p w:rsidR="00937667" w:rsidRDefault="00132065" w:rsidP="00870590">
            <w:pPr>
              <w:rPr>
                <w:rFonts w:cs="Times New Roman"/>
                <w:b/>
                <w:sz w:val="22"/>
                <w:szCs w:val="22"/>
              </w:rPr>
            </w:pPr>
            <w:r>
              <w:rPr>
                <w:rFonts w:cs="Times New Roman"/>
                <w:b/>
                <w:sz w:val="22"/>
                <w:szCs w:val="22"/>
              </w:rPr>
              <w:t xml:space="preserve">Project </w:t>
            </w:r>
            <w:r w:rsidR="00937667" w:rsidRPr="00FF0380">
              <w:rPr>
                <w:rFonts w:cs="Times New Roman"/>
                <w:b/>
                <w:sz w:val="22"/>
                <w:szCs w:val="22"/>
              </w:rPr>
              <w:t>Approval Date:</w:t>
            </w:r>
          </w:p>
          <w:p w:rsidR="00937667" w:rsidRPr="00FF0380" w:rsidRDefault="00937667" w:rsidP="00870590">
            <w:pPr>
              <w:rPr>
                <w:rFonts w:cs="Times New Roman"/>
                <w:b/>
                <w:sz w:val="22"/>
                <w:szCs w:val="22"/>
              </w:rPr>
            </w:pPr>
          </w:p>
        </w:tc>
        <w:tc>
          <w:tcPr>
            <w:tcW w:w="2520" w:type="dxa"/>
            <w:shd w:val="clear" w:color="auto" w:fill="auto"/>
            <w:vAlign w:val="center"/>
          </w:tcPr>
          <w:p w:rsidR="00937667" w:rsidRDefault="001E0E99" w:rsidP="00A90DEE">
            <w:pPr>
              <w:rPr>
                <w:rFonts w:cs="Times New Roman"/>
                <w:b/>
                <w:sz w:val="22"/>
                <w:szCs w:val="22"/>
              </w:rPr>
            </w:pPr>
            <w:r>
              <w:rPr>
                <w:rFonts w:cs="Times New Roman"/>
                <w:sz w:val="22"/>
                <w:szCs w:val="22"/>
                <w:lang w:val="fr-FR" w:eastAsia="ja-JP"/>
              </w:rPr>
              <w:fldChar w:fldCharType="begin">
                <w:ffData>
                  <w:name w:val=""/>
                  <w:enabled/>
                  <w:calcOnExit w:val="0"/>
                  <w:textInput>
                    <w:type w:val="date"/>
                  </w:textInput>
                </w:ffData>
              </w:fldChar>
            </w:r>
            <w:r w:rsidR="00C54643">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A90DEE">
              <w:t>30 October 2013</w:t>
            </w:r>
            <w:r>
              <w:rPr>
                <w:rFonts w:cs="Times New Roman"/>
                <w:sz w:val="22"/>
                <w:szCs w:val="22"/>
                <w:lang w:val="fr-FR" w:eastAsia="ja-JP"/>
              </w:rPr>
              <w:fldChar w:fldCharType="end"/>
            </w:r>
          </w:p>
        </w:tc>
        <w:tc>
          <w:tcPr>
            <w:tcW w:w="2880" w:type="dxa"/>
            <w:vMerge w:val="restart"/>
            <w:shd w:val="pct15" w:color="auto" w:fill="auto"/>
            <w:vAlign w:val="center"/>
          </w:tcPr>
          <w:p w:rsidR="00937667" w:rsidRPr="00132065" w:rsidRDefault="00937667" w:rsidP="008E7AB9">
            <w:pPr>
              <w:jc w:val="center"/>
              <w:rPr>
                <w:rFonts w:cs="Times New Roman"/>
                <w:b/>
                <w:bCs/>
                <w:sz w:val="22"/>
                <w:szCs w:val="22"/>
              </w:rPr>
            </w:pPr>
            <w:r w:rsidRPr="00132065">
              <w:rPr>
                <w:rFonts w:cs="Times New Roman"/>
                <w:b/>
                <w:bCs/>
                <w:sz w:val="22"/>
                <w:szCs w:val="22"/>
              </w:rPr>
              <w:t>Possible delay in operational closure date (Number of months)</w:t>
            </w:r>
          </w:p>
        </w:tc>
        <w:tc>
          <w:tcPr>
            <w:tcW w:w="2340" w:type="dxa"/>
            <w:vMerge w:val="restart"/>
            <w:shd w:val="clear" w:color="auto" w:fill="auto"/>
            <w:vAlign w:val="center"/>
          </w:tcPr>
          <w:p w:rsidR="00A90DEE" w:rsidRDefault="001E0E99" w:rsidP="00A90DEE">
            <w:r>
              <w:rPr>
                <w:rFonts w:cs="Times New Roman"/>
                <w:sz w:val="22"/>
                <w:szCs w:val="22"/>
                <w:lang w:val="fr-FR" w:eastAsia="ja-JP"/>
              </w:rPr>
              <w:fldChar w:fldCharType="begin">
                <w:ffData>
                  <w:name w:val=""/>
                  <w:enabled/>
                  <w:calcOnExit w:val="0"/>
                  <w:textInput/>
                </w:ffData>
              </w:fldChar>
            </w:r>
            <w:r w:rsidR="00C54643">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A90DEE">
              <w:t>Not anticipated at this time</w:t>
            </w:r>
          </w:p>
          <w:p w:rsidR="00937667" w:rsidRPr="00FF0380" w:rsidRDefault="001E0E99" w:rsidP="00A90DEE">
            <w:pPr>
              <w:rPr>
                <w:rFonts w:cs="Times New Roman"/>
                <w:bCs/>
                <w:sz w:val="22"/>
                <w:szCs w:val="22"/>
              </w:rPr>
            </w:pPr>
            <w:r>
              <w:rPr>
                <w:rFonts w:cs="Times New Roman"/>
                <w:sz w:val="22"/>
                <w:szCs w:val="22"/>
                <w:lang w:val="fr-FR" w:eastAsia="ja-JP"/>
              </w:rPr>
              <w:fldChar w:fldCharType="end"/>
            </w:r>
          </w:p>
        </w:tc>
      </w:tr>
      <w:tr w:rsidR="00937667" w:rsidRPr="00FF0380" w:rsidTr="00BB2676">
        <w:trPr>
          <w:trHeight w:val="420"/>
        </w:trPr>
        <w:tc>
          <w:tcPr>
            <w:tcW w:w="2880" w:type="dxa"/>
            <w:shd w:val="clear" w:color="auto" w:fill="E6E6E6"/>
            <w:vAlign w:val="center"/>
          </w:tcPr>
          <w:p w:rsidR="00937667" w:rsidRDefault="00132065" w:rsidP="00937667">
            <w:pPr>
              <w:rPr>
                <w:rFonts w:cs="Times New Roman"/>
                <w:b/>
                <w:sz w:val="22"/>
                <w:szCs w:val="22"/>
              </w:rPr>
            </w:pPr>
            <w:r>
              <w:rPr>
                <w:rFonts w:cs="Times New Roman"/>
                <w:b/>
                <w:sz w:val="22"/>
                <w:szCs w:val="22"/>
              </w:rPr>
              <w:t xml:space="preserve">Project </w:t>
            </w:r>
            <w:r w:rsidR="00937667">
              <w:rPr>
                <w:rFonts w:cs="Times New Roman"/>
                <w:b/>
                <w:sz w:val="22"/>
                <w:szCs w:val="22"/>
              </w:rPr>
              <w:t>Start Date:</w:t>
            </w:r>
          </w:p>
          <w:p w:rsidR="00937667" w:rsidRPr="00FF0380" w:rsidRDefault="00937667" w:rsidP="00870590">
            <w:pPr>
              <w:rPr>
                <w:rFonts w:cs="Times New Roman"/>
                <w:b/>
                <w:sz w:val="22"/>
                <w:szCs w:val="22"/>
              </w:rPr>
            </w:pPr>
          </w:p>
        </w:tc>
        <w:tc>
          <w:tcPr>
            <w:tcW w:w="2520" w:type="dxa"/>
            <w:shd w:val="clear" w:color="auto" w:fill="auto"/>
            <w:vAlign w:val="center"/>
          </w:tcPr>
          <w:p w:rsidR="00937667" w:rsidRDefault="001E0E99" w:rsidP="00A90DEE">
            <w:pPr>
              <w:rPr>
                <w:rFonts w:cs="Times New Roman"/>
                <w:b/>
                <w:sz w:val="22"/>
                <w:szCs w:val="22"/>
              </w:rPr>
            </w:pPr>
            <w:r>
              <w:rPr>
                <w:rFonts w:cs="Times New Roman"/>
                <w:sz w:val="22"/>
                <w:szCs w:val="22"/>
                <w:lang w:val="fr-FR" w:eastAsia="ja-JP"/>
              </w:rPr>
              <w:fldChar w:fldCharType="begin">
                <w:ffData>
                  <w:name w:val=""/>
                  <w:enabled/>
                  <w:calcOnExit w:val="0"/>
                  <w:textInput>
                    <w:type w:val="date"/>
                  </w:textInput>
                </w:ffData>
              </w:fldChar>
            </w:r>
            <w:r w:rsidR="00C54643">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A90DEE">
              <w:t>30 October 2013</w:t>
            </w:r>
            <w:r>
              <w:rPr>
                <w:rFonts w:cs="Times New Roman"/>
                <w:sz w:val="22"/>
                <w:szCs w:val="22"/>
                <w:lang w:val="fr-FR" w:eastAsia="ja-JP"/>
              </w:rPr>
              <w:fldChar w:fldCharType="end"/>
            </w:r>
          </w:p>
        </w:tc>
        <w:tc>
          <w:tcPr>
            <w:tcW w:w="2880" w:type="dxa"/>
            <w:vMerge/>
            <w:shd w:val="pct15" w:color="auto" w:fill="auto"/>
            <w:vAlign w:val="center"/>
          </w:tcPr>
          <w:p w:rsidR="00937667" w:rsidRDefault="00937667" w:rsidP="008E7AB9">
            <w:pPr>
              <w:jc w:val="center"/>
              <w:rPr>
                <w:rFonts w:cs="Times New Roman"/>
                <w:bCs/>
                <w:sz w:val="22"/>
                <w:szCs w:val="22"/>
              </w:rPr>
            </w:pPr>
          </w:p>
        </w:tc>
        <w:tc>
          <w:tcPr>
            <w:tcW w:w="2340" w:type="dxa"/>
            <w:vMerge/>
            <w:shd w:val="clear" w:color="auto" w:fill="auto"/>
            <w:vAlign w:val="center"/>
          </w:tcPr>
          <w:p w:rsidR="00937667" w:rsidRPr="00FF0380" w:rsidRDefault="00937667" w:rsidP="008E7AB9">
            <w:pPr>
              <w:jc w:val="center"/>
              <w:rPr>
                <w:rFonts w:cs="Times New Roman"/>
                <w:bCs/>
                <w:sz w:val="22"/>
                <w:szCs w:val="22"/>
              </w:rPr>
            </w:pPr>
          </w:p>
        </w:tc>
      </w:tr>
      <w:tr w:rsidR="00937667" w:rsidRPr="00FF0380" w:rsidTr="00BB2676">
        <w:trPr>
          <w:trHeight w:val="420"/>
        </w:trPr>
        <w:tc>
          <w:tcPr>
            <w:tcW w:w="2880" w:type="dxa"/>
            <w:tcBorders>
              <w:bottom w:val="single" w:sz="4" w:space="0" w:color="auto"/>
            </w:tcBorders>
            <w:shd w:val="clear" w:color="auto" w:fill="E6E6E6"/>
            <w:vAlign w:val="center"/>
          </w:tcPr>
          <w:p w:rsidR="00937667" w:rsidRPr="00FF0380" w:rsidRDefault="00937667" w:rsidP="00870590">
            <w:pPr>
              <w:rPr>
                <w:rFonts w:cs="Times New Roman"/>
                <w:b/>
                <w:sz w:val="22"/>
                <w:szCs w:val="22"/>
              </w:rPr>
            </w:pPr>
            <w:r>
              <w:rPr>
                <w:rFonts w:cs="Times New Roman"/>
                <w:b/>
                <w:sz w:val="22"/>
                <w:szCs w:val="22"/>
              </w:rPr>
              <w:t>Expected Operational</w:t>
            </w:r>
            <w:r w:rsidR="00132065">
              <w:rPr>
                <w:rFonts w:cs="Times New Roman"/>
                <w:b/>
                <w:sz w:val="22"/>
                <w:szCs w:val="22"/>
              </w:rPr>
              <w:t xml:space="preserve"> Project </w:t>
            </w:r>
            <w:r>
              <w:rPr>
                <w:rFonts w:cs="Times New Roman"/>
                <w:b/>
                <w:sz w:val="22"/>
                <w:szCs w:val="22"/>
              </w:rPr>
              <w:t xml:space="preserve"> Closure Date:</w:t>
            </w:r>
          </w:p>
        </w:tc>
        <w:tc>
          <w:tcPr>
            <w:tcW w:w="2520" w:type="dxa"/>
            <w:shd w:val="clear" w:color="auto" w:fill="auto"/>
            <w:vAlign w:val="center"/>
          </w:tcPr>
          <w:p w:rsidR="00937667" w:rsidRDefault="001E0E99" w:rsidP="00A90DEE">
            <w:pPr>
              <w:rPr>
                <w:rFonts w:cs="Times New Roman"/>
                <w:b/>
                <w:sz w:val="22"/>
                <w:szCs w:val="22"/>
              </w:rPr>
            </w:pPr>
            <w:r>
              <w:rPr>
                <w:rFonts w:cs="Times New Roman"/>
                <w:sz w:val="22"/>
                <w:szCs w:val="22"/>
                <w:lang w:val="fr-FR" w:eastAsia="ja-JP"/>
              </w:rPr>
              <w:fldChar w:fldCharType="begin">
                <w:ffData>
                  <w:name w:val=""/>
                  <w:enabled/>
                  <w:calcOnExit w:val="0"/>
                  <w:textInput>
                    <w:type w:val="date"/>
                  </w:textInput>
                </w:ffData>
              </w:fldChar>
            </w:r>
            <w:r w:rsidR="00C54643">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A90DEE">
              <w:t>30 June 2015</w:t>
            </w:r>
            <w:r>
              <w:rPr>
                <w:rFonts w:cs="Times New Roman"/>
                <w:sz w:val="22"/>
                <w:szCs w:val="22"/>
                <w:lang w:val="fr-FR" w:eastAsia="ja-JP"/>
              </w:rPr>
              <w:fldChar w:fldCharType="end"/>
            </w:r>
          </w:p>
        </w:tc>
        <w:tc>
          <w:tcPr>
            <w:tcW w:w="2880" w:type="dxa"/>
            <w:vMerge/>
            <w:shd w:val="pct15" w:color="auto" w:fill="auto"/>
            <w:vAlign w:val="center"/>
          </w:tcPr>
          <w:p w:rsidR="00937667" w:rsidRDefault="00937667" w:rsidP="008E7AB9">
            <w:pPr>
              <w:jc w:val="center"/>
              <w:rPr>
                <w:rFonts w:cs="Times New Roman"/>
                <w:bCs/>
                <w:sz w:val="22"/>
                <w:szCs w:val="22"/>
              </w:rPr>
            </w:pPr>
          </w:p>
        </w:tc>
        <w:tc>
          <w:tcPr>
            <w:tcW w:w="2340" w:type="dxa"/>
            <w:vMerge/>
            <w:shd w:val="clear" w:color="auto" w:fill="auto"/>
            <w:vAlign w:val="center"/>
          </w:tcPr>
          <w:p w:rsidR="00937667" w:rsidRPr="00FF0380" w:rsidRDefault="00937667" w:rsidP="008E7AB9">
            <w:pPr>
              <w:jc w:val="center"/>
              <w:rPr>
                <w:rFonts w:cs="Times New Roman"/>
                <w:bCs/>
                <w:sz w:val="22"/>
                <w:szCs w:val="22"/>
              </w:rPr>
            </w:pPr>
          </w:p>
        </w:tc>
      </w:tr>
      <w:tr w:rsidR="00F05D7B" w:rsidRPr="00FF0380" w:rsidTr="00BB2676">
        <w:trPr>
          <w:trHeight w:val="778"/>
        </w:trPr>
        <w:tc>
          <w:tcPr>
            <w:tcW w:w="2880" w:type="dxa"/>
            <w:shd w:val="clear" w:color="auto" w:fill="E6E6E6"/>
            <w:vAlign w:val="center"/>
          </w:tcPr>
          <w:p w:rsidR="00F05D7B" w:rsidRPr="00FF0380" w:rsidRDefault="00F05D7B" w:rsidP="00870590">
            <w:pPr>
              <w:rPr>
                <w:rFonts w:cs="Times New Roman"/>
                <w:b/>
                <w:sz w:val="22"/>
                <w:szCs w:val="22"/>
              </w:rPr>
            </w:pPr>
            <w:r>
              <w:rPr>
                <w:rFonts w:cs="Times New Roman"/>
                <w:b/>
                <w:sz w:val="22"/>
                <w:szCs w:val="22"/>
              </w:rPr>
              <w:t>Project Outcomes:</w:t>
            </w:r>
          </w:p>
        </w:tc>
        <w:tc>
          <w:tcPr>
            <w:tcW w:w="7740" w:type="dxa"/>
            <w:gridSpan w:val="3"/>
            <w:shd w:val="clear" w:color="auto" w:fill="auto"/>
            <w:vAlign w:val="center"/>
          </w:tcPr>
          <w:p w:rsidR="00A90DEE" w:rsidRDefault="001E0E99" w:rsidP="00A90DEE">
            <w:r>
              <w:rPr>
                <w:rFonts w:cs="Times New Roman"/>
                <w:sz w:val="22"/>
                <w:szCs w:val="22"/>
                <w:lang w:val="fr-FR" w:eastAsia="ja-JP"/>
              </w:rPr>
              <w:fldChar w:fldCharType="begin">
                <w:ffData>
                  <w:name w:val=""/>
                  <w:enabled/>
                  <w:calcOnExit w:val="0"/>
                  <w:textInput/>
                </w:ffData>
              </w:fldChar>
            </w:r>
            <w:r w:rsidR="00C54643">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A90DEE">
              <w:t xml:space="preserve">1. </w:t>
            </w:r>
            <w:r w:rsidR="00A90DEE" w:rsidRPr="00A90DEE">
              <w:t>Alternative land dispute resolution system fully operational and managed by a new national Land Agency</w:t>
            </w:r>
            <w:r w:rsidR="00A90DEE">
              <w:t>.</w:t>
            </w:r>
          </w:p>
          <w:p w:rsidR="00A90DEE" w:rsidRDefault="00A90DEE" w:rsidP="00A90DEE">
            <w:r>
              <w:t xml:space="preserve">2. </w:t>
            </w:r>
            <w:r w:rsidRPr="00A90DEE">
              <w:t>Overlaps eliminated and synergies established with the Justice and Security Hubs</w:t>
            </w:r>
          </w:p>
          <w:p w:rsidR="00A90DEE" w:rsidRDefault="00A90DEE" w:rsidP="00A90DEE">
            <w:r>
              <w:t xml:space="preserve">3. </w:t>
            </w:r>
            <w:r w:rsidRPr="00A90DEE">
              <w:t>Policies and transition strategy established for alternative dispute resolution</w:t>
            </w:r>
          </w:p>
          <w:p w:rsidR="00A90DEE" w:rsidRDefault="00A90DEE" w:rsidP="00A90DEE">
            <w:r>
              <w:lastRenderedPageBreak/>
              <w:t xml:space="preserve">4. </w:t>
            </w:r>
            <w:r w:rsidRPr="00A90DEE">
              <w:t>Improved land administration capacity for Land Commission/New Agency</w:t>
            </w:r>
          </w:p>
          <w:p w:rsidR="00F05D7B" w:rsidRDefault="00A90DEE" w:rsidP="00A90DEE">
            <w:pPr>
              <w:rPr>
                <w:rFonts w:cs="Times New Roman"/>
                <w:bCs/>
                <w:sz w:val="22"/>
                <w:szCs w:val="22"/>
              </w:rPr>
            </w:pPr>
            <w:r>
              <w:t>5. Improved understanding of urban disputes, and their effects on women, as well as the displaced, for Land Commission/New Agency</w:t>
            </w:r>
            <w:r w:rsidR="001E0E99">
              <w:rPr>
                <w:rFonts w:cs="Times New Roman"/>
                <w:sz w:val="22"/>
                <w:szCs w:val="22"/>
                <w:lang w:val="fr-FR" w:eastAsia="ja-JP"/>
              </w:rPr>
              <w:fldChar w:fldCharType="end"/>
            </w:r>
          </w:p>
        </w:tc>
      </w:tr>
      <w:tr w:rsidR="00E71AFA" w:rsidRPr="00FF0380" w:rsidTr="00BB2676">
        <w:trPr>
          <w:trHeight w:val="778"/>
        </w:trPr>
        <w:tc>
          <w:tcPr>
            <w:tcW w:w="2880" w:type="dxa"/>
            <w:shd w:val="clear" w:color="auto" w:fill="E6E6E6"/>
            <w:vAlign w:val="center"/>
          </w:tcPr>
          <w:p w:rsidR="00E71AFA" w:rsidRDefault="00E71AFA" w:rsidP="00CC0EED">
            <w:pPr>
              <w:rPr>
                <w:rFonts w:cs="Times New Roman"/>
                <w:b/>
                <w:sz w:val="22"/>
                <w:szCs w:val="22"/>
              </w:rPr>
            </w:pPr>
            <w:r w:rsidRPr="00FF0380">
              <w:rPr>
                <w:rFonts w:cs="Times New Roman"/>
                <w:b/>
                <w:sz w:val="22"/>
                <w:szCs w:val="22"/>
              </w:rPr>
              <w:lastRenderedPageBreak/>
              <w:t xml:space="preserve">PBF </w:t>
            </w:r>
            <w:r w:rsidR="00CC0EED">
              <w:rPr>
                <w:rFonts w:cs="Times New Roman"/>
                <w:b/>
                <w:sz w:val="22"/>
                <w:szCs w:val="22"/>
              </w:rPr>
              <w:t>Focus</w:t>
            </w:r>
            <w:r w:rsidR="00CC0EED" w:rsidRPr="00FF0380">
              <w:rPr>
                <w:rFonts w:cs="Times New Roman"/>
                <w:b/>
                <w:sz w:val="22"/>
                <w:szCs w:val="22"/>
              </w:rPr>
              <w:t xml:space="preserve"> </w:t>
            </w:r>
            <w:r>
              <w:rPr>
                <w:rFonts w:cs="Times New Roman"/>
                <w:b/>
                <w:sz w:val="22"/>
                <w:szCs w:val="22"/>
              </w:rPr>
              <w:t>A</w:t>
            </w:r>
            <w:r w:rsidRPr="00FF0380">
              <w:rPr>
                <w:rFonts w:cs="Times New Roman"/>
                <w:b/>
                <w:sz w:val="22"/>
                <w:szCs w:val="22"/>
              </w:rPr>
              <w:t>rea</w:t>
            </w:r>
            <w:r w:rsidR="00190A73">
              <w:rPr>
                <w:rStyle w:val="FootnoteReference"/>
                <w:rFonts w:cs="Times New Roman"/>
                <w:b/>
                <w:sz w:val="22"/>
                <w:szCs w:val="22"/>
              </w:rPr>
              <w:footnoteReference w:id="5"/>
            </w:r>
          </w:p>
          <w:p w:rsidR="00C54643" w:rsidRPr="00C54643" w:rsidRDefault="00C54643" w:rsidP="00CC0EED">
            <w:pPr>
              <w:rPr>
                <w:rFonts w:cs="Times New Roman"/>
                <w:sz w:val="22"/>
                <w:szCs w:val="22"/>
              </w:rPr>
            </w:pPr>
            <w:r w:rsidRPr="00C54643">
              <w:rPr>
                <w:rFonts w:cs="Times New Roman"/>
                <w:sz w:val="22"/>
                <w:szCs w:val="22"/>
              </w:rPr>
              <w:t>(select one of the Focus Areas listed below)</w:t>
            </w:r>
          </w:p>
        </w:tc>
        <w:tc>
          <w:tcPr>
            <w:tcW w:w="7740" w:type="dxa"/>
            <w:gridSpan w:val="3"/>
            <w:shd w:val="clear" w:color="auto" w:fill="auto"/>
            <w:vAlign w:val="center"/>
          </w:tcPr>
          <w:p w:rsidR="00E71AFA" w:rsidRPr="00FF0380" w:rsidRDefault="001E0E99" w:rsidP="00D25A27">
            <w:pPr>
              <w:rPr>
                <w:rFonts w:cs="Times New Roman"/>
                <w:sz w:val="22"/>
                <w:szCs w:val="22"/>
              </w:rPr>
            </w:pPr>
            <w:r>
              <w:rPr>
                <w:rFonts w:cs="Times New Roman"/>
                <w:sz w:val="22"/>
                <w:szCs w:val="22"/>
                <w:lang w:val="fr-FR" w:eastAsia="ja-JP"/>
              </w:rPr>
              <w:fldChar w:fldCharType="begin">
                <w:ffData>
                  <w:name w:val=""/>
                  <w:enabled/>
                  <w:calcOnExit w:val="0"/>
                  <w:textInput/>
                </w:ffData>
              </w:fldChar>
            </w:r>
            <w:r w:rsidR="00C54643">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D25A27">
              <w:t>National Reconciliation (PBF outcome 5), Management of natural resources (Including land) (PBF Outcome 7)</w:t>
            </w:r>
            <w:r>
              <w:rPr>
                <w:rFonts w:cs="Times New Roman"/>
                <w:sz w:val="22"/>
                <w:szCs w:val="22"/>
                <w:lang w:val="fr-FR" w:eastAsia="ja-JP"/>
              </w:rPr>
              <w:fldChar w:fldCharType="end"/>
            </w:r>
          </w:p>
        </w:tc>
      </w:tr>
    </w:tbl>
    <w:p w:rsidR="00B127F2" w:rsidRDefault="00B127F2" w:rsidP="001D7143">
      <w:pPr>
        <w:outlineLvl w:val="0"/>
        <w:rPr>
          <w:rFonts w:cs="Times New Roman"/>
          <w:sz w:val="22"/>
          <w:szCs w:val="22"/>
        </w:rPr>
        <w:sectPr w:rsidR="00B127F2" w:rsidSect="00CC0EED">
          <w:footerReference w:type="even" r:id="rId10"/>
          <w:footerReference w:type="default" r:id="rId11"/>
          <w:pgSz w:w="12240" w:h="15840"/>
          <w:pgMar w:top="562" w:right="1530" w:bottom="562" w:left="1800" w:header="720" w:footer="720" w:gutter="0"/>
          <w:pgNumType w:start="1"/>
          <w:cols w:space="720"/>
          <w:docGrid w:linePitch="360"/>
        </w:sectPr>
      </w:pPr>
    </w:p>
    <w:p w:rsidR="00BB2676" w:rsidRDefault="00BB2676" w:rsidP="001D7143">
      <w:pPr>
        <w:outlineLvl w:val="0"/>
        <w:rPr>
          <w:rFonts w:cs="Times New Roman"/>
          <w:sz w:val="22"/>
          <w:szCs w:val="22"/>
        </w:rPr>
      </w:pPr>
    </w:p>
    <w:p w:rsidR="00A10B86" w:rsidRDefault="00A10B86" w:rsidP="001D7143">
      <w:pPr>
        <w:outlineLvl w:val="0"/>
        <w:rPr>
          <w:rFonts w:cs="Times New Roman"/>
          <w:sz w:val="22"/>
          <w:szCs w:val="22"/>
        </w:rPr>
      </w:pPr>
    </w:p>
    <w:p w:rsidR="00CC0EED" w:rsidRDefault="00CC0EED" w:rsidP="001D7143">
      <w:pPr>
        <w:outlineLvl w:val="0"/>
        <w:rPr>
          <w:rFonts w:cs="Times New Roman"/>
          <w:b/>
          <w:sz w:val="22"/>
          <w:szCs w:val="22"/>
        </w:rPr>
      </w:pPr>
      <w:r>
        <w:rPr>
          <w:rFonts w:cs="Times New Roman"/>
          <w:b/>
          <w:sz w:val="22"/>
          <w:szCs w:val="22"/>
        </w:rPr>
        <w:t>Quali</w:t>
      </w:r>
      <w:r w:rsidR="00DF782D">
        <w:rPr>
          <w:rFonts w:cs="Times New Roman"/>
          <w:b/>
          <w:sz w:val="22"/>
          <w:szCs w:val="22"/>
        </w:rPr>
        <w:t xml:space="preserve">tative assessment of progress </w:t>
      </w:r>
    </w:p>
    <w:p w:rsidR="00CC0EED" w:rsidRDefault="00CC0EED" w:rsidP="001D7143">
      <w:pPr>
        <w:outlineLvl w:val="0"/>
        <w:rPr>
          <w:rFonts w:cs="Times New Roman"/>
          <w:b/>
          <w:sz w:val="22"/>
          <w:szCs w:val="22"/>
        </w:rPr>
      </w:pPr>
    </w:p>
    <w:tbl>
      <w:tblPr>
        <w:tblW w:w="13068"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10080"/>
      </w:tblGrid>
      <w:tr w:rsidR="009C5DE6" w:rsidRPr="000D4837" w:rsidTr="00DF782D">
        <w:tc>
          <w:tcPr>
            <w:tcW w:w="2988" w:type="dxa"/>
            <w:shd w:val="clear" w:color="auto" w:fill="auto"/>
          </w:tcPr>
          <w:p w:rsidR="00C54643" w:rsidRDefault="00C54643" w:rsidP="00DF782D">
            <w:pPr>
              <w:outlineLvl w:val="0"/>
              <w:rPr>
                <w:rFonts w:cs="Times New Roman"/>
                <w:i/>
                <w:color w:val="000000"/>
                <w:sz w:val="22"/>
                <w:szCs w:val="22"/>
              </w:rPr>
            </w:pPr>
            <w:r>
              <w:rPr>
                <w:rFonts w:cs="Times New Roman"/>
                <w:i/>
                <w:color w:val="000000"/>
                <w:sz w:val="22"/>
                <w:szCs w:val="22"/>
              </w:rPr>
              <w:t>For each intended</w:t>
            </w:r>
            <w:r w:rsidRPr="000D4837">
              <w:rPr>
                <w:rFonts w:cs="Times New Roman"/>
                <w:i/>
                <w:color w:val="000000"/>
                <w:sz w:val="22"/>
                <w:szCs w:val="22"/>
              </w:rPr>
              <w:t xml:space="preserve"> outcome</w:t>
            </w:r>
            <w:r>
              <w:rPr>
                <w:rFonts w:cs="Times New Roman"/>
                <w:i/>
                <w:color w:val="000000"/>
                <w:sz w:val="22"/>
                <w:szCs w:val="22"/>
              </w:rPr>
              <w:t xml:space="preserve">, provide </w:t>
            </w:r>
            <w:r w:rsidRPr="00BF179A">
              <w:rPr>
                <w:rFonts w:cs="Times New Roman"/>
                <w:b/>
                <w:i/>
                <w:color w:val="000000"/>
                <w:sz w:val="22"/>
                <w:szCs w:val="22"/>
                <w:u w:val="single"/>
              </w:rPr>
              <w:t>evidence</w:t>
            </w:r>
            <w:r>
              <w:rPr>
                <w:rFonts w:cs="Times New Roman"/>
                <w:i/>
                <w:color w:val="000000"/>
                <w:sz w:val="22"/>
                <w:szCs w:val="22"/>
              </w:rPr>
              <w:t xml:space="preserve"> of progress during the reporting period. </w:t>
            </w:r>
          </w:p>
          <w:p w:rsidR="00C54643" w:rsidRDefault="00C54643" w:rsidP="00DF782D">
            <w:pPr>
              <w:outlineLvl w:val="0"/>
              <w:rPr>
                <w:rFonts w:cs="Times New Roman"/>
                <w:i/>
                <w:color w:val="000000"/>
                <w:sz w:val="22"/>
                <w:szCs w:val="22"/>
              </w:rPr>
            </w:pPr>
          </w:p>
          <w:p w:rsidR="00C54643" w:rsidRDefault="00C54643" w:rsidP="00DF782D">
            <w:pPr>
              <w:outlineLvl w:val="0"/>
              <w:rPr>
                <w:rFonts w:cs="Times New Roman"/>
                <w:i/>
                <w:color w:val="000000"/>
                <w:sz w:val="22"/>
                <w:szCs w:val="22"/>
              </w:rPr>
            </w:pPr>
            <w:r>
              <w:rPr>
                <w:rFonts w:cs="Times New Roman"/>
                <w:i/>
                <w:color w:val="000000"/>
                <w:sz w:val="22"/>
                <w:szCs w:val="22"/>
              </w:rPr>
              <w:t xml:space="preserve">In addition, for each outcome include </w:t>
            </w:r>
            <w:r w:rsidRPr="000D4837">
              <w:rPr>
                <w:rFonts w:cs="Times New Roman"/>
                <w:i/>
                <w:color w:val="000000"/>
                <w:sz w:val="22"/>
                <w:szCs w:val="22"/>
              </w:rPr>
              <w:t xml:space="preserve">the </w:t>
            </w:r>
            <w:r>
              <w:rPr>
                <w:rFonts w:cs="Times New Roman"/>
                <w:i/>
                <w:color w:val="000000"/>
                <w:sz w:val="22"/>
                <w:szCs w:val="22"/>
              </w:rPr>
              <w:t>outputs achieved.</w:t>
            </w:r>
          </w:p>
          <w:p w:rsidR="00C54643" w:rsidRPr="000D4837" w:rsidRDefault="00C54643" w:rsidP="00C54643">
            <w:pPr>
              <w:outlineLvl w:val="0"/>
              <w:rPr>
                <w:rFonts w:cs="Times New Roman"/>
                <w:b/>
                <w:sz w:val="22"/>
                <w:szCs w:val="22"/>
              </w:rPr>
            </w:pPr>
            <w:r>
              <w:rPr>
                <w:rFonts w:cs="Times New Roman"/>
                <w:i/>
                <w:color w:val="000000"/>
                <w:sz w:val="22"/>
                <w:szCs w:val="22"/>
              </w:rPr>
              <w:t>(1000 characters max</w:t>
            </w:r>
            <w:r w:rsidR="00BF179A">
              <w:rPr>
                <w:rFonts w:cs="Times New Roman"/>
                <w:i/>
                <w:color w:val="000000"/>
                <w:sz w:val="22"/>
                <w:szCs w:val="22"/>
              </w:rPr>
              <w:t xml:space="preserve"> per outcome</w:t>
            </w:r>
            <w:r>
              <w:rPr>
                <w:rFonts w:cs="Times New Roman"/>
                <w:i/>
                <w:color w:val="000000"/>
                <w:sz w:val="22"/>
                <w:szCs w:val="22"/>
              </w:rPr>
              <w:t>.)</w:t>
            </w:r>
          </w:p>
        </w:tc>
        <w:tc>
          <w:tcPr>
            <w:tcW w:w="10080" w:type="dxa"/>
            <w:shd w:val="clear" w:color="auto" w:fill="auto"/>
          </w:tcPr>
          <w:p w:rsidR="00BF179A" w:rsidRDefault="00BF179A">
            <w:pPr>
              <w:rPr>
                <w:rFonts w:cs="Times New Roman"/>
                <w:b/>
                <w:sz w:val="22"/>
                <w:szCs w:val="22"/>
              </w:rPr>
            </w:pPr>
            <w:r>
              <w:rPr>
                <w:rFonts w:cs="Times New Roman"/>
                <w:b/>
                <w:sz w:val="22"/>
                <w:szCs w:val="22"/>
              </w:rPr>
              <w:t>Outcome 1:</w:t>
            </w:r>
          </w:p>
          <w:p w:rsidR="00C63018" w:rsidRDefault="001E0E99" w:rsidP="00557AF8">
            <w:r w:rsidRPr="00F64D82">
              <w:rPr>
                <w:rFonts w:cs="Times New Roman"/>
                <w:b/>
                <w:sz w:val="22"/>
                <w:szCs w:val="22"/>
              </w:rPr>
              <w:fldChar w:fldCharType="begin">
                <w:ffData>
                  <w:name w:val=""/>
                  <w:enabled/>
                  <w:calcOnExit w:val="0"/>
                  <w:textInput>
                    <w:maxLength w:val="1000"/>
                  </w:textInput>
                </w:ffData>
              </w:fldChar>
            </w:r>
            <w:r w:rsidR="00C54643"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9C5DE6" w:rsidRPr="009C5DE6">
              <w:t xml:space="preserve">Alternative land dispute resolution system fully operational </w:t>
            </w:r>
            <w:proofErr w:type="gramStart"/>
            <w:r w:rsidR="009C5DE6" w:rsidRPr="009C5DE6">
              <w:t xml:space="preserve">and </w:t>
            </w:r>
            <w:r w:rsidR="00221DAF">
              <w:t xml:space="preserve"> </w:t>
            </w:r>
            <w:r w:rsidR="009C5DE6" w:rsidRPr="009C5DE6">
              <w:t>managed</w:t>
            </w:r>
            <w:proofErr w:type="gramEnd"/>
            <w:r w:rsidR="009C5DE6" w:rsidRPr="009C5DE6">
              <w:t xml:space="preserve"> by the Land Commission</w:t>
            </w:r>
            <w:r w:rsidR="007C3F8D">
              <w:t xml:space="preserve"> (LC)</w:t>
            </w:r>
            <w:r w:rsidR="009C5DE6" w:rsidRPr="009C5DE6">
              <w:t xml:space="preserve">; the act creating the new national Land Agency has been drafted and </w:t>
            </w:r>
            <w:r w:rsidR="00221DAF">
              <w:t xml:space="preserve"> </w:t>
            </w:r>
            <w:r w:rsidR="009C5DE6" w:rsidRPr="009C5DE6">
              <w:t>submitted to the President. Data recorded on land disputes from January-June 2015 by Land Coordination Centers operating in six counties (Lofa, Bong, Nimba, Maryland, Margibi and Montserrado) reported increase in the number of persons that are aware of their land rights and preferred using the ADR system. 98.5% of officials (Superintendent, Districts Commissioners, Land Commissioners, Directors of Archive centers, Paramount and Clan Chiefs and Elders) including the Judiciary and 3</w:t>
            </w:r>
            <w:r w:rsidR="00350EE8">
              <w:t>1</w:t>
            </w:r>
            <w:r w:rsidR="009C5DE6" w:rsidRPr="009C5DE6">
              <w:t>% of the general population</w:t>
            </w:r>
            <w:r w:rsidR="007C3F8D">
              <w:t xml:space="preserve"> </w:t>
            </w:r>
            <w:r w:rsidR="009C5DE6" w:rsidRPr="009C5DE6">
              <w:t xml:space="preserve"> in the Districts were the LCCs are operating  are aware of their land rights, ADR option and the LC</w:t>
            </w:r>
            <w:r w:rsidR="009C5DE6">
              <w:t>.</w:t>
            </w:r>
          </w:p>
          <w:p w:rsidR="00C63018" w:rsidRDefault="00C63018" w:rsidP="00557AF8"/>
          <w:p w:rsidR="00C54643" w:rsidRDefault="00C63018" w:rsidP="00557AF8">
            <w:pPr>
              <w:rPr>
                <w:rFonts w:cs="Times New Roman"/>
                <w:b/>
                <w:sz w:val="22"/>
                <w:szCs w:val="22"/>
              </w:rPr>
            </w:pPr>
            <w:r>
              <w:t>24</w:t>
            </w:r>
            <w:r w:rsidR="007C3F8D">
              <w:t>7</w:t>
            </w:r>
            <w:r w:rsidR="00C43D46" w:rsidRPr="00C43D46">
              <w:t xml:space="preserve"> land disputes recorde</w:t>
            </w:r>
            <w:r w:rsidR="00510667">
              <w:t>d</w:t>
            </w:r>
            <w:r w:rsidR="00C43D46" w:rsidRPr="00C43D46">
              <w:t xml:space="preserve">. Disaggregated data indicate that </w:t>
            </w:r>
            <w:r>
              <w:t>37</w:t>
            </w:r>
            <w:r w:rsidR="00C43D46" w:rsidRPr="00C43D46">
              <w:t xml:space="preserve"> cases were reported by women and </w:t>
            </w:r>
            <w:r>
              <w:t>2</w:t>
            </w:r>
            <w:r w:rsidR="002B13D6">
              <w:t>1</w:t>
            </w:r>
            <w:r>
              <w:t>0</w:t>
            </w:r>
            <w:r w:rsidR="00C43D46" w:rsidRPr="00C43D46">
              <w:t xml:space="preserve"> by men. </w:t>
            </w:r>
            <w:r w:rsidR="0055548D">
              <w:t xml:space="preserve">67 cases were resolved, 51 were male and 16 </w:t>
            </w:r>
            <w:r w:rsidR="00C43D46" w:rsidRPr="00C43D46">
              <w:t>women</w:t>
            </w:r>
            <w:r>
              <w:t>.</w:t>
            </w:r>
            <w:r w:rsidR="00C43D46" w:rsidRPr="00C43D46">
              <w:t xml:space="preserve"> </w:t>
            </w:r>
            <w:r w:rsidR="001E0E99" w:rsidRPr="00F64D82">
              <w:rPr>
                <w:rFonts w:cs="Times New Roman"/>
                <w:b/>
                <w:sz w:val="22"/>
                <w:szCs w:val="22"/>
              </w:rPr>
              <w:fldChar w:fldCharType="end"/>
            </w:r>
          </w:p>
          <w:p w:rsidR="00BF179A" w:rsidRDefault="00BF179A">
            <w:pPr>
              <w:rPr>
                <w:rFonts w:cs="Times New Roman"/>
                <w:b/>
                <w:sz w:val="22"/>
                <w:szCs w:val="22"/>
              </w:rPr>
            </w:pPr>
          </w:p>
          <w:p w:rsidR="00BF179A" w:rsidRDefault="00BF179A" w:rsidP="00BF179A">
            <w:pPr>
              <w:rPr>
                <w:rFonts w:cs="Times New Roman"/>
                <w:b/>
                <w:sz w:val="22"/>
                <w:szCs w:val="22"/>
              </w:rPr>
            </w:pPr>
            <w:r>
              <w:rPr>
                <w:rFonts w:cs="Times New Roman"/>
                <w:b/>
                <w:sz w:val="22"/>
                <w:szCs w:val="22"/>
              </w:rPr>
              <w:t>Outcome 2:</w:t>
            </w:r>
          </w:p>
          <w:p w:rsidR="00BF179A" w:rsidRDefault="001E0E99">
            <w:pPr>
              <w:rPr>
                <w:rFonts w:cs="Times New Roman"/>
                <w:b/>
                <w:sz w:val="22"/>
                <w:szCs w:val="22"/>
              </w:rPr>
            </w:pPr>
            <w:r>
              <w:rPr>
                <w:rFonts w:cs="Times New Roman"/>
                <w:b/>
                <w:sz w:val="22"/>
                <w:szCs w:val="22"/>
              </w:rPr>
              <w:fldChar w:fldCharType="begin">
                <w:ffData>
                  <w:name w:val="Text7"/>
                  <w:enabled/>
                  <w:calcOnExit w:val="0"/>
                  <w:textInput>
                    <w:maxLength w:val="1000"/>
                    <w:format w:val="FIRST CAPITAL"/>
                  </w:textInput>
                </w:ffData>
              </w:fldChar>
            </w:r>
            <w:bookmarkStart w:id="6" w:name="Text7"/>
            <w:r w:rsidR="00BF179A">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0051A8">
              <w:t xml:space="preserve">The Land Commission through the Land Coordination </w:t>
            </w:r>
            <w:proofErr w:type="gramStart"/>
            <w:r w:rsidR="000051A8">
              <w:t xml:space="preserve">Centers </w:t>
            </w:r>
            <w:r w:rsidR="0057265D">
              <w:t xml:space="preserve"> (</w:t>
            </w:r>
            <w:proofErr w:type="gramEnd"/>
            <w:r w:rsidR="0057265D">
              <w:t xml:space="preserve">LCC) </w:t>
            </w:r>
            <w:r w:rsidR="00EB5779">
              <w:t xml:space="preserve">continued to </w:t>
            </w:r>
            <w:r w:rsidR="000051A8">
              <w:t xml:space="preserve">increase collaboration with the justice and </w:t>
            </w:r>
            <w:r w:rsidR="00221DAF">
              <w:t xml:space="preserve"> </w:t>
            </w:r>
            <w:r w:rsidR="000051A8">
              <w:t>peace hub in Bong County</w:t>
            </w:r>
            <w:r w:rsidR="00DA2C92">
              <w:t xml:space="preserve"> to enhance information dissemination on earlier wa</w:t>
            </w:r>
            <w:r w:rsidR="000C046F">
              <w:t>r</w:t>
            </w:r>
            <w:r w:rsidR="00DA2C92">
              <w:t xml:space="preserve">ning signs to prevent violent land conflict. Hub is a part of the Bong LCC </w:t>
            </w:r>
            <w:r w:rsidR="0057265D">
              <w:t>Land Dispute Resolution Taskforce (</w:t>
            </w:r>
            <w:r w:rsidR="00DA2C92">
              <w:t>LDRT</w:t>
            </w:r>
            <w:r w:rsidR="0057265D">
              <w:t xml:space="preserve">) and has joint </w:t>
            </w:r>
            <w:proofErr w:type="gramStart"/>
            <w:r w:rsidR="0057265D">
              <w:t>meeting</w:t>
            </w:r>
            <w:r w:rsidR="00221DAF">
              <w:t xml:space="preserve">s </w:t>
            </w:r>
            <w:r w:rsidR="0057265D">
              <w:t xml:space="preserve"> with</w:t>
            </w:r>
            <w:proofErr w:type="gramEnd"/>
            <w:r w:rsidR="0057265D">
              <w:t xml:space="preserve"> </w:t>
            </w:r>
            <w:r w:rsidR="00392A50">
              <w:t>the LCC</w:t>
            </w:r>
            <w:r w:rsidR="00DA2C92">
              <w:t xml:space="preserve">. </w:t>
            </w:r>
            <w:r>
              <w:rPr>
                <w:rFonts w:cs="Times New Roman"/>
                <w:b/>
                <w:sz w:val="22"/>
                <w:szCs w:val="22"/>
              </w:rPr>
              <w:fldChar w:fldCharType="end"/>
            </w:r>
            <w:bookmarkEnd w:id="6"/>
          </w:p>
          <w:p w:rsidR="00BF179A" w:rsidRDefault="00BF179A">
            <w:pPr>
              <w:rPr>
                <w:rFonts w:cs="Times New Roman"/>
                <w:b/>
                <w:sz w:val="22"/>
                <w:szCs w:val="22"/>
              </w:rPr>
            </w:pPr>
          </w:p>
          <w:p w:rsidR="00BF179A" w:rsidRDefault="00BF179A" w:rsidP="00BF179A">
            <w:pPr>
              <w:rPr>
                <w:rFonts w:cs="Times New Roman"/>
                <w:b/>
                <w:sz w:val="22"/>
                <w:szCs w:val="22"/>
              </w:rPr>
            </w:pPr>
            <w:r>
              <w:rPr>
                <w:rFonts w:cs="Times New Roman"/>
                <w:b/>
                <w:sz w:val="22"/>
                <w:szCs w:val="22"/>
              </w:rPr>
              <w:t>Outcome 3:</w:t>
            </w:r>
          </w:p>
          <w:p w:rsidR="00126E87" w:rsidRDefault="001E0E99">
            <w:r>
              <w:rPr>
                <w:rFonts w:cs="Times New Roman"/>
                <w:b/>
                <w:sz w:val="22"/>
                <w:szCs w:val="22"/>
              </w:rPr>
              <w:fldChar w:fldCharType="begin">
                <w:ffData>
                  <w:name w:val=""/>
                  <w:enabled/>
                  <w:calcOnExit w:val="0"/>
                  <w:textInput>
                    <w:maxLength w:val="1000"/>
                  </w:textInput>
                </w:ffData>
              </w:fldChar>
            </w:r>
            <w:r w:rsidR="00BF179A">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E0301">
              <w:t xml:space="preserve">Transitional strategies </w:t>
            </w:r>
            <w:proofErr w:type="gramStart"/>
            <w:r w:rsidR="003E0301">
              <w:t>have</w:t>
            </w:r>
            <w:r w:rsidR="00134A52">
              <w:t xml:space="preserve"> </w:t>
            </w:r>
            <w:r w:rsidR="003E0301">
              <w:t xml:space="preserve"> included</w:t>
            </w:r>
            <w:proofErr w:type="gramEnd"/>
            <w:r w:rsidR="003E0301">
              <w:t>: advocacy and involvement of county judges</w:t>
            </w:r>
            <w:r w:rsidR="00F51F45">
              <w:t xml:space="preserve"> to support the ADR system in County where the LCCs are operating.  Engagement of the MOJ and justice sector for the practice of ADR system. ADR policy has been d</w:t>
            </w:r>
            <w:r w:rsidR="00F51F45" w:rsidRPr="00F51F45">
              <w:t>raft</w:t>
            </w:r>
            <w:r w:rsidR="00F51F45">
              <w:t xml:space="preserve">ed and </w:t>
            </w:r>
            <w:r w:rsidR="00F51F45" w:rsidRPr="00F51F45">
              <w:t>awaiting inputs from LDRT members</w:t>
            </w:r>
            <w:r w:rsidR="00126E87">
              <w:t>.</w:t>
            </w:r>
          </w:p>
          <w:p w:rsidR="00126E87" w:rsidRDefault="00126E87"/>
          <w:p w:rsidR="00BF179A" w:rsidRDefault="00126E87">
            <w:pPr>
              <w:rPr>
                <w:rFonts w:cs="Times New Roman"/>
                <w:b/>
                <w:sz w:val="22"/>
                <w:szCs w:val="22"/>
              </w:rPr>
            </w:pPr>
            <w:r w:rsidRPr="00126E87">
              <w:t xml:space="preserve"> 2 LDRT meetings held  during the this </w:t>
            </w:r>
            <w:r>
              <w:t>f</w:t>
            </w:r>
            <w:r w:rsidRPr="00126E87">
              <w:t>irst</w:t>
            </w:r>
            <w:r>
              <w:t xml:space="preserve"> half of the year</w:t>
            </w:r>
            <w:r w:rsidR="00F51F45">
              <w:t>.</w:t>
            </w:r>
            <w:r w:rsidR="001E0E99">
              <w:rPr>
                <w:rFonts w:cs="Times New Roman"/>
                <w:b/>
                <w:sz w:val="22"/>
                <w:szCs w:val="22"/>
              </w:rPr>
              <w:fldChar w:fldCharType="end"/>
            </w:r>
          </w:p>
          <w:p w:rsidR="00BF179A" w:rsidRDefault="00BF179A"/>
          <w:p w:rsidR="00F10418" w:rsidRDefault="00F10418" w:rsidP="00F10418">
            <w:pPr>
              <w:rPr>
                <w:rFonts w:cs="Times New Roman"/>
                <w:b/>
                <w:sz w:val="22"/>
                <w:szCs w:val="22"/>
              </w:rPr>
            </w:pPr>
            <w:r>
              <w:rPr>
                <w:rFonts w:cs="Times New Roman"/>
                <w:b/>
                <w:sz w:val="22"/>
                <w:szCs w:val="22"/>
              </w:rPr>
              <w:t>Outcome 4:</w:t>
            </w:r>
          </w:p>
          <w:p w:rsidR="00EA0131" w:rsidRPr="00EA0131" w:rsidRDefault="001E0E99" w:rsidP="00EA0131">
            <w:r>
              <w:rPr>
                <w:rFonts w:cs="Times New Roman"/>
                <w:b/>
                <w:sz w:val="22"/>
                <w:szCs w:val="22"/>
              </w:rPr>
              <w:fldChar w:fldCharType="begin">
                <w:ffData>
                  <w:name w:val=""/>
                  <w:enabled/>
                  <w:calcOnExit w:val="0"/>
                  <w:textInput>
                    <w:maxLength w:val="1000"/>
                  </w:textInput>
                </w:ffData>
              </w:fldChar>
            </w:r>
            <w:r w:rsidR="00F10418">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F51F45">
              <w:t>The Land</w:t>
            </w:r>
            <w:r w:rsidR="00537901">
              <w:t xml:space="preserve"> Commision has established the s</w:t>
            </w:r>
            <w:r w:rsidR="00537901" w:rsidRPr="00537901">
              <w:t>urvey</w:t>
            </w:r>
            <w:r w:rsidR="00537901">
              <w:t>er t</w:t>
            </w:r>
            <w:r w:rsidR="00537901" w:rsidRPr="00537901">
              <w:t>eams</w:t>
            </w:r>
            <w:r w:rsidR="00537901">
              <w:t xml:space="preserve">; the teams have received </w:t>
            </w:r>
            <w:r w:rsidR="00392A50">
              <w:t>132</w:t>
            </w:r>
            <w:r w:rsidR="00EA0131" w:rsidRPr="00EA0131">
              <w:t xml:space="preserve"> survey request</w:t>
            </w:r>
          </w:p>
          <w:p w:rsidR="00F10418" w:rsidRDefault="00EA0131" w:rsidP="00537901">
            <w:pPr>
              <w:rPr>
                <w:rFonts w:cs="Times New Roman"/>
                <w:b/>
                <w:sz w:val="22"/>
                <w:szCs w:val="22"/>
              </w:rPr>
            </w:pPr>
            <w:r>
              <w:lastRenderedPageBreak/>
              <w:t xml:space="preserve"> and has sur</w:t>
            </w:r>
            <w:r w:rsidRPr="00EA0131">
              <w:t>vey</w:t>
            </w:r>
            <w:r>
              <w:t xml:space="preserve">ed </w:t>
            </w:r>
            <w:r w:rsidR="00392A50">
              <w:t>17</w:t>
            </w:r>
            <w:r w:rsidR="00537901">
              <w:t xml:space="preserve"> land disputed cases.</w:t>
            </w:r>
            <w:r w:rsidR="00537901" w:rsidRPr="00537901">
              <w:t xml:space="preserve"> </w:t>
            </w:r>
            <w:r w:rsidR="001E0E99">
              <w:rPr>
                <w:rFonts w:cs="Times New Roman"/>
                <w:b/>
                <w:sz w:val="22"/>
                <w:szCs w:val="22"/>
              </w:rPr>
              <w:fldChar w:fldCharType="end"/>
            </w:r>
          </w:p>
          <w:p w:rsidR="00F10418" w:rsidRDefault="00F10418"/>
        </w:tc>
      </w:tr>
      <w:tr w:rsidR="009C5DE6" w:rsidRPr="000D4837" w:rsidTr="00DF782D">
        <w:tc>
          <w:tcPr>
            <w:tcW w:w="2988" w:type="dxa"/>
            <w:shd w:val="clear" w:color="auto" w:fill="auto"/>
          </w:tcPr>
          <w:p w:rsidR="00C54643" w:rsidRDefault="00C54643" w:rsidP="00B127F2">
            <w:pPr>
              <w:outlineLvl w:val="0"/>
              <w:rPr>
                <w:rFonts w:cs="Times New Roman"/>
                <w:i/>
                <w:color w:val="000000"/>
                <w:sz w:val="22"/>
                <w:szCs w:val="22"/>
              </w:rPr>
            </w:pPr>
            <w:r>
              <w:rPr>
                <w:rFonts w:cs="Times New Roman"/>
                <w:i/>
                <w:color w:val="000000"/>
                <w:sz w:val="22"/>
                <w:szCs w:val="22"/>
              </w:rPr>
              <w:lastRenderedPageBreak/>
              <w:t xml:space="preserve">Do you see evidence that the project is having a positive impact on </w:t>
            </w:r>
            <w:r w:rsidRPr="000D4837">
              <w:rPr>
                <w:rFonts w:cs="Times New Roman"/>
                <w:i/>
                <w:color w:val="000000"/>
                <w:sz w:val="22"/>
                <w:szCs w:val="22"/>
              </w:rPr>
              <w:t>peacebuilding</w:t>
            </w:r>
            <w:r>
              <w:rPr>
                <w:rFonts w:cs="Times New Roman"/>
                <w:i/>
                <w:color w:val="000000"/>
                <w:sz w:val="22"/>
                <w:szCs w:val="22"/>
              </w:rPr>
              <w:t>?</w:t>
            </w:r>
          </w:p>
          <w:p w:rsidR="00C54643" w:rsidRPr="000D4837" w:rsidRDefault="00C54643" w:rsidP="00B127F2">
            <w:pPr>
              <w:outlineLvl w:val="0"/>
              <w:rPr>
                <w:bCs/>
                <w:i/>
                <w:sz w:val="22"/>
                <w:szCs w:val="22"/>
              </w:rPr>
            </w:pPr>
            <w:r>
              <w:rPr>
                <w:rFonts w:cs="Times New Roman"/>
                <w:i/>
                <w:color w:val="000000"/>
                <w:sz w:val="22"/>
                <w:szCs w:val="22"/>
              </w:rPr>
              <w:t>(1000 characters max.)</w:t>
            </w:r>
          </w:p>
        </w:tc>
        <w:tc>
          <w:tcPr>
            <w:tcW w:w="10080" w:type="dxa"/>
            <w:shd w:val="clear" w:color="auto" w:fill="auto"/>
          </w:tcPr>
          <w:p w:rsidR="007A1684" w:rsidRPr="007A1684" w:rsidRDefault="001E0E99" w:rsidP="007A1684">
            <w:r w:rsidRPr="00F64D82">
              <w:rPr>
                <w:rFonts w:cs="Times New Roman"/>
                <w:b/>
                <w:sz w:val="22"/>
                <w:szCs w:val="22"/>
              </w:rPr>
              <w:fldChar w:fldCharType="begin">
                <w:ffData>
                  <w:name w:val=""/>
                  <w:enabled/>
                  <w:calcOnExit w:val="0"/>
                  <w:textInput>
                    <w:maxLength w:val="1000"/>
                  </w:textInput>
                </w:ffData>
              </w:fldChar>
            </w:r>
            <w:r w:rsidR="00C54643"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7A1684" w:rsidRPr="007A1684">
              <w:t xml:space="preserve">The LCCs have reduced the threat and frequency of violent land conflict.  the LC and its partners have trained mediation  practitioner in the communities and group them in committees, which has helped resolved cases using traditional mediation methodology, that who have resulted in violence among people and communities, if the LCCs were not present.  The LCCs are helping to strengthen the local capacity for land conflict management in collaboration with the community mediation practitioner committees which has </w:t>
            </w:r>
            <w:proofErr w:type="gramStart"/>
            <w:r w:rsidR="007A1684" w:rsidRPr="007A1684">
              <w:t>lay</w:t>
            </w:r>
            <w:proofErr w:type="gramEnd"/>
            <w:r w:rsidR="007A1684" w:rsidRPr="007A1684">
              <w:t xml:space="preserve"> the foundation for sustainable peace and development. </w:t>
            </w:r>
            <w:proofErr w:type="gramStart"/>
            <w:r w:rsidR="007A1684" w:rsidRPr="007A1684">
              <w:t>the</w:t>
            </w:r>
            <w:proofErr w:type="gramEnd"/>
            <w:r w:rsidR="007A1684" w:rsidRPr="007A1684">
              <w:t xml:space="preserve"> ADR has been accepted by the resident and endorsed by the Counties and Communities authorities, including the Judiciary.</w:t>
            </w:r>
          </w:p>
          <w:p w:rsidR="007A1684" w:rsidRPr="007A1684" w:rsidRDefault="007A1684" w:rsidP="007A1684"/>
          <w:p w:rsidR="007A1684" w:rsidRPr="007A1684" w:rsidRDefault="007A1684" w:rsidP="007A1684">
            <w:r w:rsidRPr="007A1684">
              <w:t>Former disputants have also recognized the efficiency and timeliness of the ADR system and are encouraging members of their communities to utilize same, by taken cases to the LCCs.</w:t>
            </w:r>
          </w:p>
          <w:p w:rsidR="00C54643" w:rsidRDefault="007A1684" w:rsidP="007A1684">
            <w:r w:rsidRPr="007A1684">
              <w:t>Community and family relations are being consolidated</w:t>
            </w:r>
            <w:r>
              <w:t>.</w:t>
            </w:r>
            <w:r w:rsidR="001E0E99" w:rsidRPr="00F64D82">
              <w:rPr>
                <w:rFonts w:cs="Times New Roman"/>
                <w:b/>
                <w:sz w:val="22"/>
                <w:szCs w:val="22"/>
              </w:rPr>
              <w:fldChar w:fldCharType="end"/>
            </w:r>
          </w:p>
        </w:tc>
      </w:tr>
      <w:tr w:rsidR="009C5DE6" w:rsidRPr="000D4837" w:rsidTr="00DF782D">
        <w:tc>
          <w:tcPr>
            <w:tcW w:w="2988" w:type="dxa"/>
            <w:shd w:val="clear" w:color="auto" w:fill="auto"/>
          </w:tcPr>
          <w:p w:rsidR="00C54643" w:rsidRDefault="00C54643" w:rsidP="00D76427">
            <w:pPr>
              <w:outlineLvl w:val="0"/>
              <w:rPr>
                <w:rFonts w:cs="Times New Roman"/>
                <w:i/>
                <w:color w:val="000000"/>
                <w:sz w:val="22"/>
                <w:szCs w:val="22"/>
              </w:rPr>
            </w:pPr>
            <w:r w:rsidRPr="000D4837">
              <w:rPr>
                <w:rFonts w:cs="Times New Roman"/>
                <w:i/>
                <w:color w:val="000000"/>
                <w:sz w:val="22"/>
                <w:szCs w:val="22"/>
              </w:rPr>
              <w:t>Were there catalytic effects from the project in the period reported, including additional funding commitments or unleashing/ unblocking of any peace relevant processes?</w:t>
            </w:r>
          </w:p>
          <w:p w:rsidR="00C54643" w:rsidRPr="000D4837" w:rsidRDefault="00C54643" w:rsidP="00D7642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FA77A5" w:rsidRPr="00FA77A5" w:rsidRDefault="001E0E99" w:rsidP="00FA77A5">
            <w:r w:rsidRPr="00F64D82">
              <w:rPr>
                <w:rFonts w:cs="Times New Roman"/>
                <w:b/>
                <w:sz w:val="22"/>
                <w:szCs w:val="22"/>
              </w:rPr>
              <w:fldChar w:fldCharType="begin">
                <w:ffData>
                  <w:name w:val=""/>
                  <w:enabled/>
                  <w:calcOnExit w:val="0"/>
                  <w:textInput>
                    <w:maxLength w:val="1000"/>
                  </w:textInput>
                </w:ffData>
              </w:fldChar>
            </w:r>
            <w:r w:rsidR="00C54643"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FA77A5" w:rsidRPr="00FA77A5">
              <w:t>The LC and its partners provided support for the establishment of five counties</w:t>
            </w:r>
            <w:r w:rsidR="00030FAC">
              <w:t>'</w:t>
            </w:r>
            <w:r w:rsidR="00FA77A5" w:rsidRPr="00FA77A5">
              <w:t xml:space="preserve"> (Maryland, Bong, </w:t>
            </w:r>
            <w:proofErr w:type="spellStart"/>
            <w:r w:rsidR="00FA77A5" w:rsidRPr="00FA77A5">
              <w:t>Lofa</w:t>
            </w:r>
            <w:proofErr w:type="spellEnd"/>
            <w:r w:rsidR="00FA77A5" w:rsidRPr="00FA77A5">
              <w:t>, Margibi and Montserrado Counties) LCCs in land prone conflict counties</w:t>
            </w:r>
            <w:r w:rsidR="00030FAC">
              <w:t xml:space="preserve">. </w:t>
            </w:r>
            <w:proofErr w:type="gramStart"/>
            <w:r w:rsidR="00030FAC">
              <w:t xml:space="preserve">This </w:t>
            </w:r>
            <w:r w:rsidR="00FA77A5" w:rsidRPr="00FA77A5">
              <w:t xml:space="preserve"> ha</w:t>
            </w:r>
            <w:r w:rsidR="00030FAC">
              <w:t>s</w:t>
            </w:r>
            <w:proofErr w:type="gramEnd"/>
            <w:r w:rsidR="00FA77A5" w:rsidRPr="00FA77A5">
              <w:t xml:space="preserve"> reduced the number of violent land conflict and impacted positively the peace building process</w:t>
            </w:r>
            <w:r w:rsidR="00030FAC">
              <w:t xml:space="preserve"> </w:t>
            </w:r>
            <w:r w:rsidR="00FA77A5" w:rsidRPr="00FA77A5">
              <w:t xml:space="preserve">at the decentralized level involving other stakeholders. </w:t>
            </w:r>
          </w:p>
          <w:p w:rsidR="00FA77A5" w:rsidRPr="00FA77A5" w:rsidRDefault="00FA77A5" w:rsidP="00FA77A5"/>
          <w:p w:rsidR="00B41CEE" w:rsidRDefault="00B41CEE" w:rsidP="00FA77A5">
            <w:r>
              <w:t xml:space="preserve">Since </w:t>
            </w:r>
            <w:r w:rsidR="00FA77A5" w:rsidRPr="00FA77A5">
              <w:t>two of the LC partners (L</w:t>
            </w:r>
            <w:r w:rsidR="00511259">
              <w:t xml:space="preserve">and </w:t>
            </w:r>
            <w:r w:rsidR="00FA77A5" w:rsidRPr="00FA77A5">
              <w:t>C</w:t>
            </w:r>
            <w:r w:rsidR="00511259">
              <w:t xml:space="preserve">onflict </w:t>
            </w:r>
            <w:r w:rsidR="00FA77A5" w:rsidRPr="00FA77A5">
              <w:t>R</w:t>
            </w:r>
            <w:r w:rsidR="00511259">
              <w:t xml:space="preserve">esolution  </w:t>
            </w:r>
            <w:r w:rsidR="00FA77A5" w:rsidRPr="00FA77A5">
              <w:t>P</w:t>
            </w:r>
            <w:r w:rsidR="00511259">
              <w:t>roject</w:t>
            </w:r>
            <w:r w:rsidR="00FA77A5" w:rsidRPr="00FA77A5">
              <w:t xml:space="preserve"> and NRC) projects end</w:t>
            </w:r>
            <w:r w:rsidR="00FD6AD7">
              <w:t>ed</w:t>
            </w:r>
            <w:r w:rsidR="00FA77A5" w:rsidRPr="00FA77A5">
              <w:t xml:space="preserve"> </w:t>
            </w:r>
            <w:r w:rsidR="00524676">
              <w:t xml:space="preserve"> </w:t>
            </w:r>
            <w:r w:rsidR="00FA77A5" w:rsidRPr="00FA77A5">
              <w:t xml:space="preserve"> June </w:t>
            </w:r>
            <w:r>
              <w:t>201</w:t>
            </w:r>
            <w:r w:rsidR="00511259">
              <w:t>4</w:t>
            </w:r>
            <w:r>
              <w:t>,</w:t>
            </w:r>
            <w:r w:rsidR="00FA77A5" w:rsidRPr="00FA77A5">
              <w:t xml:space="preserve"> the</w:t>
            </w:r>
            <w:r>
              <w:t xml:space="preserve"> LCCs have function</w:t>
            </w:r>
            <w:r w:rsidR="00524676">
              <w:t xml:space="preserve">ed </w:t>
            </w:r>
            <w:r>
              <w:t xml:space="preserve"> effectively through </w:t>
            </w:r>
            <w:r w:rsidR="004E69B3">
              <w:t xml:space="preserve">funding from PBF </w:t>
            </w:r>
            <w:r w:rsidR="00FA77A5" w:rsidRPr="00FA77A5">
              <w:t xml:space="preserve"> to help provide support to fill the gap for funding and technical supports that w</w:t>
            </w:r>
            <w:r>
              <w:t xml:space="preserve">as </w:t>
            </w:r>
            <w:r w:rsidR="00FA77A5" w:rsidRPr="00FA77A5">
              <w:t xml:space="preserve">left by these partners. </w:t>
            </w:r>
            <w:r>
              <w:t xml:space="preserve"> </w:t>
            </w:r>
          </w:p>
          <w:p w:rsidR="00B41CEE" w:rsidRDefault="00B41CEE" w:rsidP="00FA77A5"/>
          <w:p w:rsidR="00C54643" w:rsidRDefault="00FA77A5" w:rsidP="002E6A2F">
            <w:r w:rsidRPr="00FA77A5">
              <w:t xml:space="preserve">Moreover County Authorities are requesting for extension of the work of the LCCs in other districts of their counties where the LCCs are not operating </w:t>
            </w:r>
            <w:proofErr w:type="gramStart"/>
            <w:r w:rsidRPr="00FA77A5">
              <w:t xml:space="preserve">and </w:t>
            </w:r>
            <w:r w:rsidR="00E4102F">
              <w:t xml:space="preserve"> </w:t>
            </w:r>
            <w:r w:rsidRPr="00FA77A5">
              <w:t>have</w:t>
            </w:r>
            <w:proofErr w:type="gramEnd"/>
            <w:r w:rsidRPr="00FA77A5">
              <w:t xml:space="preserve"> continuously requested the LCCs to intervene in land cases in their communities</w:t>
            </w:r>
            <w:r w:rsidR="00E4102F">
              <w:t>. The rest of the</w:t>
            </w:r>
            <w:r w:rsidRPr="00FA77A5">
              <w:t xml:space="preserve"> </w:t>
            </w:r>
            <w:proofErr w:type="gramStart"/>
            <w:r w:rsidR="00E4102F">
              <w:t>c</w:t>
            </w:r>
            <w:r w:rsidRPr="00FA77A5">
              <w:t>ount</w:t>
            </w:r>
            <w:r w:rsidR="00E4102F">
              <w:t>ie</w:t>
            </w:r>
            <w:r w:rsidR="005813A7">
              <w:t>s</w:t>
            </w:r>
            <w:r w:rsidRPr="00FA77A5">
              <w:t xml:space="preserve">  are</w:t>
            </w:r>
            <w:proofErr w:type="gramEnd"/>
            <w:r w:rsidRPr="00FA77A5">
              <w:t xml:space="preserve"> also requesting the services of the LCCs</w:t>
            </w:r>
            <w:r w:rsidR="00E4102F">
              <w:t xml:space="preserve">; </w:t>
            </w:r>
            <w:r w:rsidRPr="00FA77A5">
              <w:t xml:space="preserve">as such </w:t>
            </w:r>
            <w:r w:rsidR="002E6A2F">
              <w:t xml:space="preserve">additional </w:t>
            </w:r>
            <w:r w:rsidRPr="00FA77A5">
              <w:t xml:space="preserve"> funding is needed to ensure such expansion. </w:t>
            </w:r>
            <w:r w:rsidR="001E0E99" w:rsidRPr="00F64D82">
              <w:rPr>
                <w:rFonts w:cs="Times New Roman"/>
                <w:b/>
                <w:sz w:val="22"/>
                <w:szCs w:val="22"/>
              </w:rPr>
              <w:fldChar w:fldCharType="end"/>
            </w:r>
          </w:p>
        </w:tc>
      </w:tr>
      <w:tr w:rsidR="009C5DE6" w:rsidRPr="000D4837" w:rsidTr="00DF782D">
        <w:tc>
          <w:tcPr>
            <w:tcW w:w="2988" w:type="dxa"/>
            <w:shd w:val="clear" w:color="auto" w:fill="auto"/>
          </w:tcPr>
          <w:p w:rsidR="00C54643" w:rsidRDefault="00C54643" w:rsidP="000D4837">
            <w:pPr>
              <w:outlineLvl w:val="0"/>
              <w:rPr>
                <w:rFonts w:cs="Times New Roman"/>
                <w:i/>
                <w:color w:val="000000"/>
                <w:sz w:val="22"/>
                <w:szCs w:val="22"/>
              </w:rPr>
            </w:pPr>
            <w:r w:rsidRPr="000D4837">
              <w:rPr>
                <w:rFonts w:cs="Times New Roman"/>
                <w:i/>
                <w:color w:val="000000"/>
                <w:sz w:val="22"/>
                <w:szCs w:val="22"/>
              </w:rPr>
              <w:t>If progress has been slow or inadequate, provide main reasons and what is being done to address them</w:t>
            </w:r>
            <w:r>
              <w:rPr>
                <w:rFonts w:cs="Times New Roman"/>
                <w:i/>
                <w:color w:val="000000"/>
                <w:sz w:val="22"/>
                <w:szCs w:val="22"/>
              </w:rPr>
              <w:t>.</w:t>
            </w:r>
          </w:p>
          <w:p w:rsidR="00C54643"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C54643" w:rsidRDefault="001E0E99" w:rsidP="00A7624F">
            <w:r w:rsidRPr="00F64D82">
              <w:rPr>
                <w:rFonts w:cs="Times New Roman"/>
                <w:b/>
                <w:sz w:val="22"/>
                <w:szCs w:val="22"/>
              </w:rPr>
              <w:fldChar w:fldCharType="begin">
                <w:ffData>
                  <w:name w:val=""/>
                  <w:enabled/>
                  <w:calcOnExit w:val="0"/>
                  <w:textInput>
                    <w:maxLength w:val="1000"/>
                  </w:textInput>
                </w:ffData>
              </w:fldChar>
            </w:r>
            <w:r w:rsidR="00C54643"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A7624F">
              <w:t>Outbreak of EVD</w:t>
            </w:r>
            <w:r w:rsidRPr="00F64D82">
              <w:rPr>
                <w:rFonts w:cs="Times New Roman"/>
                <w:b/>
                <w:sz w:val="22"/>
                <w:szCs w:val="22"/>
              </w:rPr>
              <w:fldChar w:fldCharType="end"/>
            </w:r>
          </w:p>
        </w:tc>
      </w:tr>
      <w:tr w:rsidR="009C5DE6" w:rsidRPr="000D4837" w:rsidTr="00DF782D">
        <w:tc>
          <w:tcPr>
            <w:tcW w:w="2988" w:type="dxa"/>
            <w:shd w:val="clear" w:color="auto" w:fill="auto"/>
          </w:tcPr>
          <w:p w:rsidR="00C54643" w:rsidRDefault="00C54643" w:rsidP="000D4837">
            <w:pPr>
              <w:outlineLvl w:val="0"/>
              <w:rPr>
                <w:rFonts w:cs="Times New Roman"/>
                <w:i/>
                <w:color w:val="000000"/>
                <w:sz w:val="22"/>
                <w:szCs w:val="22"/>
              </w:rPr>
            </w:pPr>
            <w:r w:rsidRPr="000D4837">
              <w:rPr>
                <w:rFonts w:cs="Times New Roman"/>
                <w:i/>
                <w:color w:val="000000"/>
                <w:sz w:val="22"/>
                <w:szCs w:val="22"/>
              </w:rPr>
              <w:lastRenderedPageBreak/>
              <w:t>What are the main activities/expected results for the rest of the year?</w:t>
            </w:r>
          </w:p>
          <w:p w:rsidR="00C54643"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A7624F" w:rsidRDefault="001E0E99" w:rsidP="00A7624F">
            <w:r w:rsidRPr="00F64D82">
              <w:rPr>
                <w:rFonts w:cs="Times New Roman"/>
                <w:b/>
                <w:sz w:val="22"/>
                <w:szCs w:val="22"/>
              </w:rPr>
              <w:fldChar w:fldCharType="begin">
                <w:ffData>
                  <w:name w:val=""/>
                  <w:enabled/>
                  <w:calcOnExit w:val="0"/>
                  <w:textInput>
                    <w:maxLength w:val="1000"/>
                  </w:textInput>
                </w:ffData>
              </w:fldChar>
            </w:r>
            <w:r w:rsidR="00C54643"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A7624F" w:rsidRPr="00A7624F">
              <w:t>Evaluation of the LCCs</w:t>
            </w:r>
          </w:p>
          <w:p w:rsidR="00C54643" w:rsidRDefault="00A7624F" w:rsidP="00A7624F">
            <w:r>
              <w:t>End of project report</w:t>
            </w:r>
            <w:r w:rsidR="001E0E99" w:rsidRPr="00F64D82">
              <w:rPr>
                <w:rFonts w:cs="Times New Roman"/>
                <w:b/>
                <w:sz w:val="22"/>
                <w:szCs w:val="22"/>
              </w:rPr>
              <w:fldChar w:fldCharType="end"/>
            </w:r>
          </w:p>
        </w:tc>
      </w:tr>
      <w:tr w:rsidR="009C5DE6" w:rsidRPr="000D4837" w:rsidTr="00DF782D">
        <w:tc>
          <w:tcPr>
            <w:tcW w:w="2988" w:type="dxa"/>
            <w:shd w:val="clear" w:color="auto" w:fill="auto"/>
          </w:tcPr>
          <w:p w:rsidR="00C54643" w:rsidRDefault="00C54643" w:rsidP="000D4837">
            <w:pPr>
              <w:outlineLvl w:val="0"/>
              <w:rPr>
                <w:rFonts w:cs="Times New Roman"/>
                <w:i/>
                <w:color w:val="000000"/>
                <w:sz w:val="22"/>
                <w:szCs w:val="22"/>
              </w:rPr>
            </w:pPr>
            <w:r w:rsidRPr="000D4837">
              <w:rPr>
                <w:rFonts w:cs="Times New Roman"/>
                <w:i/>
                <w:color w:val="000000"/>
                <w:sz w:val="22"/>
                <w:szCs w:val="22"/>
              </w:rPr>
              <w:t>Is there any need to adjust project strategies/ duration/budget etc</w:t>
            </w:r>
            <w:r>
              <w:rPr>
                <w:rFonts w:cs="Times New Roman"/>
                <w:i/>
                <w:color w:val="000000"/>
                <w:sz w:val="22"/>
                <w:szCs w:val="22"/>
              </w:rPr>
              <w:t>.</w:t>
            </w:r>
            <w:r w:rsidRPr="000D4837">
              <w:rPr>
                <w:rFonts w:cs="Times New Roman"/>
                <w:i/>
                <w:color w:val="000000"/>
                <w:sz w:val="22"/>
                <w:szCs w:val="22"/>
              </w:rPr>
              <w:t>?</w:t>
            </w:r>
          </w:p>
          <w:p w:rsidR="00C54643"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C54643" w:rsidRDefault="001E0E99" w:rsidP="005813A7">
            <w:r w:rsidRPr="00F64D82">
              <w:rPr>
                <w:rFonts w:cs="Times New Roman"/>
                <w:b/>
                <w:sz w:val="22"/>
                <w:szCs w:val="22"/>
              </w:rPr>
              <w:fldChar w:fldCharType="begin">
                <w:ffData>
                  <w:name w:val=""/>
                  <w:enabled/>
                  <w:calcOnExit w:val="0"/>
                  <w:textInput>
                    <w:maxLength w:val="1000"/>
                  </w:textInput>
                </w:ffData>
              </w:fldChar>
            </w:r>
            <w:r w:rsidR="00C54643"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5813A7" w:rsidRPr="005813A7">
              <w:t xml:space="preserve">The rest of the </w:t>
            </w:r>
            <w:proofErr w:type="gramStart"/>
            <w:r w:rsidR="005813A7" w:rsidRPr="005813A7">
              <w:t>countie</w:t>
            </w:r>
            <w:r w:rsidR="005813A7">
              <w:t>s</w:t>
            </w:r>
            <w:r w:rsidR="005813A7" w:rsidRPr="005813A7">
              <w:t xml:space="preserve">  are</w:t>
            </w:r>
            <w:proofErr w:type="gramEnd"/>
            <w:r w:rsidR="005813A7" w:rsidRPr="005813A7">
              <w:t xml:space="preserve"> also requesting the services of the LCCs; as such additional  funding is needed to ensure such expansion</w:t>
            </w:r>
            <w:r w:rsidR="005813A7">
              <w:t>, given the significance of the project.</w:t>
            </w:r>
            <w:r w:rsidR="005813A7" w:rsidRPr="005813A7">
              <w:t xml:space="preserve">. </w:t>
            </w:r>
            <w:r w:rsidRPr="00F64D82">
              <w:rPr>
                <w:rFonts w:cs="Times New Roman"/>
                <w:b/>
                <w:sz w:val="22"/>
                <w:szCs w:val="22"/>
              </w:rPr>
              <w:fldChar w:fldCharType="end"/>
            </w:r>
          </w:p>
        </w:tc>
      </w:tr>
      <w:tr w:rsidR="009C5DE6" w:rsidRPr="000D4837" w:rsidTr="00DF782D">
        <w:tc>
          <w:tcPr>
            <w:tcW w:w="2988" w:type="dxa"/>
            <w:shd w:val="clear" w:color="auto" w:fill="auto"/>
          </w:tcPr>
          <w:p w:rsidR="00C54643" w:rsidRDefault="00C54643" w:rsidP="000A26AD">
            <w:pPr>
              <w:outlineLvl w:val="0"/>
              <w:rPr>
                <w:rFonts w:cs="Times New Roman"/>
                <w:i/>
                <w:color w:val="000000"/>
                <w:sz w:val="22"/>
                <w:szCs w:val="22"/>
              </w:rPr>
            </w:pPr>
            <w:r w:rsidRPr="000D4837">
              <w:rPr>
                <w:rFonts w:cs="Times New Roman"/>
                <w:i/>
                <w:color w:val="000000"/>
                <w:sz w:val="22"/>
                <w:szCs w:val="22"/>
              </w:rPr>
              <w:t xml:space="preserve">What is the </w:t>
            </w:r>
            <w:r>
              <w:rPr>
                <w:rFonts w:cs="Times New Roman"/>
                <w:i/>
                <w:color w:val="000000"/>
                <w:sz w:val="22"/>
                <w:szCs w:val="22"/>
              </w:rPr>
              <w:t>project budget expenditure to date</w:t>
            </w:r>
            <w:r w:rsidRPr="000D4837">
              <w:rPr>
                <w:rFonts w:cs="Times New Roman"/>
                <w:i/>
                <w:color w:val="000000"/>
                <w:sz w:val="22"/>
                <w:szCs w:val="22"/>
              </w:rPr>
              <w:t xml:space="preserve"> (percentage of allocated project budget expensed by the date of the report)</w:t>
            </w:r>
            <w:r>
              <w:rPr>
                <w:rFonts w:cs="Times New Roman"/>
                <w:i/>
                <w:color w:val="000000"/>
                <w:sz w:val="22"/>
                <w:szCs w:val="22"/>
              </w:rPr>
              <w:t xml:space="preserve"> – preliminary figures only</w:t>
            </w:r>
            <w:r w:rsidRPr="000D4837">
              <w:rPr>
                <w:rFonts w:cs="Times New Roman"/>
                <w:i/>
                <w:color w:val="000000"/>
                <w:sz w:val="22"/>
                <w:szCs w:val="22"/>
              </w:rPr>
              <w:t>?</w:t>
            </w:r>
          </w:p>
          <w:p w:rsidR="00C54643" w:rsidRPr="000D4837" w:rsidRDefault="00C54643" w:rsidP="000A26AD">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8C24E7" w:rsidRDefault="001E0E99" w:rsidP="008C24E7">
            <w:r w:rsidRPr="00F64D82">
              <w:rPr>
                <w:rFonts w:cs="Times New Roman"/>
                <w:b/>
                <w:sz w:val="22"/>
                <w:szCs w:val="22"/>
              </w:rPr>
              <w:fldChar w:fldCharType="begin">
                <w:ffData>
                  <w:name w:val=""/>
                  <w:enabled/>
                  <w:calcOnExit w:val="0"/>
                  <w:textInput>
                    <w:maxLength w:val="1000"/>
                  </w:textInput>
                </w:ffData>
              </w:fldChar>
            </w:r>
            <w:r w:rsidR="00C54643"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8C24E7">
              <w:t>US$1</w:t>
            </w:r>
            <w:r w:rsidR="005C64EA">
              <w:t>,</w:t>
            </w:r>
            <w:r w:rsidR="003E2329">
              <w:t>6</w:t>
            </w:r>
            <w:r w:rsidR="005C64EA">
              <w:t>62,000</w:t>
            </w:r>
            <w:r w:rsidR="008C24E7">
              <w:t xml:space="preserve"> million is total budget expendutre to date</w:t>
            </w:r>
          </w:p>
          <w:p w:rsidR="008C24E7" w:rsidRDefault="008C24E7" w:rsidP="008C24E7"/>
          <w:p w:rsidR="00C54643" w:rsidRDefault="003E2329" w:rsidP="005C64EA">
            <w:r>
              <w:t>8</w:t>
            </w:r>
            <w:r w:rsidR="005C64EA">
              <w:t>3.1</w:t>
            </w:r>
            <w:r w:rsidR="008C24E7">
              <w:t>% is project budget expensed as per the date of this report.</w:t>
            </w:r>
            <w:r w:rsidR="001E0E99" w:rsidRPr="00F64D82">
              <w:rPr>
                <w:rFonts w:cs="Times New Roman"/>
                <w:b/>
                <w:sz w:val="22"/>
                <w:szCs w:val="22"/>
              </w:rPr>
              <w:fldChar w:fldCharType="end"/>
            </w:r>
          </w:p>
        </w:tc>
      </w:tr>
      <w:tr w:rsidR="009C5DE6" w:rsidRPr="000D4837" w:rsidTr="00DF782D">
        <w:tc>
          <w:tcPr>
            <w:tcW w:w="2988"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t>Any other information t</w:t>
            </w:r>
            <w:r w:rsidR="00BF179A">
              <w:rPr>
                <w:rFonts w:cs="Times New Roman"/>
                <w:i/>
                <w:color w:val="000000"/>
                <w:sz w:val="22"/>
                <w:szCs w:val="22"/>
              </w:rPr>
              <w:t>hat the project needs to convey</w:t>
            </w:r>
            <w:r w:rsidRPr="000D4837">
              <w:rPr>
                <w:rFonts w:cs="Times New Roman"/>
                <w:i/>
                <w:color w:val="000000"/>
                <w:sz w:val="22"/>
                <w:szCs w:val="22"/>
              </w:rPr>
              <w:t xml:space="preserve"> to PBSO (and JSC) at this stage?</w:t>
            </w:r>
          </w:p>
          <w:p w:rsidR="00096385" w:rsidRPr="000D4837" w:rsidRDefault="00C54643" w:rsidP="00BF179A">
            <w:pPr>
              <w:outlineLvl w:val="0"/>
              <w:rPr>
                <w:rFonts w:cs="Times New Roman"/>
                <w:b/>
                <w:sz w:val="22"/>
                <w:szCs w:val="22"/>
              </w:rPr>
            </w:pPr>
            <w:r>
              <w:rPr>
                <w:rFonts w:cs="Times New Roman"/>
                <w:i/>
                <w:color w:val="000000"/>
                <w:sz w:val="22"/>
                <w:szCs w:val="22"/>
              </w:rPr>
              <w:t>(1</w:t>
            </w:r>
            <w:r w:rsidR="00BF179A">
              <w:rPr>
                <w:rFonts w:cs="Times New Roman"/>
                <w:i/>
                <w:color w:val="000000"/>
                <w:sz w:val="22"/>
                <w:szCs w:val="22"/>
              </w:rPr>
              <w:t>5</w:t>
            </w:r>
            <w:r>
              <w:rPr>
                <w:rFonts w:cs="Times New Roman"/>
                <w:i/>
                <w:color w:val="000000"/>
                <w:sz w:val="22"/>
                <w:szCs w:val="22"/>
              </w:rPr>
              <w:t>00 characters max.)</w:t>
            </w:r>
          </w:p>
        </w:tc>
        <w:tc>
          <w:tcPr>
            <w:tcW w:w="10080" w:type="dxa"/>
            <w:shd w:val="clear" w:color="auto" w:fill="auto"/>
          </w:tcPr>
          <w:p w:rsidR="00CC0EED" w:rsidRPr="000D4837" w:rsidRDefault="001E0E99" w:rsidP="00B41CEE">
            <w:pPr>
              <w:outlineLvl w:val="0"/>
              <w:rPr>
                <w:rFonts w:cs="Times New Roman"/>
                <w:b/>
                <w:sz w:val="22"/>
                <w:szCs w:val="22"/>
              </w:rPr>
            </w:pPr>
            <w:r>
              <w:rPr>
                <w:rFonts w:cs="Times New Roman"/>
                <w:b/>
                <w:sz w:val="22"/>
                <w:szCs w:val="22"/>
              </w:rPr>
              <w:fldChar w:fldCharType="begin">
                <w:ffData>
                  <w:name w:val=""/>
                  <w:enabled/>
                  <w:calcOnExit w:val="0"/>
                  <w:textInput>
                    <w:maxLength w:val="1500"/>
                  </w:textInput>
                </w:ffData>
              </w:fldChar>
            </w:r>
            <w:r w:rsidR="00BF179A">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B41CEE">
              <w:t xml:space="preserve">PBO Funding expired June 2015,  which leaves another gap that needs funding support because without  this support numerous land cases will be left unresolved and some citizens may result to violet as an option. </w:t>
            </w:r>
            <w:r>
              <w:rPr>
                <w:rFonts w:cs="Times New Roman"/>
                <w:b/>
                <w:sz w:val="22"/>
                <w:szCs w:val="22"/>
              </w:rPr>
              <w:fldChar w:fldCharType="end"/>
            </w:r>
          </w:p>
        </w:tc>
      </w:tr>
    </w:tbl>
    <w:p w:rsidR="00CC0EED" w:rsidRDefault="00CC0EED" w:rsidP="001D7143">
      <w:pPr>
        <w:outlineLvl w:val="0"/>
        <w:rPr>
          <w:rFonts w:cs="Times New Roman"/>
          <w:b/>
          <w:sz w:val="22"/>
          <w:szCs w:val="22"/>
        </w:rPr>
      </w:pPr>
    </w:p>
    <w:p w:rsidR="00CC0EED" w:rsidRDefault="00CC0EED" w:rsidP="001D7143">
      <w:pPr>
        <w:outlineLvl w:val="0"/>
        <w:rPr>
          <w:rFonts w:cs="Times New Roman"/>
          <w:sz w:val="22"/>
          <w:szCs w:val="22"/>
        </w:rPr>
      </w:pPr>
    </w:p>
    <w:p w:rsidR="00CC0EED" w:rsidRDefault="00CC0EED" w:rsidP="001D7143">
      <w:pPr>
        <w:outlineLvl w:val="0"/>
        <w:rPr>
          <w:rFonts w:cs="Times New Roman"/>
          <w:sz w:val="22"/>
          <w:szCs w:val="22"/>
        </w:rPr>
        <w:sectPr w:rsidR="00CC0EED" w:rsidSect="00B127F2">
          <w:pgSz w:w="15840" w:h="12240" w:orient="landscape"/>
          <w:pgMar w:top="1800" w:right="562" w:bottom="1530" w:left="562" w:header="720" w:footer="720" w:gutter="0"/>
          <w:pgNumType w:start="1"/>
          <w:cols w:space="720"/>
          <w:docGrid w:linePitch="360"/>
        </w:sectPr>
      </w:pPr>
    </w:p>
    <w:p w:rsidR="00A10B86" w:rsidRPr="00EE1BD1" w:rsidRDefault="00BB2676" w:rsidP="00A10B86">
      <w:pPr>
        <w:pStyle w:val="BodyText"/>
        <w:jc w:val="both"/>
        <w:rPr>
          <w:bCs/>
        </w:rPr>
      </w:pPr>
      <w:r w:rsidRPr="00C531CB">
        <w:rPr>
          <w:b/>
        </w:rPr>
        <w:lastRenderedPageBreak/>
        <w:t>I</w:t>
      </w:r>
      <w:r w:rsidR="00335D95" w:rsidRPr="00C531CB">
        <w:rPr>
          <w:b/>
        </w:rPr>
        <w:t>NDICATOR BASED PERFORMANCE ASSESSMENT</w:t>
      </w:r>
      <w:r w:rsidR="00A10B86" w:rsidRPr="00D33A6D">
        <w:rPr>
          <w:b/>
          <w:i/>
          <w:sz w:val="22"/>
          <w:szCs w:val="22"/>
        </w:rPr>
        <w:t xml:space="preserve">: </w:t>
      </w:r>
      <w:r w:rsidR="00A10B86" w:rsidRPr="00D33A6D">
        <w:rPr>
          <w:bCs/>
          <w:i/>
          <w:sz w:val="22"/>
          <w:szCs w:val="22"/>
        </w:rPr>
        <w:t xml:space="preserve">Using the </w:t>
      </w:r>
      <w:r w:rsidR="00D95E36">
        <w:rPr>
          <w:b/>
          <w:bCs/>
          <w:i/>
          <w:sz w:val="22"/>
          <w:szCs w:val="22"/>
        </w:rPr>
        <w:t>Project</w:t>
      </w:r>
      <w:r w:rsidR="00D95E36" w:rsidRPr="00D33A6D">
        <w:rPr>
          <w:b/>
          <w:bCs/>
          <w:i/>
          <w:sz w:val="22"/>
          <w:szCs w:val="22"/>
        </w:rPr>
        <w:t xml:space="preserve"> </w:t>
      </w:r>
      <w:r w:rsidR="00A10B86" w:rsidRPr="00D33A6D">
        <w:rPr>
          <w:b/>
          <w:bCs/>
          <w:i/>
          <w:sz w:val="22"/>
          <w:szCs w:val="22"/>
        </w:rPr>
        <w:t xml:space="preserve">Results Framework </w:t>
      </w:r>
      <w:r w:rsidR="000A26AD">
        <w:rPr>
          <w:b/>
          <w:bCs/>
          <w:i/>
          <w:sz w:val="22"/>
          <w:szCs w:val="22"/>
        </w:rPr>
        <w:t>as per the approved project document</w:t>
      </w:r>
      <w:r w:rsidR="00A10B86" w:rsidRPr="00D33A6D">
        <w:rPr>
          <w:bCs/>
          <w:i/>
          <w:sz w:val="22"/>
          <w:szCs w:val="22"/>
        </w:rPr>
        <w:t xml:space="preserve">- provide an update on the achievement of </w:t>
      </w:r>
      <w:r w:rsidR="000A26AD">
        <w:rPr>
          <w:bCs/>
          <w:i/>
          <w:sz w:val="22"/>
          <w:szCs w:val="22"/>
        </w:rPr>
        <w:t xml:space="preserve">key </w:t>
      </w:r>
      <w:r w:rsidR="00A10B86" w:rsidRPr="00D33A6D">
        <w:rPr>
          <w:bCs/>
          <w:i/>
          <w:sz w:val="22"/>
          <w:szCs w:val="22"/>
        </w:rPr>
        <w:t xml:space="preserve">indicators at both the outcome and output level in the table below. Where it has not been possible to collect data on indicators, </w:t>
      </w:r>
      <w:r w:rsidR="00D95E36">
        <w:rPr>
          <w:bCs/>
          <w:i/>
          <w:sz w:val="22"/>
          <w:szCs w:val="22"/>
        </w:rPr>
        <w:t>state this and provide any explanation in the qualitative text above</w:t>
      </w:r>
      <w:r w:rsidR="00A10B86" w:rsidRPr="00D33A6D">
        <w:rPr>
          <w:bCs/>
          <w:i/>
          <w:sz w:val="22"/>
          <w:szCs w:val="22"/>
        </w:rPr>
        <w:t>.</w:t>
      </w:r>
      <w:r w:rsidR="00A10B86">
        <w:rPr>
          <w:bCs/>
        </w:rPr>
        <w:t xml:space="preserve"> </w:t>
      </w:r>
      <w:r w:rsidR="00C54643">
        <w:rPr>
          <w:bCs/>
        </w:rPr>
        <w:t>(250 characters max per entry)</w:t>
      </w:r>
    </w:p>
    <w:p w:rsidR="00132065" w:rsidRDefault="00132065" w:rsidP="001D7143">
      <w:pPr>
        <w:outlineLvl w:val="0"/>
        <w:rPr>
          <w:rFonts w:cs="Times New Roman"/>
          <w:sz w:val="22"/>
          <w:szCs w:val="22"/>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2070"/>
        <w:gridCol w:w="1530"/>
        <w:gridCol w:w="1620"/>
        <w:gridCol w:w="2070"/>
        <w:gridCol w:w="4230"/>
        <w:gridCol w:w="2078"/>
      </w:tblGrid>
      <w:tr w:rsidR="00132065" w:rsidRPr="007D00E3" w:rsidTr="00BF179A">
        <w:tc>
          <w:tcPr>
            <w:tcW w:w="1530" w:type="dxa"/>
          </w:tcPr>
          <w:p w:rsidR="00132065" w:rsidRPr="00DF4C99" w:rsidRDefault="00132065" w:rsidP="006C1B11">
            <w:pPr>
              <w:jc w:val="center"/>
              <w:rPr>
                <w:b/>
              </w:rPr>
            </w:pPr>
          </w:p>
        </w:tc>
        <w:tc>
          <w:tcPr>
            <w:tcW w:w="2070" w:type="dxa"/>
            <w:shd w:val="clear" w:color="auto" w:fill="EEECE1"/>
          </w:tcPr>
          <w:p w:rsidR="00132065" w:rsidRPr="00F3492E" w:rsidRDefault="00132065" w:rsidP="006C1B11">
            <w:pPr>
              <w:jc w:val="center"/>
              <w:rPr>
                <w:b/>
              </w:rPr>
            </w:pPr>
            <w:r w:rsidRPr="00F3492E">
              <w:rPr>
                <w:b/>
              </w:rPr>
              <w:t>Performance Indicators</w:t>
            </w:r>
          </w:p>
        </w:tc>
        <w:tc>
          <w:tcPr>
            <w:tcW w:w="1530" w:type="dxa"/>
            <w:shd w:val="clear" w:color="auto" w:fill="EEECE1"/>
          </w:tcPr>
          <w:p w:rsidR="00132065" w:rsidRPr="00F3492E" w:rsidRDefault="00132065" w:rsidP="006C1B11">
            <w:pPr>
              <w:jc w:val="center"/>
              <w:rPr>
                <w:b/>
              </w:rPr>
            </w:pPr>
            <w:r w:rsidRPr="00F3492E">
              <w:rPr>
                <w:b/>
              </w:rPr>
              <w:t>Indicator Baseline</w:t>
            </w:r>
          </w:p>
        </w:tc>
        <w:tc>
          <w:tcPr>
            <w:tcW w:w="1620" w:type="dxa"/>
            <w:shd w:val="clear" w:color="auto" w:fill="EEECE1"/>
          </w:tcPr>
          <w:p w:rsidR="00132065" w:rsidRPr="00F3492E" w:rsidRDefault="00837D7F" w:rsidP="006C1B11">
            <w:pPr>
              <w:jc w:val="center"/>
              <w:rPr>
                <w:b/>
              </w:rPr>
            </w:pPr>
            <w:r>
              <w:rPr>
                <w:b/>
              </w:rPr>
              <w:t xml:space="preserve">End of project </w:t>
            </w:r>
            <w:r w:rsidR="00132065" w:rsidRPr="00F3492E">
              <w:rPr>
                <w:b/>
              </w:rPr>
              <w:t>Indicator Target</w:t>
            </w:r>
          </w:p>
        </w:tc>
        <w:tc>
          <w:tcPr>
            <w:tcW w:w="2070" w:type="dxa"/>
          </w:tcPr>
          <w:p w:rsidR="00132065" w:rsidRPr="00F3492E" w:rsidRDefault="006A57FB" w:rsidP="006A57FB">
            <w:pPr>
              <w:jc w:val="center"/>
              <w:rPr>
                <w:b/>
              </w:rPr>
            </w:pPr>
            <w:r>
              <w:rPr>
                <w:b/>
              </w:rPr>
              <w:t>Current i</w:t>
            </w:r>
            <w:r w:rsidR="00837D7F">
              <w:rPr>
                <w:b/>
              </w:rPr>
              <w:t>ndicator progress</w:t>
            </w:r>
          </w:p>
        </w:tc>
        <w:tc>
          <w:tcPr>
            <w:tcW w:w="4230" w:type="dxa"/>
          </w:tcPr>
          <w:p w:rsidR="00132065" w:rsidRPr="00F3492E" w:rsidRDefault="00132065" w:rsidP="006C1B11">
            <w:pPr>
              <w:jc w:val="center"/>
              <w:rPr>
                <w:b/>
              </w:rPr>
            </w:pPr>
            <w:r w:rsidRPr="00F3492E">
              <w:rPr>
                <w:b/>
              </w:rPr>
              <w:t>Reasons for Variance</w:t>
            </w:r>
            <w:r w:rsidR="00837D7F">
              <w:rPr>
                <w:b/>
              </w:rPr>
              <w:t>/ Delay</w:t>
            </w:r>
          </w:p>
          <w:p w:rsidR="00132065" w:rsidRPr="00F3492E" w:rsidRDefault="00132065" w:rsidP="006C1B11">
            <w:pPr>
              <w:jc w:val="center"/>
              <w:rPr>
                <w:b/>
              </w:rPr>
            </w:pPr>
            <w:r w:rsidRPr="00F3492E">
              <w:rPr>
                <w:b/>
              </w:rPr>
              <w:t>(if any)</w:t>
            </w:r>
          </w:p>
        </w:tc>
        <w:tc>
          <w:tcPr>
            <w:tcW w:w="2078" w:type="dxa"/>
          </w:tcPr>
          <w:p w:rsidR="00132065" w:rsidRPr="00F3492E" w:rsidRDefault="00837D7F" w:rsidP="006C1B11">
            <w:pPr>
              <w:jc w:val="center"/>
              <w:rPr>
                <w:b/>
              </w:rPr>
            </w:pPr>
            <w:r>
              <w:rPr>
                <w:b/>
              </w:rPr>
              <w:t>Adjustment of target (if any)</w:t>
            </w:r>
          </w:p>
        </w:tc>
      </w:tr>
      <w:tr w:rsidR="00C54643" w:rsidRPr="007D00E3" w:rsidTr="00BF179A">
        <w:trPr>
          <w:trHeight w:val="548"/>
        </w:trPr>
        <w:tc>
          <w:tcPr>
            <w:tcW w:w="1530" w:type="dxa"/>
            <w:vMerge w:val="restart"/>
          </w:tcPr>
          <w:p w:rsidR="00C54643" w:rsidRDefault="00C54643" w:rsidP="00837D7F">
            <w:pPr>
              <w:rPr>
                <w:b/>
              </w:rPr>
            </w:pPr>
            <w:r w:rsidRPr="00DF4C99">
              <w:rPr>
                <w:b/>
              </w:rPr>
              <w:t>Outcome 1</w:t>
            </w:r>
          </w:p>
          <w:p w:rsidR="00C54643" w:rsidRPr="00DF4C99" w:rsidRDefault="001E0E99" w:rsidP="00A7624F">
            <w:pPr>
              <w:rPr>
                <w:b/>
              </w:rPr>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A7624F" w:rsidRPr="00A7624F">
              <w:t>Alternative land dispute resolution system fully operational and managed by a new national Land Agency</w:t>
            </w:r>
            <w:r>
              <w:rPr>
                <w:rFonts w:cs="Times New Roman"/>
                <w:b/>
                <w:sz w:val="22"/>
                <w:szCs w:val="22"/>
              </w:rPr>
              <w:fldChar w:fldCharType="end"/>
            </w:r>
          </w:p>
        </w:tc>
        <w:tc>
          <w:tcPr>
            <w:tcW w:w="2070" w:type="dxa"/>
            <w:shd w:val="clear" w:color="auto" w:fill="EEECE1"/>
          </w:tcPr>
          <w:p w:rsidR="00C54643" w:rsidRDefault="00C54643" w:rsidP="006C1B11">
            <w:pPr>
              <w:jc w:val="both"/>
            </w:pPr>
            <w:r>
              <w:t>Indicator 1.1</w:t>
            </w:r>
          </w:p>
          <w:p w:rsidR="00C54643" w:rsidRPr="00F3492E" w:rsidRDefault="001E0E99" w:rsidP="00A7624F">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A7624F" w:rsidRPr="00A7624F">
              <w:t>Percentage of people who are aware of land rights, alternative land dispute resolution options and the Land Commission (disaggregated by men/women)</w:t>
            </w:r>
            <w:r>
              <w:rPr>
                <w:rFonts w:cs="Times New Roman"/>
                <w:b/>
                <w:sz w:val="22"/>
                <w:szCs w:val="22"/>
              </w:rPr>
              <w:fldChar w:fldCharType="end"/>
            </w:r>
          </w:p>
        </w:tc>
        <w:tc>
          <w:tcPr>
            <w:tcW w:w="1530" w:type="dxa"/>
            <w:shd w:val="clear" w:color="auto" w:fill="EEECE1"/>
          </w:tcPr>
          <w:p w:rsidR="00A7624F" w:rsidRPr="00A7624F" w:rsidRDefault="001E0E99" w:rsidP="00A7624F">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A7624F" w:rsidRPr="00A7624F">
              <w:t xml:space="preserve">(Sep 2012): </w:t>
            </w:r>
          </w:p>
          <w:p w:rsidR="00A7624F" w:rsidRPr="00A7624F" w:rsidRDefault="00A7624F" w:rsidP="00A7624F">
            <w:r w:rsidRPr="00A7624F">
              <w:t xml:space="preserve">35% of key informants (officials) and 9% of the general population </w:t>
            </w:r>
          </w:p>
          <w:p w:rsidR="00C54643" w:rsidRPr="007D00E3" w:rsidRDefault="00A7624F" w:rsidP="00A7624F">
            <w:r w:rsidRPr="00A7624F">
              <w:t>(10% men, 8% women)</w:t>
            </w:r>
            <w:r w:rsidR="001E0E99">
              <w:rPr>
                <w:rFonts w:cs="Times New Roman"/>
                <w:b/>
                <w:sz w:val="22"/>
                <w:szCs w:val="22"/>
              </w:rPr>
              <w:fldChar w:fldCharType="end"/>
            </w:r>
          </w:p>
        </w:tc>
        <w:tc>
          <w:tcPr>
            <w:tcW w:w="1620" w:type="dxa"/>
            <w:shd w:val="clear" w:color="auto" w:fill="EEECE1"/>
          </w:tcPr>
          <w:p w:rsidR="00A7624F" w:rsidRPr="00A7624F" w:rsidRDefault="001E0E99" w:rsidP="00A7624F">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A7624F" w:rsidRPr="00A7624F">
              <w:t xml:space="preserve">Jan 2015): </w:t>
            </w:r>
          </w:p>
          <w:p w:rsidR="00A7624F" w:rsidRPr="00A7624F" w:rsidRDefault="00A7624F" w:rsidP="00A7624F">
            <w:r w:rsidRPr="00A7624F">
              <w:t>70% of key informants (officials) and 45% of the general population of which at least 30% of women</w:t>
            </w:r>
          </w:p>
          <w:p w:rsidR="00C54643" w:rsidRDefault="00A7624F" w:rsidP="00A7624F">
            <w:r w:rsidRPr="00A7624F">
              <w:t>(disaggregated by % men/women)</w:t>
            </w:r>
            <w:r w:rsidR="001E0E99" w:rsidRPr="00A9625C">
              <w:rPr>
                <w:rFonts w:cs="Times New Roman"/>
                <w:b/>
                <w:sz w:val="22"/>
                <w:szCs w:val="22"/>
              </w:rPr>
              <w:fldChar w:fldCharType="end"/>
            </w:r>
          </w:p>
        </w:tc>
        <w:tc>
          <w:tcPr>
            <w:tcW w:w="2070" w:type="dxa"/>
          </w:tcPr>
          <w:p w:rsidR="00C54643" w:rsidRDefault="001E0E99" w:rsidP="006F6A6E">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6F2AB9">
              <w:t>98.5</w:t>
            </w:r>
            <w:r w:rsidR="006F2AB9" w:rsidRPr="006F2AB9">
              <w:t>% of</w:t>
            </w:r>
            <w:r w:rsidR="00EB2ACF">
              <w:t xml:space="preserve"> key informants             (</w:t>
            </w:r>
            <w:r w:rsidR="006F2AB9">
              <w:t>superintendent, Districts Commissioners, Land Commissioner, Directors of Archive Centers, Paramount and Clan Chiefs and Elders</w:t>
            </w:r>
            <w:r w:rsidR="00EB2ACF">
              <w:t>)</w:t>
            </w:r>
            <w:r w:rsidR="006F2AB9" w:rsidRPr="006F2AB9">
              <w:t xml:space="preserve"> and </w:t>
            </w:r>
            <w:r w:rsidR="006F2AB9">
              <w:t>31</w:t>
            </w:r>
            <w:r w:rsidR="006F2AB9" w:rsidRPr="006F2AB9">
              <w:t xml:space="preserve">% of the general population </w:t>
            </w:r>
            <w:r w:rsidR="006F2AB9">
              <w:t xml:space="preserve"> </w:t>
            </w:r>
            <w:r w:rsidR="006F2AB9" w:rsidRPr="006F2AB9">
              <w:t xml:space="preserve">of which </w:t>
            </w:r>
            <w:r w:rsidR="00EB2ACF">
              <w:t xml:space="preserve">at least </w:t>
            </w:r>
            <w:r w:rsidR="006F2AB9">
              <w:t>18</w:t>
            </w:r>
            <w:r w:rsidR="006F2AB9" w:rsidRPr="006F2AB9">
              <w:t xml:space="preserve">% </w:t>
            </w:r>
            <w:r w:rsidR="006F2AB9">
              <w:t xml:space="preserve"> are </w:t>
            </w:r>
            <w:r w:rsidR="006F2AB9" w:rsidRPr="006F2AB9">
              <w:t>women</w:t>
            </w:r>
            <w:r w:rsidR="00EB2ACF">
              <w:t>.</w:t>
            </w:r>
            <w:r w:rsidR="006F2AB9">
              <w:t xml:space="preserve">  </w:t>
            </w:r>
            <w:r w:rsidRPr="00A9625C">
              <w:rPr>
                <w:rFonts w:cs="Times New Roman"/>
                <w:b/>
                <w:sz w:val="22"/>
                <w:szCs w:val="22"/>
              </w:rPr>
              <w:fldChar w:fldCharType="end"/>
            </w:r>
          </w:p>
        </w:tc>
        <w:tc>
          <w:tcPr>
            <w:tcW w:w="4230" w:type="dxa"/>
          </w:tcPr>
          <w:p w:rsidR="00C54643" w:rsidRDefault="001E0E99" w:rsidP="00F97E9F">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97E9F">
              <w:rPr>
                <w:rFonts w:cs="Times New Roman"/>
                <w:b/>
                <w:sz w:val="22"/>
                <w:szCs w:val="22"/>
              </w:rPr>
              <w:t> </w:t>
            </w:r>
            <w:r w:rsidR="00F97E9F">
              <w:rPr>
                <w:rFonts w:cs="Times New Roman"/>
                <w:b/>
                <w:sz w:val="22"/>
                <w:szCs w:val="22"/>
              </w:rPr>
              <w:t> </w:t>
            </w:r>
            <w:r w:rsidR="00F97E9F">
              <w:rPr>
                <w:rFonts w:cs="Times New Roman"/>
                <w:b/>
                <w:sz w:val="22"/>
                <w:szCs w:val="22"/>
              </w:rPr>
              <w:t> </w:t>
            </w:r>
            <w:r w:rsidR="00F97E9F">
              <w:rPr>
                <w:rFonts w:cs="Times New Roman"/>
                <w:b/>
                <w:sz w:val="22"/>
                <w:szCs w:val="22"/>
              </w:rPr>
              <w:t> </w:t>
            </w:r>
            <w:r w:rsidR="00F97E9F">
              <w:rPr>
                <w:rFonts w:cs="Times New Roman"/>
                <w:b/>
                <w:sz w:val="22"/>
                <w:szCs w:val="22"/>
              </w:rPr>
              <w:t> </w:t>
            </w:r>
            <w:r w:rsidRPr="00A9625C">
              <w:rPr>
                <w:rFonts w:cs="Times New Roman"/>
                <w:b/>
                <w:sz w:val="22"/>
                <w:szCs w:val="22"/>
              </w:rPr>
              <w:fldChar w:fldCharType="end"/>
            </w:r>
          </w:p>
        </w:tc>
        <w:tc>
          <w:tcPr>
            <w:tcW w:w="2078" w:type="dxa"/>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548"/>
        </w:trPr>
        <w:tc>
          <w:tcPr>
            <w:tcW w:w="1530" w:type="dxa"/>
            <w:vMerge/>
          </w:tcPr>
          <w:p w:rsidR="00C54643" w:rsidRPr="00D33A6D" w:rsidRDefault="00C54643" w:rsidP="006C1B11"/>
        </w:tc>
        <w:tc>
          <w:tcPr>
            <w:tcW w:w="2070" w:type="dxa"/>
            <w:shd w:val="clear" w:color="auto" w:fill="EEECE1"/>
          </w:tcPr>
          <w:p w:rsidR="00C54643" w:rsidRDefault="00C54643" w:rsidP="006C1B11">
            <w:pPr>
              <w:jc w:val="both"/>
            </w:pPr>
            <w:r>
              <w:t>Indicator 1.2</w:t>
            </w:r>
          </w:p>
          <w:p w:rsidR="000C39AD" w:rsidRPr="000C39AD" w:rsidRDefault="001E0E99" w:rsidP="000C39AD">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A7624F" w:rsidRPr="00A7624F">
              <w:t xml:space="preserve">Number of cases taken in by Land Coordination Centres and resolved </w:t>
            </w:r>
            <w:r w:rsidR="00A7624F" w:rsidRPr="00A7624F">
              <w:lastRenderedPageBreak/>
              <w:t xml:space="preserve">(disaggregated by number of cases submitted by men/women and cases resolved </w:t>
            </w:r>
            <w:r w:rsidR="000C39AD" w:rsidRPr="000C39AD">
              <w:t>involving men/women)</w:t>
            </w:r>
          </w:p>
          <w:p w:rsidR="000C39AD" w:rsidRPr="000C39AD" w:rsidRDefault="000C39AD" w:rsidP="000C39AD"/>
          <w:p w:rsidR="000C39AD" w:rsidRPr="000C39AD" w:rsidRDefault="000C39AD" w:rsidP="000C39AD"/>
          <w:p w:rsidR="00C54643" w:rsidRPr="00F3492E" w:rsidRDefault="000C39AD" w:rsidP="000C39AD">
            <w:pPr>
              <w:jc w:val="both"/>
            </w:pPr>
            <w:r w:rsidRPr="000C39AD">
              <w:t>% cases holding after 1 yr</w:t>
            </w:r>
            <w:r w:rsidR="001E0E99">
              <w:rPr>
                <w:rFonts w:cs="Times New Roman"/>
                <w:b/>
                <w:sz w:val="22"/>
                <w:szCs w:val="22"/>
              </w:rPr>
              <w:fldChar w:fldCharType="end"/>
            </w:r>
          </w:p>
        </w:tc>
        <w:tc>
          <w:tcPr>
            <w:tcW w:w="1530" w:type="dxa"/>
            <w:shd w:val="clear" w:color="auto" w:fill="EEECE1"/>
          </w:tcPr>
          <w:p w:rsidR="000C39AD" w:rsidRPr="000C39AD" w:rsidRDefault="001E0E99" w:rsidP="000C39AD">
            <w:r w:rsidRPr="008B41E0">
              <w:rPr>
                <w:rFonts w:cs="Times New Roman"/>
                <w:b/>
                <w:sz w:val="22"/>
                <w:szCs w:val="22"/>
              </w:rPr>
              <w:lastRenderedPageBreak/>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0C39AD" w:rsidRPr="000C39AD">
              <w:t xml:space="preserve">(June 2013): </w:t>
            </w:r>
          </w:p>
          <w:p w:rsidR="000C39AD" w:rsidRPr="000C39AD" w:rsidRDefault="000C39AD" w:rsidP="000C39AD">
            <w:r w:rsidRPr="000C39AD">
              <w:t>148 cases taken by LCCs</w:t>
            </w:r>
          </w:p>
          <w:p w:rsidR="000C39AD" w:rsidRPr="000C39AD" w:rsidRDefault="000C39AD" w:rsidP="000C39AD">
            <w:r w:rsidRPr="000C39AD">
              <w:t xml:space="preserve">17 cases resolved by </w:t>
            </w:r>
            <w:r w:rsidRPr="000C39AD">
              <w:lastRenderedPageBreak/>
              <w:t>LCCs</w:t>
            </w:r>
          </w:p>
          <w:p w:rsidR="00925283" w:rsidRDefault="000C39AD" w:rsidP="000C39AD">
            <w:r w:rsidRPr="000C39AD">
              <w:t xml:space="preserve">(not yet disaggregated by cases submitted by men/women and cases resolved involvingmen/women </w:t>
            </w:r>
          </w:p>
          <w:p w:rsidR="00925283" w:rsidRDefault="00925283" w:rsidP="000C39AD"/>
          <w:p w:rsidR="00C54643" w:rsidRDefault="00925283" w:rsidP="00925283">
            <w:r w:rsidRPr="00925283">
              <w:t>June 2013: no info</w:t>
            </w:r>
            <w:r>
              <w:t xml:space="preserve">. </w:t>
            </w:r>
            <w:r w:rsidR="001E0E99" w:rsidRPr="008B41E0">
              <w:rPr>
                <w:rFonts w:cs="Times New Roman"/>
                <w:b/>
                <w:sz w:val="22"/>
                <w:szCs w:val="22"/>
              </w:rPr>
              <w:fldChar w:fldCharType="end"/>
            </w:r>
          </w:p>
        </w:tc>
        <w:tc>
          <w:tcPr>
            <w:tcW w:w="1620" w:type="dxa"/>
            <w:shd w:val="clear" w:color="auto" w:fill="EEECE1"/>
          </w:tcPr>
          <w:p w:rsidR="000C39AD" w:rsidRPr="000C39AD" w:rsidRDefault="001E0E99" w:rsidP="000C39AD">
            <w:r w:rsidRPr="00A9625C">
              <w:rPr>
                <w:rFonts w:cs="Times New Roman"/>
                <w:b/>
                <w:sz w:val="22"/>
                <w:szCs w:val="22"/>
              </w:rPr>
              <w:lastRenderedPageBreak/>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0C39AD" w:rsidRPr="000C39AD">
              <w:t xml:space="preserve">(May 2015): </w:t>
            </w:r>
          </w:p>
          <w:p w:rsidR="000C39AD" w:rsidRPr="000C39AD" w:rsidRDefault="000C39AD" w:rsidP="000C39AD">
            <w:r w:rsidRPr="000C39AD">
              <w:t xml:space="preserve">550 cases taken by LCCs </w:t>
            </w:r>
          </w:p>
          <w:p w:rsidR="00925283" w:rsidRDefault="000C39AD" w:rsidP="000C39AD">
            <w:r w:rsidRPr="000C39AD">
              <w:t xml:space="preserve">200 cases resolved by </w:t>
            </w:r>
            <w:r w:rsidRPr="000C39AD">
              <w:lastRenderedPageBreak/>
              <w:t>LCCs, disaggregated by number of cases submitted by men/women and cases resolved involving men/women</w:t>
            </w:r>
          </w:p>
          <w:p w:rsidR="00925283" w:rsidRDefault="00925283" w:rsidP="000C39AD"/>
          <w:p w:rsidR="00C54643" w:rsidRDefault="00925283" w:rsidP="006F6A6E">
            <w:r w:rsidRPr="00925283">
              <w:t xml:space="preserve">May 2015 75% have held (disaggregated by cases involving women) </w:t>
            </w:r>
            <w:r w:rsidR="000C39AD" w:rsidRPr="000C39AD">
              <w:t xml:space="preserve"> </w:t>
            </w:r>
            <w:r w:rsidR="001E0E99" w:rsidRPr="00A9625C">
              <w:rPr>
                <w:rFonts w:cs="Times New Roman"/>
                <w:b/>
                <w:sz w:val="22"/>
                <w:szCs w:val="22"/>
              </w:rPr>
              <w:fldChar w:fldCharType="end"/>
            </w:r>
          </w:p>
        </w:tc>
        <w:tc>
          <w:tcPr>
            <w:tcW w:w="2070" w:type="dxa"/>
          </w:tcPr>
          <w:p w:rsidR="00304C6D" w:rsidRDefault="001E0E99" w:rsidP="002B13D6">
            <w:r w:rsidRPr="00A9625C">
              <w:rPr>
                <w:rFonts w:cs="Times New Roman"/>
                <w:b/>
                <w:sz w:val="22"/>
                <w:szCs w:val="22"/>
              </w:rPr>
              <w:lastRenderedPageBreak/>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2B13D6" w:rsidRPr="002B13D6">
              <w:t>247 land disputes</w:t>
            </w:r>
            <w:r w:rsidR="002B13D6">
              <w:t xml:space="preserve"> cases</w:t>
            </w:r>
            <w:r w:rsidR="002B13D6" w:rsidRPr="002B13D6">
              <w:t xml:space="preserve"> recorded</w:t>
            </w:r>
            <w:r w:rsidR="00304C6D">
              <w:t xml:space="preserve"> by the LCCs</w:t>
            </w:r>
            <w:r w:rsidR="002B13D6" w:rsidRPr="002B13D6">
              <w:t xml:space="preserve">. </w:t>
            </w:r>
            <w:r w:rsidR="00304C6D">
              <w:t>D</w:t>
            </w:r>
            <w:r w:rsidR="002B13D6" w:rsidRPr="002B13D6">
              <w:t xml:space="preserve">ata </w:t>
            </w:r>
            <w:r w:rsidR="00304C6D">
              <w:t>showed that</w:t>
            </w:r>
            <w:r w:rsidR="002B13D6" w:rsidRPr="002B13D6">
              <w:t xml:space="preserve"> 37 cases were reported by </w:t>
            </w:r>
            <w:r w:rsidR="002B13D6" w:rsidRPr="002B13D6">
              <w:lastRenderedPageBreak/>
              <w:t>women and 2</w:t>
            </w:r>
            <w:r w:rsidR="002B13D6">
              <w:t>10</w:t>
            </w:r>
            <w:r w:rsidR="002B13D6" w:rsidRPr="002B13D6">
              <w:t xml:space="preserve"> by men. 67 cases were resolved</w:t>
            </w:r>
            <w:r w:rsidR="002B13D6">
              <w:t xml:space="preserve"> by the LCCs;</w:t>
            </w:r>
            <w:r w:rsidR="002B13D6" w:rsidRPr="002B13D6">
              <w:t xml:space="preserve"> </w:t>
            </w:r>
            <w:r w:rsidR="002B13D6">
              <w:t xml:space="preserve">16 were </w:t>
            </w:r>
            <w:r w:rsidR="00304C6D">
              <w:t xml:space="preserve">report by </w:t>
            </w:r>
            <w:r w:rsidR="002B13D6">
              <w:t xml:space="preserve">women and </w:t>
            </w:r>
            <w:r w:rsidR="002B13D6" w:rsidRPr="002B13D6">
              <w:t>51</w:t>
            </w:r>
            <w:r w:rsidR="00304C6D">
              <w:t xml:space="preserve"> by</w:t>
            </w:r>
            <w:r w:rsidR="002B13D6" w:rsidRPr="002B13D6">
              <w:t xml:space="preserve"> male.</w:t>
            </w:r>
          </w:p>
          <w:p w:rsidR="00304C6D" w:rsidRDefault="00304C6D" w:rsidP="002B13D6"/>
          <w:p w:rsidR="00B97837" w:rsidRDefault="00B97837" w:rsidP="002B13D6"/>
          <w:p w:rsidR="00B97837" w:rsidRDefault="00B97837" w:rsidP="002B13D6"/>
          <w:p w:rsidR="00B97837" w:rsidRDefault="00B97837" w:rsidP="002B13D6"/>
          <w:p w:rsidR="00B97837" w:rsidRDefault="00B97837" w:rsidP="002B13D6"/>
          <w:p w:rsidR="00B97837" w:rsidRDefault="00B97837" w:rsidP="002B13D6"/>
          <w:p w:rsidR="00C54643" w:rsidRDefault="00304C6D" w:rsidP="00B76AD0">
            <w:r>
              <w:t xml:space="preserve">85% of cases have held after 1 yr  of closure </w:t>
            </w:r>
            <w:r w:rsidR="00B76AD0">
              <w:t>and monitoring</w:t>
            </w:r>
            <w:r>
              <w:t xml:space="preserve"> </w:t>
            </w:r>
            <w:r w:rsidR="002B13D6" w:rsidRPr="002B13D6">
              <w:t xml:space="preserve"> </w:t>
            </w:r>
            <w:r w:rsidR="001E0E99" w:rsidRPr="00A9625C">
              <w:rPr>
                <w:rFonts w:cs="Times New Roman"/>
                <w:b/>
                <w:sz w:val="22"/>
                <w:szCs w:val="22"/>
              </w:rPr>
              <w:fldChar w:fldCharType="end"/>
            </w:r>
          </w:p>
        </w:tc>
        <w:tc>
          <w:tcPr>
            <w:tcW w:w="4230" w:type="dxa"/>
          </w:tcPr>
          <w:p w:rsidR="00C54643" w:rsidRDefault="001E0E99">
            <w:r w:rsidRPr="00A9625C">
              <w:rPr>
                <w:rFonts w:cs="Times New Roman"/>
                <w:b/>
                <w:sz w:val="22"/>
                <w:szCs w:val="22"/>
              </w:rPr>
              <w:lastRenderedPageBreak/>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548"/>
        </w:trPr>
        <w:tc>
          <w:tcPr>
            <w:tcW w:w="1530" w:type="dxa"/>
            <w:vMerge w:val="restart"/>
          </w:tcPr>
          <w:p w:rsidR="00C54643" w:rsidRDefault="00C54643" w:rsidP="006C1B11">
            <w:r w:rsidRPr="00D33A6D">
              <w:lastRenderedPageBreak/>
              <w:t>Output 1.1</w:t>
            </w:r>
          </w:p>
          <w:p w:rsidR="00925283" w:rsidRPr="00925283" w:rsidRDefault="001E0E99" w:rsidP="00925283">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925283" w:rsidRPr="00925283">
              <w:t>Support to LC and LCC outreach work</w:t>
            </w:r>
          </w:p>
          <w:p w:rsidR="00C54643" w:rsidRPr="00D33A6D" w:rsidRDefault="00925283" w:rsidP="00925283">
            <w:r w:rsidRPr="00925283">
              <w:t>-core support; technical assistance</w:t>
            </w:r>
            <w:r w:rsidR="001E0E99">
              <w:rPr>
                <w:rFonts w:cs="Times New Roman"/>
                <w:b/>
                <w:sz w:val="22"/>
                <w:szCs w:val="22"/>
              </w:rPr>
              <w:fldChar w:fldCharType="end"/>
            </w:r>
          </w:p>
          <w:p w:rsidR="00C54643" w:rsidRPr="00DF4C99" w:rsidRDefault="00C54643" w:rsidP="006C1B11">
            <w:pPr>
              <w:rPr>
                <w:b/>
              </w:rPr>
            </w:pPr>
          </w:p>
        </w:tc>
        <w:tc>
          <w:tcPr>
            <w:tcW w:w="2070" w:type="dxa"/>
            <w:shd w:val="clear" w:color="auto" w:fill="EEECE1"/>
          </w:tcPr>
          <w:p w:rsidR="00C54643" w:rsidRDefault="00C54643" w:rsidP="006C1B11">
            <w:pPr>
              <w:jc w:val="both"/>
            </w:pPr>
            <w:r w:rsidRPr="00F3492E">
              <w:t>Indicator  1.1.1</w:t>
            </w:r>
          </w:p>
          <w:p w:rsidR="00925283" w:rsidRPr="00925283" w:rsidRDefault="001E0E99" w:rsidP="00925283">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925283" w:rsidRPr="00925283">
              <w:t>Number of persons directly participating in county outreach activities by LC and LCCs (including at least 35% women);</w:t>
            </w:r>
          </w:p>
          <w:p w:rsidR="00925283" w:rsidRPr="00925283" w:rsidRDefault="00925283" w:rsidP="00925283"/>
          <w:p w:rsidR="00925283" w:rsidRPr="00925283" w:rsidRDefault="00925283" w:rsidP="00925283"/>
          <w:p w:rsidR="00C54643" w:rsidRPr="00F3492E" w:rsidRDefault="00925283" w:rsidP="00925283">
            <w:pPr>
              <w:jc w:val="both"/>
            </w:pPr>
            <w:r w:rsidRPr="00925283">
              <w:t xml:space="preserve">% of Liberians (gender </w:t>
            </w:r>
            <w:r w:rsidRPr="00925283">
              <w:lastRenderedPageBreak/>
              <w:t>disaggregated) expressing willingness to use land ADR system</w:t>
            </w:r>
            <w:r w:rsidR="001E0E99">
              <w:rPr>
                <w:rFonts w:cs="Times New Roman"/>
                <w:b/>
                <w:sz w:val="22"/>
                <w:szCs w:val="22"/>
              </w:rPr>
              <w:fldChar w:fldCharType="end"/>
            </w:r>
          </w:p>
        </w:tc>
        <w:tc>
          <w:tcPr>
            <w:tcW w:w="1530" w:type="dxa"/>
            <w:shd w:val="clear" w:color="auto" w:fill="EEECE1"/>
          </w:tcPr>
          <w:p w:rsidR="00460BEA" w:rsidRPr="00460BEA" w:rsidRDefault="001E0E99" w:rsidP="00460BEA">
            <w:r w:rsidRPr="008B41E0">
              <w:rPr>
                <w:rFonts w:cs="Times New Roman"/>
                <w:b/>
                <w:sz w:val="22"/>
                <w:szCs w:val="22"/>
              </w:rPr>
              <w:lastRenderedPageBreak/>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460BEA" w:rsidRPr="00460BEA">
              <w:t xml:space="preserve">Jun 2013: 2850 </w:t>
            </w:r>
          </w:p>
          <w:p w:rsidR="00460BEA" w:rsidRPr="00460BEA" w:rsidRDefault="00460BEA" w:rsidP="00460BEA"/>
          <w:p w:rsidR="00460BEA" w:rsidRPr="00460BEA" w:rsidRDefault="00460BEA" w:rsidP="00460BEA"/>
          <w:p w:rsidR="00460BEA" w:rsidRPr="00460BEA" w:rsidRDefault="00460BEA" w:rsidP="00460BEA"/>
          <w:p w:rsidR="00460BEA" w:rsidRPr="00460BEA" w:rsidRDefault="00460BEA" w:rsidP="00460BEA"/>
          <w:p w:rsidR="00460BEA" w:rsidRPr="00460BEA" w:rsidRDefault="00460BEA" w:rsidP="00460BEA"/>
          <w:p w:rsidR="00460BEA" w:rsidRPr="00460BEA" w:rsidRDefault="00460BEA" w:rsidP="00460BEA"/>
          <w:p w:rsidR="00460BEA" w:rsidRPr="00460BEA" w:rsidRDefault="00460BEA" w:rsidP="00460BEA"/>
          <w:p w:rsidR="00460BEA" w:rsidRPr="00460BEA" w:rsidRDefault="00460BEA" w:rsidP="00460BEA"/>
          <w:p w:rsidR="00460BEA" w:rsidRPr="00460BEA" w:rsidRDefault="00460BEA" w:rsidP="00460BEA"/>
          <w:p w:rsidR="00460BEA" w:rsidRPr="00460BEA" w:rsidRDefault="00460BEA" w:rsidP="00460BEA"/>
          <w:p w:rsidR="00460BEA" w:rsidRPr="00460BEA" w:rsidRDefault="00460BEA" w:rsidP="00460BEA">
            <w:r w:rsidRPr="00460BEA">
              <w:t xml:space="preserve">Jun 2013: no </w:t>
            </w:r>
            <w:r w:rsidRPr="00460BEA">
              <w:lastRenderedPageBreak/>
              <w:t>data</w:t>
            </w:r>
          </w:p>
          <w:p w:rsidR="00C54643" w:rsidRDefault="001E0E99" w:rsidP="00460BEA">
            <w:r w:rsidRPr="008B41E0">
              <w:rPr>
                <w:rFonts w:cs="Times New Roman"/>
                <w:b/>
                <w:sz w:val="22"/>
                <w:szCs w:val="22"/>
              </w:rPr>
              <w:fldChar w:fldCharType="end"/>
            </w:r>
          </w:p>
        </w:tc>
        <w:tc>
          <w:tcPr>
            <w:tcW w:w="1620" w:type="dxa"/>
            <w:shd w:val="clear" w:color="auto" w:fill="EEECE1"/>
          </w:tcPr>
          <w:p w:rsidR="00460BEA" w:rsidRPr="00460BEA" w:rsidRDefault="001E0E99" w:rsidP="00460BEA">
            <w:r w:rsidRPr="00A9625C">
              <w:rPr>
                <w:rFonts w:cs="Times New Roman"/>
                <w:b/>
                <w:sz w:val="22"/>
                <w:szCs w:val="22"/>
              </w:rPr>
              <w:lastRenderedPageBreak/>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460BEA" w:rsidRPr="00460BEA">
              <w:t>May 2015: at least 10,000</w:t>
            </w:r>
          </w:p>
          <w:p w:rsidR="00460BEA" w:rsidRPr="00460BEA" w:rsidRDefault="00460BEA" w:rsidP="00460BEA"/>
          <w:p w:rsidR="00460BEA" w:rsidRPr="00460BEA" w:rsidRDefault="00460BEA" w:rsidP="00460BEA"/>
          <w:p w:rsidR="00460BEA" w:rsidRPr="00460BEA" w:rsidRDefault="00460BEA" w:rsidP="00460BEA"/>
          <w:p w:rsidR="00460BEA" w:rsidRPr="00460BEA" w:rsidRDefault="00460BEA" w:rsidP="00460BEA"/>
          <w:p w:rsidR="00460BEA" w:rsidRPr="00460BEA" w:rsidRDefault="00460BEA" w:rsidP="00460BEA"/>
          <w:p w:rsidR="00460BEA" w:rsidRPr="00460BEA" w:rsidRDefault="00460BEA" w:rsidP="00460BEA"/>
          <w:p w:rsidR="00460BEA" w:rsidRPr="00460BEA" w:rsidRDefault="00460BEA" w:rsidP="00460BEA"/>
          <w:p w:rsidR="00460BEA" w:rsidRPr="00460BEA" w:rsidRDefault="00460BEA" w:rsidP="00460BEA"/>
          <w:p w:rsidR="00460BEA" w:rsidRPr="00460BEA" w:rsidRDefault="00460BEA" w:rsidP="00460BEA"/>
          <w:p w:rsidR="00460BEA" w:rsidRPr="00460BEA" w:rsidRDefault="00460BEA" w:rsidP="00460BEA">
            <w:r w:rsidRPr="00460BEA">
              <w:t xml:space="preserve">Mar 2015: 50% of </w:t>
            </w:r>
            <w:r w:rsidRPr="00460BEA">
              <w:lastRenderedPageBreak/>
              <w:t>genpop and 50% of women expressing willingness</w:t>
            </w:r>
          </w:p>
          <w:p w:rsidR="00C54643" w:rsidRDefault="001E0E99" w:rsidP="00460BEA">
            <w:r w:rsidRPr="00A9625C">
              <w:rPr>
                <w:rFonts w:cs="Times New Roman"/>
                <w:b/>
                <w:sz w:val="22"/>
                <w:szCs w:val="22"/>
              </w:rPr>
              <w:fldChar w:fldCharType="end"/>
            </w:r>
          </w:p>
        </w:tc>
        <w:tc>
          <w:tcPr>
            <w:tcW w:w="2070" w:type="dxa"/>
          </w:tcPr>
          <w:p w:rsidR="00A05818" w:rsidRDefault="001E0E99" w:rsidP="00A05818">
            <w:r w:rsidRPr="00A9625C">
              <w:rPr>
                <w:rFonts w:cs="Times New Roman"/>
                <w:b/>
                <w:sz w:val="22"/>
                <w:szCs w:val="22"/>
              </w:rPr>
              <w:lastRenderedPageBreak/>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A05818">
              <w:t>1321 women and 2718 men directly participated in County Outreach activities.</w:t>
            </w:r>
          </w:p>
          <w:p w:rsidR="00A05818" w:rsidRDefault="00A05818" w:rsidP="00A05818"/>
          <w:p w:rsidR="00A05818" w:rsidRDefault="00A05818" w:rsidP="00A05818"/>
          <w:p w:rsidR="00C54643" w:rsidRDefault="00A05818" w:rsidP="00A05818">
            <w:r>
              <w:t xml:space="preserve">53% of Liberian who lived in the Districts where the LCCs operate express their willingness to use </w:t>
            </w:r>
            <w:r>
              <w:lastRenderedPageBreak/>
              <w:t>Land ADR system. 28% are women and 72% are men.</w:t>
            </w:r>
            <w:r w:rsidR="001E0E99" w:rsidRPr="00A9625C">
              <w:rPr>
                <w:rFonts w:cs="Times New Roman"/>
                <w:b/>
                <w:sz w:val="22"/>
                <w:szCs w:val="22"/>
              </w:rPr>
              <w:fldChar w:fldCharType="end"/>
            </w:r>
          </w:p>
        </w:tc>
        <w:tc>
          <w:tcPr>
            <w:tcW w:w="4230" w:type="dxa"/>
          </w:tcPr>
          <w:p w:rsidR="00C54643" w:rsidRDefault="001E0E99" w:rsidP="00A05818">
            <w:r w:rsidRPr="00A9625C">
              <w:rPr>
                <w:rFonts w:cs="Times New Roman"/>
                <w:b/>
                <w:sz w:val="22"/>
                <w:szCs w:val="22"/>
              </w:rPr>
              <w:lastRenderedPageBreak/>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A05818">
              <w:t xml:space="preserve"> </w:t>
            </w:r>
            <w:r w:rsidRPr="00A9625C">
              <w:rPr>
                <w:rFonts w:cs="Times New Roman"/>
                <w:b/>
                <w:sz w:val="22"/>
                <w:szCs w:val="22"/>
              </w:rPr>
              <w:fldChar w:fldCharType="end"/>
            </w:r>
          </w:p>
        </w:tc>
        <w:tc>
          <w:tcPr>
            <w:tcW w:w="2078" w:type="dxa"/>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512"/>
        </w:trPr>
        <w:tc>
          <w:tcPr>
            <w:tcW w:w="1530" w:type="dxa"/>
            <w:vMerge/>
          </w:tcPr>
          <w:p w:rsidR="00C54643" w:rsidRPr="00DF4C99" w:rsidRDefault="00C54643" w:rsidP="006C1B11">
            <w:pPr>
              <w:rPr>
                <w:b/>
              </w:rPr>
            </w:pPr>
          </w:p>
        </w:tc>
        <w:tc>
          <w:tcPr>
            <w:tcW w:w="2070" w:type="dxa"/>
            <w:shd w:val="clear" w:color="auto" w:fill="EEECE1"/>
          </w:tcPr>
          <w:p w:rsidR="00C54643" w:rsidRDefault="00C54643" w:rsidP="006C1B11">
            <w:pPr>
              <w:jc w:val="both"/>
            </w:pPr>
            <w:r w:rsidRPr="00F3492E">
              <w:t>Indicator 1.1.2</w:t>
            </w:r>
          </w:p>
          <w:p w:rsidR="00C54643" w:rsidRPr="00F3492E" w:rsidRDefault="001E0E99" w:rsidP="006C1B1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1E0E99">
            <w:r w:rsidRPr="008B41E0">
              <w:rPr>
                <w:rFonts w:cs="Times New Roman"/>
                <w:b/>
                <w:sz w:val="22"/>
                <w:szCs w:val="22"/>
              </w:rPr>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Pr="008B41E0">
              <w:rPr>
                <w:rFonts w:cs="Times New Roman"/>
                <w:b/>
                <w:sz w:val="22"/>
                <w:szCs w:val="22"/>
              </w:rPr>
              <w:fldChar w:fldCharType="end"/>
            </w:r>
          </w:p>
        </w:tc>
        <w:tc>
          <w:tcPr>
            <w:tcW w:w="1620" w:type="dxa"/>
            <w:shd w:val="clear" w:color="auto" w:fill="EEECE1"/>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4230" w:type="dxa"/>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440"/>
        </w:trPr>
        <w:tc>
          <w:tcPr>
            <w:tcW w:w="1530" w:type="dxa"/>
            <w:vMerge w:val="restart"/>
          </w:tcPr>
          <w:p w:rsidR="00C54643" w:rsidRDefault="00C54643" w:rsidP="006C1B11">
            <w:r w:rsidRPr="00D33A6D">
              <w:t>Output 1.2</w:t>
            </w:r>
          </w:p>
          <w:p w:rsidR="007615E0" w:rsidRPr="007615E0" w:rsidRDefault="001E0E99" w:rsidP="007615E0">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7615E0" w:rsidRPr="007615E0">
              <w:t>5 LCCs supported</w:t>
            </w:r>
          </w:p>
          <w:p w:rsidR="007615E0" w:rsidRPr="007615E0" w:rsidRDefault="007615E0" w:rsidP="007615E0">
            <w:r w:rsidRPr="007615E0">
              <w:t>- core staff funded and operational</w:t>
            </w:r>
          </w:p>
          <w:p w:rsidR="007615E0" w:rsidRPr="007615E0" w:rsidRDefault="007615E0" w:rsidP="007615E0">
            <w:r w:rsidRPr="007615E0">
              <w:t>1 new LCC set up</w:t>
            </w:r>
          </w:p>
          <w:p w:rsidR="007615E0" w:rsidRPr="007615E0" w:rsidRDefault="007615E0" w:rsidP="007615E0">
            <w:r w:rsidRPr="007615E0">
              <w:t>-staff recruited, trained</w:t>
            </w:r>
          </w:p>
          <w:p w:rsidR="00C54643" w:rsidRPr="00D33A6D" w:rsidRDefault="007615E0" w:rsidP="007615E0">
            <w:r w:rsidRPr="007615E0">
              <w:t>-dispute resolvers trained</w:t>
            </w:r>
            <w:r w:rsidR="001E0E99">
              <w:rPr>
                <w:rFonts w:cs="Times New Roman"/>
                <w:b/>
                <w:sz w:val="22"/>
                <w:szCs w:val="22"/>
              </w:rPr>
              <w:fldChar w:fldCharType="end"/>
            </w:r>
          </w:p>
        </w:tc>
        <w:tc>
          <w:tcPr>
            <w:tcW w:w="2070" w:type="dxa"/>
            <w:shd w:val="clear" w:color="auto" w:fill="EEECE1"/>
          </w:tcPr>
          <w:p w:rsidR="00C54643" w:rsidRDefault="00C54643" w:rsidP="006C1B11">
            <w:pPr>
              <w:jc w:val="both"/>
            </w:pPr>
            <w:r w:rsidRPr="00F3492E">
              <w:t>Indicator  1.2.1</w:t>
            </w:r>
          </w:p>
          <w:p w:rsidR="00460BEA" w:rsidRPr="00460BEA" w:rsidRDefault="001E0E99" w:rsidP="00460BEA">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460BEA" w:rsidRPr="00460BEA">
              <w:t>Performance reviews of LC and LCC staff</w:t>
            </w:r>
          </w:p>
          <w:p w:rsidR="00460BEA" w:rsidRPr="00460BEA" w:rsidRDefault="00460BEA" w:rsidP="00460BEA"/>
          <w:p w:rsidR="00460BEA" w:rsidRPr="00460BEA" w:rsidRDefault="00460BEA" w:rsidP="00460BEA"/>
          <w:p w:rsidR="00460BEA" w:rsidRPr="00460BEA" w:rsidRDefault="00460BEA" w:rsidP="00460BEA">
            <w:r w:rsidRPr="00460BEA">
              <w:t>Dispute resolvers trained</w:t>
            </w:r>
          </w:p>
          <w:p w:rsidR="00C54643" w:rsidRPr="00F3492E" w:rsidRDefault="001E0E99" w:rsidP="00460BEA">
            <w:pPr>
              <w:jc w:val="both"/>
            </w:pPr>
            <w:r>
              <w:rPr>
                <w:rFonts w:cs="Times New Roman"/>
                <w:b/>
                <w:sz w:val="22"/>
                <w:szCs w:val="22"/>
              </w:rPr>
              <w:fldChar w:fldCharType="end"/>
            </w:r>
          </w:p>
        </w:tc>
        <w:tc>
          <w:tcPr>
            <w:tcW w:w="1530" w:type="dxa"/>
            <w:shd w:val="clear" w:color="auto" w:fill="EEECE1"/>
          </w:tcPr>
          <w:p w:rsidR="00460BEA" w:rsidRPr="00460BEA" w:rsidRDefault="001E0E99" w:rsidP="00460BEA">
            <w:r w:rsidRPr="008B41E0">
              <w:rPr>
                <w:rFonts w:cs="Times New Roman"/>
                <w:b/>
                <w:sz w:val="22"/>
                <w:szCs w:val="22"/>
              </w:rPr>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460BEA" w:rsidRPr="00460BEA">
              <w:t xml:space="preserve">June 2013: 0 performance reviews </w:t>
            </w:r>
          </w:p>
          <w:p w:rsidR="00460BEA" w:rsidRPr="00460BEA" w:rsidRDefault="00460BEA" w:rsidP="00460BEA"/>
          <w:p w:rsidR="00460BEA" w:rsidRPr="00460BEA" w:rsidRDefault="00460BEA" w:rsidP="00460BEA"/>
          <w:p w:rsidR="00460BEA" w:rsidRPr="00460BEA" w:rsidRDefault="00460BEA" w:rsidP="00460BEA"/>
          <w:p w:rsidR="00C54643" w:rsidRDefault="00460BEA" w:rsidP="00460BEA">
            <w:r w:rsidRPr="00460BEA">
              <w:t xml:space="preserve">Jun 2013: 273 community members trained, (209 men and 64 women/30% women) </w:t>
            </w:r>
            <w:r w:rsidR="001E0E99" w:rsidRPr="008B41E0">
              <w:rPr>
                <w:rFonts w:cs="Times New Roman"/>
                <w:b/>
                <w:sz w:val="22"/>
                <w:szCs w:val="22"/>
              </w:rPr>
              <w:fldChar w:fldCharType="end"/>
            </w:r>
          </w:p>
        </w:tc>
        <w:tc>
          <w:tcPr>
            <w:tcW w:w="1620" w:type="dxa"/>
            <w:shd w:val="clear" w:color="auto" w:fill="EEECE1"/>
          </w:tcPr>
          <w:p w:rsidR="00460BEA" w:rsidRPr="00460BEA" w:rsidRDefault="001E0E99" w:rsidP="00460BEA">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460BEA" w:rsidRPr="00460BEA">
              <w:t>May 2015: 30 (1 per LCC staff member)</w:t>
            </w:r>
          </w:p>
          <w:p w:rsidR="00460BEA" w:rsidRPr="00460BEA" w:rsidRDefault="00460BEA" w:rsidP="00460BEA"/>
          <w:p w:rsidR="00460BEA" w:rsidRPr="00460BEA" w:rsidRDefault="00460BEA" w:rsidP="00460BEA"/>
          <w:p w:rsidR="00460BEA" w:rsidRPr="00460BEA" w:rsidRDefault="00460BEA" w:rsidP="00460BEA"/>
          <w:p w:rsidR="00460BEA" w:rsidRPr="00460BEA" w:rsidRDefault="00460BEA" w:rsidP="00460BEA">
            <w:r w:rsidRPr="00460BEA">
              <w:t>May 2015: 750 (including at least 40% women)</w:t>
            </w:r>
          </w:p>
          <w:p w:rsidR="00C54643" w:rsidRDefault="001E0E99" w:rsidP="00460BEA">
            <w:r w:rsidRPr="00A9625C">
              <w:rPr>
                <w:rFonts w:cs="Times New Roman"/>
                <w:b/>
                <w:sz w:val="22"/>
                <w:szCs w:val="22"/>
              </w:rPr>
              <w:fldChar w:fldCharType="end"/>
            </w:r>
          </w:p>
        </w:tc>
        <w:tc>
          <w:tcPr>
            <w:tcW w:w="2070" w:type="dxa"/>
          </w:tcPr>
          <w:p w:rsidR="00D7369B" w:rsidRDefault="001E0E99" w:rsidP="00ED2103">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rsidR="00D7369B" w:rsidRDefault="00D7369B" w:rsidP="00ED2103"/>
          <w:p w:rsidR="00D7369B" w:rsidRDefault="00D7369B" w:rsidP="00ED2103"/>
          <w:p w:rsidR="00D7369B" w:rsidRDefault="00D7369B" w:rsidP="00ED2103"/>
          <w:p w:rsidR="00D7369B" w:rsidRDefault="00D7369B" w:rsidP="00ED2103"/>
          <w:p w:rsidR="00D7369B" w:rsidRDefault="00D7369B" w:rsidP="00ED2103"/>
          <w:p w:rsidR="00ED2103" w:rsidRDefault="00ED2103" w:rsidP="00ED2103">
            <w:r>
              <w:t>505 disputes resolvers trained are stay being mentored</w:t>
            </w:r>
          </w:p>
          <w:p w:rsidR="00ED2103" w:rsidRDefault="00ED2103" w:rsidP="00ED2103"/>
          <w:p w:rsidR="00ED2103" w:rsidRDefault="00ED2103" w:rsidP="00ED2103"/>
          <w:p w:rsidR="00C54643" w:rsidRDefault="001E0E99" w:rsidP="00ED2103">
            <w:r w:rsidRPr="00A9625C">
              <w:rPr>
                <w:rFonts w:cs="Times New Roman"/>
                <w:b/>
                <w:sz w:val="22"/>
                <w:szCs w:val="22"/>
              </w:rPr>
              <w:fldChar w:fldCharType="end"/>
            </w:r>
          </w:p>
        </w:tc>
        <w:tc>
          <w:tcPr>
            <w:tcW w:w="4230" w:type="dxa"/>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467"/>
        </w:trPr>
        <w:tc>
          <w:tcPr>
            <w:tcW w:w="1530" w:type="dxa"/>
            <w:vMerge/>
          </w:tcPr>
          <w:p w:rsidR="00C54643" w:rsidRPr="00DF4C99" w:rsidRDefault="00C54643" w:rsidP="006C1B11">
            <w:pPr>
              <w:rPr>
                <w:b/>
              </w:rPr>
            </w:pPr>
          </w:p>
        </w:tc>
        <w:tc>
          <w:tcPr>
            <w:tcW w:w="2070" w:type="dxa"/>
            <w:shd w:val="clear" w:color="auto" w:fill="EEECE1"/>
          </w:tcPr>
          <w:p w:rsidR="00C54643" w:rsidRDefault="00C54643" w:rsidP="006C1B11">
            <w:pPr>
              <w:jc w:val="both"/>
            </w:pPr>
            <w:r w:rsidRPr="00F3492E">
              <w:t>Indicator 1.2.2</w:t>
            </w:r>
          </w:p>
          <w:p w:rsidR="00C54643" w:rsidRPr="00F3492E" w:rsidRDefault="001E0E99" w:rsidP="006C1B1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1E0E99">
            <w:r w:rsidRPr="008B41E0">
              <w:rPr>
                <w:rFonts w:cs="Times New Roman"/>
                <w:b/>
                <w:sz w:val="22"/>
                <w:szCs w:val="22"/>
              </w:rPr>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Pr="008B41E0">
              <w:rPr>
                <w:rFonts w:cs="Times New Roman"/>
                <w:b/>
                <w:sz w:val="22"/>
                <w:szCs w:val="22"/>
              </w:rPr>
              <w:fldChar w:fldCharType="end"/>
            </w:r>
          </w:p>
        </w:tc>
        <w:tc>
          <w:tcPr>
            <w:tcW w:w="1620" w:type="dxa"/>
            <w:shd w:val="clear" w:color="auto" w:fill="EEECE1"/>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4230" w:type="dxa"/>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422"/>
        </w:trPr>
        <w:tc>
          <w:tcPr>
            <w:tcW w:w="1530" w:type="dxa"/>
            <w:vMerge w:val="restart"/>
          </w:tcPr>
          <w:p w:rsidR="00C54643" w:rsidRDefault="00C54643" w:rsidP="006C1B11">
            <w:r w:rsidRPr="00CC0EED">
              <w:t>Output 1.3</w:t>
            </w:r>
          </w:p>
          <w:p w:rsidR="00C54643" w:rsidRPr="00CC0EED" w:rsidRDefault="001E0E99" w:rsidP="006C1B11">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2070" w:type="dxa"/>
            <w:shd w:val="clear" w:color="auto" w:fill="EEECE1"/>
          </w:tcPr>
          <w:p w:rsidR="00C54643" w:rsidRDefault="00C54643" w:rsidP="006C1B11">
            <w:pPr>
              <w:jc w:val="both"/>
            </w:pPr>
            <w:r>
              <w:t>Indicator 1.3.1</w:t>
            </w:r>
          </w:p>
          <w:p w:rsidR="00C54643" w:rsidRDefault="001E0E99" w:rsidP="006C1B1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1E0E99">
            <w:r w:rsidRPr="008B41E0">
              <w:rPr>
                <w:rFonts w:cs="Times New Roman"/>
                <w:b/>
                <w:sz w:val="22"/>
                <w:szCs w:val="22"/>
              </w:rPr>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Pr="008B41E0">
              <w:rPr>
                <w:rFonts w:cs="Times New Roman"/>
                <w:b/>
                <w:sz w:val="22"/>
                <w:szCs w:val="22"/>
              </w:rPr>
              <w:fldChar w:fldCharType="end"/>
            </w:r>
          </w:p>
        </w:tc>
        <w:tc>
          <w:tcPr>
            <w:tcW w:w="1620" w:type="dxa"/>
            <w:shd w:val="clear" w:color="auto" w:fill="EEECE1"/>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4230" w:type="dxa"/>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422"/>
        </w:trPr>
        <w:tc>
          <w:tcPr>
            <w:tcW w:w="1530" w:type="dxa"/>
            <w:vMerge/>
          </w:tcPr>
          <w:p w:rsidR="00C54643" w:rsidRPr="00DF4C99" w:rsidRDefault="00C54643" w:rsidP="006C1B11">
            <w:pPr>
              <w:rPr>
                <w:b/>
              </w:rPr>
            </w:pPr>
          </w:p>
        </w:tc>
        <w:tc>
          <w:tcPr>
            <w:tcW w:w="2070" w:type="dxa"/>
            <w:shd w:val="clear" w:color="auto" w:fill="EEECE1"/>
          </w:tcPr>
          <w:p w:rsidR="00C54643" w:rsidRDefault="00C54643" w:rsidP="006C1B11">
            <w:pPr>
              <w:jc w:val="both"/>
            </w:pPr>
            <w:r>
              <w:t>Indicator 1.3.2</w:t>
            </w:r>
          </w:p>
          <w:p w:rsidR="00C54643" w:rsidRDefault="001E0E99" w:rsidP="006C1B1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1E0E99">
            <w:r w:rsidRPr="008B41E0">
              <w:rPr>
                <w:rFonts w:cs="Times New Roman"/>
                <w:b/>
                <w:sz w:val="22"/>
                <w:szCs w:val="22"/>
              </w:rPr>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Pr="008B41E0">
              <w:rPr>
                <w:rFonts w:cs="Times New Roman"/>
                <w:b/>
                <w:sz w:val="22"/>
                <w:szCs w:val="22"/>
              </w:rPr>
              <w:fldChar w:fldCharType="end"/>
            </w:r>
          </w:p>
        </w:tc>
        <w:tc>
          <w:tcPr>
            <w:tcW w:w="1620" w:type="dxa"/>
            <w:shd w:val="clear" w:color="auto" w:fill="EEECE1"/>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4230" w:type="dxa"/>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422"/>
        </w:trPr>
        <w:tc>
          <w:tcPr>
            <w:tcW w:w="1530" w:type="dxa"/>
            <w:vMerge w:val="restart"/>
          </w:tcPr>
          <w:p w:rsidR="00C54643" w:rsidRDefault="00C54643" w:rsidP="006C1B11">
            <w:pPr>
              <w:rPr>
                <w:b/>
              </w:rPr>
            </w:pPr>
            <w:r w:rsidRPr="00DF4C99">
              <w:rPr>
                <w:b/>
              </w:rPr>
              <w:t>Outcome 2</w:t>
            </w:r>
          </w:p>
          <w:p w:rsidR="00C54643" w:rsidRPr="00DF4C99" w:rsidRDefault="001E0E99" w:rsidP="006C1B11">
            <w:pPr>
              <w:rPr>
                <w:b/>
              </w:rPr>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90B3E" w:rsidRPr="00390B3E">
              <w:t xml:space="preserve">Overlaps eliminated </w:t>
            </w:r>
            <w:r w:rsidR="00390B3E" w:rsidRPr="00390B3E">
              <w:lastRenderedPageBreak/>
              <w:t>and synergies established with the Justice and Security Hubs;</w:t>
            </w:r>
            <w:r>
              <w:rPr>
                <w:rFonts w:cs="Times New Roman"/>
                <w:b/>
                <w:sz w:val="22"/>
                <w:szCs w:val="22"/>
              </w:rPr>
              <w:fldChar w:fldCharType="end"/>
            </w:r>
          </w:p>
          <w:p w:rsidR="00C54643" w:rsidRPr="00DF4C99" w:rsidRDefault="00C54643" w:rsidP="006C1B11">
            <w:pPr>
              <w:rPr>
                <w:b/>
              </w:rPr>
            </w:pPr>
          </w:p>
        </w:tc>
        <w:tc>
          <w:tcPr>
            <w:tcW w:w="2070" w:type="dxa"/>
            <w:shd w:val="clear" w:color="auto" w:fill="EEECE1"/>
          </w:tcPr>
          <w:p w:rsidR="00C54643" w:rsidRDefault="00C54643" w:rsidP="006C1B11">
            <w:pPr>
              <w:jc w:val="both"/>
            </w:pPr>
            <w:r>
              <w:lastRenderedPageBreak/>
              <w:t>Indicator 2.1</w:t>
            </w:r>
          </w:p>
          <w:p w:rsidR="00C54643" w:rsidRPr="00F3492E" w:rsidRDefault="001E0E99" w:rsidP="00460BEA">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460BEA" w:rsidRPr="00460BEA">
              <w:t xml:space="preserve">Joint activities undertaken with </w:t>
            </w:r>
            <w:r w:rsidR="00460BEA" w:rsidRPr="00460BEA">
              <w:lastRenderedPageBreak/>
              <w:t>Hubs</w:t>
            </w:r>
            <w:r>
              <w:rPr>
                <w:rFonts w:cs="Times New Roman"/>
                <w:b/>
                <w:sz w:val="22"/>
                <w:szCs w:val="22"/>
              </w:rPr>
              <w:fldChar w:fldCharType="end"/>
            </w:r>
          </w:p>
        </w:tc>
        <w:tc>
          <w:tcPr>
            <w:tcW w:w="1530" w:type="dxa"/>
            <w:shd w:val="clear" w:color="auto" w:fill="EEECE1"/>
          </w:tcPr>
          <w:p w:rsidR="00C54643" w:rsidRDefault="001E0E99" w:rsidP="00460BEA">
            <w:r w:rsidRPr="008B41E0">
              <w:rPr>
                <w:rFonts w:cs="Times New Roman"/>
                <w:b/>
                <w:sz w:val="22"/>
                <w:szCs w:val="22"/>
              </w:rPr>
              <w:lastRenderedPageBreak/>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460BEA" w:rsidRPr="00460BEA">
              <w:t>June 2013: 0 joint activities</w:t>
            </w:r>
            <w:r w:rsidRPr="008B41E0">
              <w:rPr>
                <w:rFonts w:cs="Times New Roman"/>
                <w:b/>
                <w:sz w:val="22"/>
                <w:szCs w:val="22"/>
              </w:rPr>
              <w:fldChar w:fldCharType="end"/>
            </w:r>
          </w:p>
        </w:tc>
        <w:tc>
          <w:tcPr>
            <w:tcW w:w="1620" w:type="dxa"/>
            <w:shd w:val="clear" w:color="auto" w:fill="EEECE1"/>
          </w:tcPr>
          <w:p w:rsidR="00C54643" w:rsidRDefault="001E0E99" w:rsidP="00460BEA">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460BEA" w:rsidRPr="00460BEA">
              <w:t>May 2015:6 joint activities</w:t>
            </w:r>
            <w:r w:rsidRPr="00A9625C">
              <w:rPr>
                <w:rFonts w:cs="Times New Roman"/>
                <w:b/>
                <w:sz w:val="22"/>
                <w:szCs w:val="22"/>
              </w:rPr>
              <w:fldChar w:fldCharType="end"/>
            </w:r>
          </w:p>
        </w:tc>
        <w:tc>
          <w:tcPr>
            <w:tcW w:w="2070" w:type="dxa"/>
          </w:tcPr>
          <w:p w:rsidR="00C54643" w:rsidRDefault="001E0E99" w:rsidP="0020486B">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20486B">
              <w:t>2 joint meetings with hub and other LDRT members</w:t>
            </w:r>
            <w:r w:rsidRPr="00A9625C">
              <w:rPr>
                <w:rFonts w:cs="Times New Roman"/>
                <w:b/>
                <w:sz w:val="22"/>
                <w:szCs w:val="22"/>
              </w:rPr>
              <w:fldChar w:fldCharType="end"/>
            </w:r>
          </w:p>
        </w:tc>
        <w:tc>
          <w:tcPr>
            <w:tcW w:w="4230" w:type="dxa"/>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422"/>
        </w:trPr>
        <w:tc>
          <w:tcPr>
            <w:tcW w:w="1530" w:type="dxa"/>
            <w:vMerge/>
          </w:tcPr>
          <w:p w:rsidR="00C54643" w:rsidRPr="00D33A6D" w:rsidRDefault="00C54643" w:rsidP="006C1B11"/>
        </w:tc>
        <w:tc>
          <w:tcPr>
            <w:tcW w:w="2070" w:type="dxa"/>
            <w:shd w:val="clear" w:color="auto" w:fill="EEECE1"/>
          </w:tcPr>
          <w:p w:rsidR="00C54643" w:rsidRDefault="00C54643" w:rsidP="006C1B11">
            <w:pPr>
              <w:jc w:val="both"/>
            </w:pPr>
            <w:r>
              <w:t>Indicator 2.2</w:t>
            </w:r>
          </w:p>
          <w:p w:rsidR="00C54643" w:rsidRPr="00F3492E" w:rsidRDefault="001E0E99" w:rsidP="006C1B1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1E0E99">
            <w:r w:rsidRPr="008B41E0">
              <w:rPr>
                <w:rFonts w:cs="Times New Roman"/>
                <w:b/>
                <w:sz w:val="22"/>
                <w:szCs w:val="22"/>
              </w:rPr>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Pr="008B41E0">
              <w:rPr>
                <w:rFonts w:cs="Times New Roman"/>
                <w:b/>
                <w:sz w:val="22"/>
                <w:szCs w:val="22"/>
              </w:rPr>
              <w:fldChar w:fldCharType="end"/>
            </w:r>
          </w:p>
        </w:tc>
        <w:tc>
          <w:tcPr>
            <w:tcW w:w="1620" w:type="dxa"/>
            <w:shd w:val="clear" w:color="auto" w:fill="EEECE1"/>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4230" w:type="dxa"/>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422"/>
        </w:trPr>
        <w:tc>
          <w:tcPr>
            <w:tcW w:w="1530" w:type="dxa"/>
            <w:vMerge w:val="restart"/>
          </w:tcPr>
          <w:p w:rsidR="00C54643" w:rsidRDefault="00C54643" w:rsidP="006C1B11">
            <w:r w:rsidRPr="00D33A6D">
              <w:t>Output 2.1</w:t>
            </w:r>
          </w:p>
          <w:p w:rsidR="00390B3E" w:rsidRPr="00390B3E" w:rsidRDefault="001E0E99" w:rsidP="00390B3E">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90B3E" w:rsidRPr="00390B3E">
              <w:t>Harmonised activities with Hubs</w:t>
            </w:r>
          </w:p>
          <w:p w:rsidR="00390B3E" w:rsidRPr="00390B3E" w:rsidRDefault="00390B3E" w:rsidP="00390B3E">
            <w:r w:rsidRPr="00390B3E">
              <w:t>- Joint outreach trips</w:t>
            </w:r>
          </w:p>
          <w:p w:rsidR="00390B3E" w:rsidRPr="00390B3E" w:rsidRDefault="00390B3E" w:rsidP="00390B3E">
            <w:r w:rsidRPr="00390B3E">
              <w:t>- Land trainings by LC to Hub staff</w:t>
            </w:r>
          </w:p>
          <w:p w:rsidR="00C54643" w:rsidRPr="00D33A6D" w:rsidRDefault="00390B3E" w:rsidP="00390B3E">
            <w:r w:rsidRPr="00390B3E">
              <w:t>-Referrals</w:t>
            </w:r>
            <w:r w:rsidR="001E0E99">
              <w:rPr>
                <w:rFonts w:cs="Times New Roman"/>
                <w:b/>
                <w:sz w:val="22"/>
                <w:szCs w:val="22"/>
              </w:rPr>
              <w:fldChar w:fldCharType="end"/>
            </w:r>
          </w:p>
          <w:p w:rsidR="00C54643" w:rsidRPr="00DF4C99" w:rsidRDefault="00C54643" w:rsidP="006C1B11">
            <w:pPr>
              <w:rPr>
                <w:b/>
              </w:rPr>
            </w:pPr>
          </w:p>
        </w:tc>
        <w:tc>
          <w:tcPr>
            <w:tcW w:w="2070" w:type="dxa"/>
            <w:shd w:val="clear" w:color="auto" w:fill="EEECE1"/>
          </w:tcPr>
          <w:p w:rsidR="00C54643" w:rsidRDefault="00C54643" w:rsidP="006C1B11">
            <w:pPr>
              <w:jc w:val="both"/>
            </w:pPr>
            <w:r w:rsidRPr="00F3492E">
              <w:t>Indicator  2.1.1</w:t>
            </w:r>
          </w:p>
          <w:p w:rsidR="00C54643" w:rsidRPr="00F3492E" w:rsidRDefault="001E0E99" w:rsidP="00460BEA">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460BEA" w:rsidRPr="00460BEA">
              <w:t># of referrals by Hubs to LCCs or vice versa</w:t>
            </w:r>
            <w:r>
              <w:rPr>
                <w:rFonts w:cs="Times New Roman"/>
                <w:b/>
                <w:sz w:val="22"/>
                <w:szCs w:val="22"/>
              </w:rPr>
              <w:fldChar w:fldCharType="end"/>
            </w:r>
          </w:p>
        </w:tc>
        <w:tc>
          <w:tcPr>
            <w:tcW w:w="1530" w:type="dxa"/>
            <w:shd w:val="clear" w:color="auto" w:fill="EEECE1"/>
          </w:tcPr>
          <w:p w:rsidR="00460BEA" w:rsidRPr="00460BEA" w:rsidRDefault="001E0E99" w:rsidP="00460BEA">
            <w:r w:rsidRPr="008B41E0">
              <w:rPr>
                <w:rFonts w:cs="Times New Roman"/>
                <w:b/>
                <w:sz w:val="22"/>
                <w:szCs w:val="22"/>
              </w:rPr>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460BEA" w:rsidRPr="00460BEA">
              <w:t xml:space="preserve">Jun 2013: 1 referral </w:t>
            </w:r>
          </w:p>
          <w:p w:rsidR="00C54643" w:rsidRDefault="001E0E99" w:rsidP="00460BEA">
            <w:r w:rsidRPr="008B41E0">
              <w:rPr>
                <w:rFonts w:cs="Times New Roman"/>
                <w:b/>
                <w:sz w:val="22"/>
                <w:szCs w:val="22"/>
              </w:rPr>
              <w:fldChar w:fldCharType="end"/>
            </w:r>
          </w:p>
        </w:tc>
        <w:tc>
          <w:tcPr>
            <w:tcW w:w="1620" w:type="dxa"/>
            <w:shd w:val="clear" w:color="auto" w:fill="EEECE1"/>
          </w:tcPr>
          <w:p w:rsidR="00C54643" w:rsidRDefault="001E0E99" w:rsidP="00460BEA">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460BEA" w:rsidRPr="00460BEA">
              <w:t>May 2015: 30 referrals</w:t>
            </w:r>
            <w:r w:rsidRPr="00A9625C">
              <w:rPr>
                <w:rFonts w:cs="Times New Roman"/>
                <w:b/>
                <w:sz w:val="22"/>
                <w:szCs w:val="22"/>
              </w:rPr>
              <w:fldChar w:fldCharType="end"/>
            </w:r>
          </w:p>
        </w:tc>
        <w:tc>
          <w:tcPr>
            <w:tcW w:w="2070" w:type="dxa"/>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4230" w:type="dxa"/>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458"/>
        </w:trPr>
        <w:tc>
          <w:tcPr>
            <w:tcW w:w="1530" w:type="dxa"/>
            <w:vMerge/>
          </w:tcPr>
          <w:p w:rsidR="00C54643" w:rsidRPr="00DF4C99" w:rsidRDefault="00C54643" w:rsidP="006C1B11">
            <w:pPr>
              <w:rPr>
                <w:b/>
              </w:rPr>
            </w:pPr>
          </w:p>
        </w:tc>
        <w:tc>
          <w:tcPr>
            <w:tcW w:w="2070" w:type="dxa"/>
            <w:shd w:val="clear" w:color="auto" w:fill="EEECE1"/>
          </w:tcPr>
          <w:p w:rsidR="00C54643" w:rsidRDefault="00C54643" w:rsidP="006C1B11">
            <w:pPr>
              <w:jc w:val="both"/>
            </w:pPr>
            <w:r w:rsidRPr="00F3492E">
              <w:t>Indicator  2.1.2</w:t>
            </w:r>
          </w:p>
          <w:p w:rsidR="00C54643" w:rsidRPr="00F3492E" w:rsidRDefault="001E0E99" w:rsidP="006C1B1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1E0E99">
            <w:r w:rsidRPr="008B41E0">
              <w:rPr>
                <w:rFonts w:cs="Times New Roman"/>
                <w:b/>
                <w:sz w:val="22"/>
                <w:szCs w:val="22"/>
              </w:rPr>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Pr="008B41E0">
              <w:rPr>
                <w:rFonts w:cs="Times New Roman"/>
                <w:b/>
                <w:sz w:val="22"/>
                <w:szCs w:val="22"/>
              </w:rPr>
              <w:fldChar w:fldCharType="end"/>
            </w:r>
          </w:p>
        </w:tc>
        <w:tc>
          <w:tcPr>
            <w:tcW w:w="1620" w:type="dxa"/>
            <w:shd w:val="clear" w:color="auto" w:fill="EEECE1"/>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4230" w:type="dxa"/>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512"/>
        </w:trPr>
        <w:tc>
          <w:tcPr>
            <w:tcW w:w="1530" w:type="dxa"/>
            <w:vMerge w:val="restart"/>
          </w:tcPr>
          <w:p w:rsidR="00C54643" w:rsidRPr="00DF4C99" w:rsidRDefault="00C54643" w:rsidP="006C1B11">
            <w:pPr>
              <w:rPr>
                <w:b/>
              </w:rPr>
            </w:pPr>
          </w:p>
          <w:p w:rsidR="00C54643" w:rsidRDefault="00C54643" w:rsidP="006C1B11">
            <w:r w:rsidRPr="00D33A6D">
              <w:t>Output 2.2</w:t>
            </w:r>
          </w:p>
          <w:p w:rsidR="00C54643" w:rsidRPr="00D33A6D" w:rsidRDefault="001E0E99" w:rsidP="006C1B11">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2070" w:type="dxa"/>
            <w:shd w:val="clear" w:color="auto" w:fill="EEECE1"/>
          </w:tcPr>
          <w:p w:rsidR="00C54643" w:rsidRDefault="00C54643" w:rsidP="006C1B11">
            <w:pPr>
              <w:jc w:val="both"/>
            </w:pPr>
            <w:r w:rsidRPr="00F3492E">
              <w:t>Indicator  2.2.1</w:t>
            </w:r>
          </w:p>
          <w:p w:rsidR="00C54643" w:rsidRPr="00F3492E" w:rsidRDefault="001E0E99" w:rsidP="006C1B1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1E0E99">
            <w:r w:rsidRPr="008B41E0">
              <w:rPr>
                <w:rFonts w:cs="Times New Roman"/>
                <w:b/>
                <w:sz w:val="22"/>
                <w:szCs w:val="22"/>
              </w:rPr>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Pr="008B41E0">
              <w:rPr>
                <w:rFonts w:cs="Times New Roman"/>
                <w:b/>
                <w:sz w:val="22"/>
                <w:szCs w:val="22"/>
              </w:rPr>
              <w:fldChar w:fldCharType="end"/>
            </w:r>
          </w:p>
        </w:tc>
        <w:tc>
          <w:tcPr>
            <w:tcW w:w="1620" w:type="dxa"/>
            <w:shd w:val="clear" w:color="auto" w:fill="EEECE1"/>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4230" w:type="dxa"/>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1E0E9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458"/>
        </w:trPr>
        <w:tc>
          <w:tcPr>
            <w:tcW w:w="1530" w:type="dxa"/>
            <w:vMerge/>
          </w:tcPr>
          <w:p w:rsidR="00C54643" w:rsidRPr="00DF4C99" w:rsidRDefault="00C54643" w:rsidP="006C1B11">
            <w:pPr>
              <w:rPr>
                <w:b/>
              </w:rPr>
            </w:pPr>
          </w:p>
        </w:tc>
        <w:tc>
          <w:tcPr>
            <w:tcW w:w="2070" w:type="dxa"/>
            <w:shd w:val="clear" w:color="auto" w:fill="EEECE1"/>
          </w:tcPr>
          <w:p w:rsidR="00C54643" w:rsidRDefault="00C54643" w:rsidP="006C1B11">
            <w:pPr>
              <w:jc w:val="both"/>
            </w:pPr>
            <w:r w:rsidRPr="00F3492E">
              <w:t>Indicator  2.2.2</w:t>
            </w:r>
          </w:p>
          <w:p w:rsidR="00C54643" w:rsidRPr="00F3492E" w:rsidRDefault="001E0E99" w:rsidP="006C1B1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1E0E99">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1E0E99">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1E0E99">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1E0E99">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1E0E99">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r>
      <w:tr w:rsidR="00385C3F" w:rsidRPr="007D00E3" w:rsidTr="00BF179A">
        <w:trPr>
          <w:trHeight w:val="458"/>
        </w:trPr>
        <w:tc>
          <w:tcPr>
            <w:tcW w:w="1530" w:type="dxa"/>
            <w:vMerge w:val="restart"/>
          </w:tcPr>
          <w:p w:rsidR="00385C3F" w:rsidRPr="00DF4C99" w:rsidRDefault="00385C3F" w:rsidP="00511429">
            <w:pPr>
              <w:rPr>
                <w:b/>
              </w:rPr>
            </w:pPr>
          </w:p>
          <w:p w:rsidR="00385C3F" w:rsidRDefault="00385C3F" w:rsidP="00511429">
            <w:r>
              <w:t>Output 2.3</w:t>
            </w:r>
          </w:p>
          <w:p w:rsidR="00385C3F" w:rsidRPr="00D33A6D" w:rsidRDefault="001E0E99" w:rsidP="00511429">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2070" w:type="dxa"/>
            <w:shd w:val="clear" w:color="auto" w:fill="EEECE1"/>
          </w:tcPr>
          <w:p w:rsidR="00385C3F" w:rsidRDefault="00385C3F" w:rsidP="00511429">
            <w:pPr>
              <w:jc w:val="both"/>
            </w:pPr>
            <w:r>
              <w:t>Indicator  2.3</w:t>
            </w:r>
            <w:r w:rsidRPr="00F3492E">
              <w:t>.1</w:t>
            </w:r>
          </w:p>
          <w:p w:rsidR="00385C3F" w:rsidRPr="00F3492E" w:rsidRDefault="001E0E99"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1E0E99" w:rsidP="00511429">
            <w:r w:rsidRPr="008B41E0">
              <w:rPr>
                <w:rFonts w:cs="Times New Roman"/>
                <w:b/>
                <w:sz w:val="22"/>
                <w:szCs w:val="22"/>
              </w:rPr>
              <w:fldChar w:fldCharType="begin">
                <w:ffData>
                  <w:name w:val=""/>
                  <w:enabled/>
                  <w:calcOnExit w:val="0"/>
                  <w:textInput>
                    <w:maxLength w:val="250"/>
                  </w:textInput>
                </w:ffData>
              </w:fldChar>
            </w:r>
            <w:r w:rsidR="00385C3F"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385C3F" w:rsidRPr="008B41E0">
              <w:rPr>
                <w:rFonts w:cs="Times New Roman"/>
                <w:b/>
                <w:noProof/>
                <w:sz w:val="22"/>
                <w:szCs w:val="22"/>
              </w:rPr>
              <w:t> </w:t>
            </w:r>
            <w:r w:rsidR="00385C3F" w:rsidRPr="008B41E0">
              <w:rPr>
                <w:rFonts w:cs="Times New Roman"/>
                <w:b/>
                <w:noProof/>
                <w:sz w:val="22"/>
                <w:szCs w:val="22"/>
              </w:rPr>
              <w:t> </w:t>
            </w:r>
            <w:r w:rsidR="00385C3F" w:rsidRPr="008B41E0">
              <w:rPr>
                <w:rFonts w:cs="Times New Roman"/>
                <w:b/>
                <w:noProof/>
                <w:sz w:val="22"/>
                <w:szCs w:val="22"/>
              </w:rPr>
              <w:t> </w:t>
            </w:r>
            <w:r w:rsidR="00385C3F" w:rsidRPr="008B41E0">
              <w:rPr>
                <w:rFonts w:cs="Times New Roman"/>
                <w:b/>
                <w:noProof/>
                <w:sz w:val="22"/>
                <w:szCs w:val="22"/>
              </w:rPr>
              <w:t> </w:t>
            </w:r>
            <w:r w:rsidR="00385C3F" w:rsidRPr="008B41E0">
              <w:rPr>
                <w:rFonts w:cs="Times New Roman"/>
                <w:b/>
                <w:noProof/>
                <w:sz w:val="22"/>
                <w:szCs w:val="22"/>
              </w:rPr>
              <w:t> </w:t>
            </w:r>
            <w:r w:rsidRPr="008B41E0">
              <w:rPr>
                <w:rFonts w:cs="Times New Roman"/>
                <w:b/>
                <w:sz w:val="22"/>
                <w:szCs w:val="22"/>
              </w:rPr>
              <w:fldChar w:fldCharType="end"/>
            </w:r>
          </w:p>
        </w:tc>
        <w:tc>
          <w:tcPr>
            <w:tcW w:w="1620" w:type="dxa"/>
            <w:shd w:val="clear" w:color="auto" w:fill="EEECE1"/>
          </w:tcPr>
          <w:p w:rsidR="00385C3F" w:rsidRDefault="001E0E99" w:rsidP="00511429">
            <w:r w:rsidRPr="00A9625C">
              <w:rPr>
                <w:rFonts w:cs="Times New Roman"/>
                <w:b/>
                <w:sz w:val="22"/>
                <w:szCs w:val="22"/>
              </w:rPr>
              <w:fldChar w:fldCharType="begin">
                <w:ffData>
                  <w:name w:val=""/>
                  <w:enabled/>
                  <w:calcOnExit w:val="0"/>
                  <w:textInput>
                    <w:maxLength w:val="250"/>
                  </w:textInput>
                </w:ffData>
              </w:fldChar>
            </w:r>
            <w:r w:rsidR="00385C3F"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Pr="00A9625C">
              <w:rPr>
                <w:rFonts w:cs="Times New Roman"/>
                <w:b/>
                <w:sz w:val="22"/>
                <w:szCs w:val="22"/>
              </w:rPr>
              <w:fldChar w:fldCharType="end"/>
            </w:r>
          </w:p>
        </w:tc>
        <w:tc>
          <w:tcPr>
            <w:tcW w:w="2070" w:type="dxa"/>
          </w:tcPr>
          <w:p w:rsidR="00385C3F" w:rsidRDefault="001E0E99" w:rsidP="00511429">
            <w:r w:rsidRPr="00A9625C">
              <w:rPr>
                <w:rFonts w:cs="Times New Roman"/>
                <w:b/>
                <w:sz w:val="22"/>
                <w:szCs w:val="22"/>
              </w:rPr>
              <w:fldChar w:fldCharType="begin">
                <w:ffData>
                  <w:name w:val=""/>
                  <w:enabled/>
                  <w:calcOnExit w:val="0"/>
                  <w:textInput>
                    <w:maxLength w:val="250"/>
                  </w:textInput>
                </w:ffData>
              </w:fldChar>
            </w:r>
            <w:r w:rsidR="00385C3F"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Pr="00A9625C">
              <w:rPr>
                <w:rFonts w:cs="Times New Roman"/>
                <w:b/>
                <w:sz w:val="22"/>
                <w:szCs w:val="22"/>
              </w:rPr>
              <w:fldChar w:fldCharType="end"/>
            </w:r>
          </w:p>
        </w:tc>
        <w:tc>
          <w:tcPr>
            <w:tcW w:w="4230" w:type="dxa"/>
          </w:tcPr>
          <w:p w:rsidR="00385C3F" w:rsidRDefault="001E0E99" w:rsidP="00511429">
            <w:r w:rsidRPr="00A9625C">
              <w:rPr>
                <w:rFonts w:cs="Times New Roman"/>
                <w:b/>
                <w:sz w:val="22"/>
                <w:szCs w:val="22"/>
              </w:rPr>
              <w:fldChar w:fldCharType="begin">
                <w:ffData>
                  <w:name w:val=""/>
                  <w:enabled/>
                  <w:calcOnExit w:val="0"/>
                  <w:textInput>
                    <w:maxLength w:val="250"/>
                  </w:textInput>
                </w:ffData>
              </w:fldChar>
            </w:r>
            <w:r w:rsidR="00385C3F"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Pr="00A9625C">
              <w:rPr>
                <w:rFonts w:cs="Times New Roman"/>
                <w:b/>
                <w:sz w:val="22"/>
                <w:szCs w:val="22"/>
              </w:rPr>
              <w:fldChar w:fldCharType="end"/>
            </w:r>
          </w:p>
        </w:tc>
        <w:tc>
          <w:tcPr>
            <w:tcW w:w="2078" w:type="dxa"/>
          </w:tcPr>
          <w:p w:rsidR="00385C3F" w:rsidRDefault="001E0E99" w:rsidP="00511429">
            <w:r w:rsidRPr="00A9625C">
              <w:rPr>
                <w:rFonts w:cs="Times New Roman"/>
                <w:b/>
                <w:sz w:val="22"/>
                <w:szCs w:val="22"/>
              </w:rPr>
              <w:fldChar w:fldCharType="begin">
                <w:ffData>
                  <w:name w:val=""/>
                  <w:enabled/>
                  <w:calcOnExit w:val="0"/>
                  <w:textInput>
                    <w:maxLength w:val="250"/>
                  </w:textInput>
                </w:ffData>
              </w:fldChar>
            </w:r>
            <w:r w:rsidR="00385C3F"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Pr="00A9625C">
              <w:rPr>
                <w:rFonts w:cs="Times New Roman"/>
                <w:b/>
                <w:sz w:val="22"/>
                <w:szCs w:val="22"/>
              </w:rPr>
              <w:fldChar w:fldCharType="end"/>
            </w:r>
          </w:p>
        </w:tc>
      </w:tr>
      <w:tr w:rsidR="00385C3F" w:rsidRPr="007D00E3" w:rsidTr="00BF179A">
        <w:trPr>
          <w:trHeight w:val="458"/>
        </w:trPr>
        <w:tc>
          <w:tcPr>
            <w:tcW w:w="1530" w:type="dxa"/>
            <w:vMerge/>
          </w:tcPr>
          <w:p w:rsidR="00385C3F" w:rsidRPr="00DF4C99" w:rsidRDefault="00385C3F" w:rsidP="00511429">
            <w:pPr>
              <w:rPr>
                <w:b/>
              </w:rPr>
            </w:pPr>
          </w:p>
        </w:tc>
        <w:tc>
          <w:tcPr>
            <w:tcW w:w="2070" w:type="dxa"/>
            <w:shd w:val="clear" w:color="auto" w:fill="EEECE1"/>
          </w:tcPr>
          <w:p w:rsidR="00385C3F" w:rsidRDefault="00385C3F" w:rsidP="00511429">
            <w:pPr>
              <w:jc w:val="both"/>
            </w:pPr>
            <w:r>
              <w:t>Indicator  2.3</w:t>
            </w:r>
            <w:r w:rsidRPr="00F3492E">
              <w:t>.2</w:t>
            </w:r>
          </w:p>
          <w:p w:rsidR="00385C3F" w:rsidRPr="00F3492E" w:rsidRDefault="001E0E99"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r w:rsidR="00C54643" w:rsidRPr="007D00E3" w:rsidTr="00BF179A">
        <w:trPr>
          <w:trHeight w:val="458"/>
        </w:trPr>
        <w:tc>
          <w:tcPr>
            <w:tcW w:w="1530" w:type="dxa"/>
            <w:vMerge w:val="restart"/>
          </w:tcPr>
          <w:p w:rsidR="00C54643" w:rsidRDefault="00C54643" w:rsidP="006C1B11">
            <w:pPr>
              <w:rPr>
                <w:b/>
              </w:rPr>
            </w:pPr>
            <w:r>
              <w:rPr>
                <w:b/>
              </w:rPr>
              <w:t>Outcome 3</w:t>
            </w:r>
          </w:p>
          <w:p w:rsidR="00C54643" w:rsidRPr="00DF4C99" w:rsidRDefault="001E0E99" w:rsidP="00390B3E">
            <w:pPr>
              <w:rPr>
                <w:b/>
              </w:rPr>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90B3E" w:rsidRPr="00390B3E">
              <w:t xml:space="preserve">Policies and transition strategy </w:t>
            </w:r>
            <w:r w:rsidR="00390B3E" w:rsidRPr="00390B3E">
              <w:lastRenderedPageBreak/>
              <w:t>established for alternative dispute resolution</w:t>
            </w:r>
            <w:r>
              <w:rPr>
                <w:rFonts w:cs="Times New Roman"/>
                <w:b/>
                <w:sz w:val="22"/>
                <w:szCs w:val="22"/>
              </w:rPr>
              <w:fldChar w:fldCharType="end"/>
            </w:r>
          </w:p>
        </w:tc>
        <w:tc>
          <w:tcPr>
            <w:tcW w:w="2070" w:type="dxa"/>
            <w:shd w:val="clear" w:color="auto" w:fill="EEECE1"/>
          </w:tcPr>
          <w:p w:rsidR="00C54643" w:rsidRDefault="00C54643" w:rsidP="006C1B11">
            <w:pPr>
              <w:jc w:val="both"/>
            </w:pPr>
            <w:r>
              <w:lastRenderedPageBreak/>
              <w:t>Indicator 3.1</w:t>
            </w:r>
          </w:p>
          <w:p w:rsidR="00460BEA" w:rsidRPr="00460BEA" w:rsidRDefault="001E0E99" w:rsidP="00460BEA">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460BEA" w:rsidRPr="00460BEA">
              <w:t xml:space="preserve">Policy drafted; </w:t>
            </w:r>
          </w:p>
          <w:p w:rsidR="00460BEA" w:rsidRPr="00460BEA" w:rsidRDefault="00460BEA" w:rsidP="00460BEA"/>
          <w:p w:rsidR="00C54643" w:rsidRPr="00F3492E" w:rsidRDefault="00460BEA" w:rsidP="00460BEA">
            <w:pPr>
              <w:jc w:val="both"/>
            </w:pPr>
            <w:r w:rsidRPr="00460BEA">
              <w:t xml:space="preserve">transition strategy </w:t>
            </w:r>
            <w:r w:rsidRPr="00460BEA">
              <w:lastRenderedPageBreak/>
              <w:t>agreed</w:t>
            </w:r>
            <w:r w:rsidR="001E0E99">
              <w:rPr>
                <w:rFonts w:cs="Times New Roman"/>
                <w:b/>
                <w:sz w:val="22"/>
                <w:szCs w:val="22"/>
              </w:rPr>
              <w:fldChar w:fldCharType="end"/>
            </w:r>
          </w:p>
        </w:tc>
        <w:tc>
          <w:tcPr>
            <w:tcW w:w="1530" w:type="dxa"/>
            <w:shd w:val="clear" w:color="auto" w:fill="EEECE1"/>
          </w:tcPr>
          <w:p w:rsidR="00460BEA" w:rsidRPr="00460BEA" w:rsidRDefault="001E0E99" w:rsidP="00460BEA">
            <w:r w:rsidRPr="00A850BD">
              <w:rPr>
                <w:rFonts w:cs="Times New Roman"/>
                <w:b/>
                <w:sz w:val="22"/>
                <w:szCs w:val="22"/>
              </w:rPr>
              <w:lastRenderedPageBreak/>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460BEA" w:rsidRPr="00460BEA">
              <w:t>June 2013: 0 policies/strategies</w:t>
            </w:r>
          </w:p>
          <w:p w:rsidR="00C54643" w:rsidRDefault="001E0E99" w:rsidP="00460BEA">
            <w:r w:rsidRPr="00A850BD">
              <w:rPr>
                <w:rFonts w:cs="Times New Roman"/>
                <w:b/>
                <w:sz w:val="22"/>
                <w:szCs w:val="22"/>
              </w:rPr>
              <w:fldChar w:fldCharType="end"/>
            </w:r>
          </w:p>
        </w:tc>
        <w:tc>
          <w:tcPr>
            <w:tcW w:w="1620" w:type="dxa"/>
            <w:shd w:val="clear" w:color="auto" w:fill="EEECE1"/>
          </w:tcPr>
          <w:p w:rsidR="00460BEA" w:rsidRPr="00460BEA" w:rsidRDefault="001E0E99" w:rsidP="00460BEA">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460BEA" w:rsidRPr="00460BEA">
              <w:t xml:space="preserve">1. May 2014: Land dispute resolution policy </w:t>
            </w:r>
            <w:r w:rsidR="00460BEA" w:rsidRPr="00460BEA">
              <w:lastRenderedPageBreak/>
              <w:t>statement drafted;</w:t>
            </w:r>
          </w:p>
          <w:p w:rsidR="00460BEA" w:rsidRPr="00460BEA" w:rsidRDefault="00460BEA" w:rsidP="00460BEA"/>
          <w:p w:rsidR="00460BEA" w:rsidRPr="00460BEA" w:rsidRDefault="00460BEA" w:rsidP="00460BEA"/>
          <w:p w:rsidR="00460BEA" w:rsidRPr="00460BEA" w:rsidRDefault="00460BEA" w:rsidP="00460BEA"/>
          <w:p w:rsidR="00460BEA" w:rsidRPr="00460BEA" w:rsidRDefault="00460BEA" w:rsidP="00460BEA">
            <w:r w:rsidRPr="00460BEA">
              <w:t xml:space="preserve">2. Aug 2014: Transition strategy finalized; </w:t>
            </w:r>
          </w:p>
          <w:p w:rsidR="00460BEA" w:rsidRPr="00460BEA" w:rsidRDefault="00460BEA" w:rsidP="00460BEA"/>
          <w:p w:rsidR="00460BEA" w:rsidRPr="00460BEA" w:rsidRDefault="00460BEA" w:rsidP="00460BEA">
            <w:r w:rsidRPr="00460BEA">
              <w:t>3. Jan 2015:</w:t>
            </w:r>
          </w:p>
          <w:p w:rsidR="00460BEA" w:rsidRPr="00460BEA" w:rsidRDefault="00460BEA" w:rsidP="00460BEA">
            <w:r w:rsidRPr="00460BEA">
              <w:t xml:space="preserve">ADR policy drafted </w:t>
            </w:r>
          </w:p>
          <w:p w:rsidR="00C54643" w:rsidRDefault="001E0E99" w:rsidP="00460BEA">
            <w:r w:rsidRPr="00A850BD">
              <w:rPr>
                <w:rFonts w:cs="Times New Roman"/>
                <w:b/>
                <w:sz w:val="22"/>
                <w:szCs w:val="22"/>
              </w:rPr>
              <w:fldChar w:fldCharType="end"/>
            </w:r>
          </w:p>
        </w:tc>
        <w:tc>
          <w:tcPr>
            <w:tcW w:w="2070" w:type="dxa"/>
          </w:tcPr>
          <w:p w:rsidR="00C72C99" w:rsidRDefault="001E0E99" w:rsidP="00755279">
            <w:r w:rsidRPr="00A850BD">
              <w:rPr>
                <w:rFonts w:cs="Times New Roman"/>
                <w:b/>
                <w:sz w:val="22"/>
                <w:szCs w:val="22"/>
              </w:rPr>
              <w:lastRenderedPageBreak/>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20486B">
              <w:t xml:space="preserve">Land </w:t>
            </w:r>
            <w:r w:rsidR="0020486B" w:rsidRPr="0020486B">
              <w:t xml:space="preserve">ADR policy </w:t>
            </w:r>
            <w:r w:rsidR="00755279">
              <w:t xml:space="preserve"> </w:t>
            </w:r>
            <w:r w:rsidR="00C72C99">
              <w:t xml:space="preserve">statement  of intent completed and formed the basic </w:t>
            </w:r>
            <w:r w:rsidR="00C72C99">
              <w:lastRenderedPageBreak/>
              <w:t>for the Land ADR policy</w:t>
            </w:r>
          </w:p>
          <w:p w:rsidR="00C72C99" w:rsidRDefault="00C72C99" w:rsidP="00755279"/>
          <w:p w:rsidR="00C72C99" w:rsidRDefault="00C72C99" w:rsidP="00755279"/>
          <w:p w:rsidR="00C72C99" w:rsidRDefault="00C72C99" w:rsidP="00755279">
            <w:r>
              <w:t>LC continues discussion with stakeholder for transition policy;</w:t>
            </w:r>
          </w:p>
          <w:p w:rsidR="00C72C99" w:rsidRDefault="00C72C99" w:rsidP="00755279"/>
          <w:p w:rsidR="00C54643" w:rsidRDefault="00C72C99" w:rsidP="006F6A6E">
            <w:r w:rsidRPr="00C72C99">
              <w:t>Land ADR policy drafted and awaiting inputs from taskforce members</w:t>
            </w:r>
            <w:r w:rsidR="0020486B" w:rsidRPr="0020486B">
              <w:t xml:space="preserve"> </w:t>
            </w:r>
            <w:r w:rsidR="001E0E99" w:rsidRPr="00A850BD">
              <w:rPr>
                <w:rFonts w:cs="Times New Roman"/>
                <w:b/>
                <w:sz w:val="22"/>
                <w:szCs w:val="22"/>
              </w:rPr>
              <w:fldChar w:fldCharType="end"/>
            </w:r>
          </w:p>
        </w:tc>
        <w:tc>
          <w:tcPr>
            <w:tcW w:w="4230" w:type="dxa"/>
          </w:tcPr>
          <w:p w:rsidR="00C54643" w:rsidRDefault="001E0E99">
            <w:r w:rsidRPr="00A850BD">
              <w:rPr>
                <w:rFonts w:cs="Times New Roman"/>
                <w:b/>
                <w:sz w:val="22"/>
                <w:szCs w:val="22"/>
              </w:rPr>
              <w:lastRenderedPageBreak/>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1E0E99">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r>
      <w:tr w:rsidR="00C54643" w:rsidRPr="007D00E3" w:rsidTr="00BF179A">
        <w:trPr>
          <w:trHeight w:val="458"/>
        </w:trPr>
        <w:tc>
          <w:tcPr>
            <w:tcW w:w="1530" w:type="dxa"/>
            <w:vMerge/>
          </w:tcPr>
          <w:p w:rsidR="00C54643" w:rsidRPr="00CC0EED" w:rsidRDefault="00C54643" w:rsidP="006C1B11"/>
        </w:tc>
        <w:tc>
          <w:tcPr>
            <w:tcW w:w="2070" w:type="dxa"/>
            <w:shd w:val="clear" w:color="auto" w:fill="EEECE1"/>
          </w:tcPr>
          <w:p w:rsidR="00C54643" w:rsidRDefault="00C54643" w:rsidP="006C1B11">
            <w:pPr>
              <w:jc w:val="both"/>
            </w:pPr>
            <w:r>
              <w:t>Indicator 3.2</w:t>
            </w:r>
          </w:p>
          <w:p w:rsidR="00C54643" w:rsidRDefault="001E0E99" w:rsidP="006C1B1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1E0E99">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1E0E99">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1E0E99">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1E0E99">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1E0E99">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r>
      <w:tr w:rsidR="00C54643" w:rsidRPr="007D00E3" w:rsidTr="00BF179A">
        <w:trPr>
          <w:trHeight w:val="458"/>
        </w:trPr>
        <w:tc>
          <w:tcPr>
            <w:tcW w:w="1530" w:type="dxa"/>
            <w:vMerge w:val="restart"/>
          </w:tcPr>
          <w:p w:rsidR="00C54643" w:rsidRDefault="00C54643" w:rsidP="006C1B11">
            <w:r w:rsidRPr="00CC0EED">
              <w:t>Output 3.1</w:t>
            </w:r>
          </w:p>
          <w:p w:rsidR="00C54643" w:rsidRPr="00CC0EED" w:rsidRDefault="001E0E99" w:rsidP="006C1B11">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2070" w:type="dxa"/>
            <w:shd w:val="clear" w:color="auto" w:fill="EEECE1"/>
          </w:tcPr>
          <w:p w:rsidR="00C54643" w:rsidRDefault="00C54643" w:rsidP="006C1B11">
            <w:pPr>
              <w:jc w:val="both"/>
            </w:pPr>
            <w:r>
              <w:t>Indicator 3.1.1</w:t>
            </w:r>
          </w:p>
          <w:p w:rsidR="00C54643" w:rsidRPr="00F3492E" w:rsidRDefault="001E0E99" w:rsidP="006C1B1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1E0E99">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1E0E99">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1E0E99">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1E0E99">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1E0E99">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r>
      <w:tr w:rsidR="00C54643" w:rsidRPr="007D00E3" w:rsidTr="00BF179A">
        <w:trPr>
          <w:trHeight w:val="458"/>
        </w:trPr>
        <w:tc>
          <w:tcPr>
            <w:tcW w:w="1530" w:type="dxa"/>
            <w:vMerge/>
          </w:tcPr>
          <w:p w:rsidR="00C54643" w:rsidRPr="00CC0EED" w:rsidRDefault="00C54643" w:rsidP="006C1B11"/>
        </w:tc>
        <w:tc>
          <w:tcPr>
            <w:tcW w:w="2070" w:type="dxa"/>
            <w:shd w:val="clear" w:color="auto" w:fill="EEECE1"/>
          </w:tcPr>
          <w:p w:rsidR="00C54643" w:rsidRDefault="00C54643" w:rsidP="006C1B11">
            <w:pPr>
              <w:jc w:val="both"/>
            </w:pPr>
            <w:r>
              <w:t>Indicator 3.1.2</w:t>
            </w:r>
          </w:p>
          <w:p w:rsidR="00C54643" w:rsidRPr="00F3492E" w:rsidRDefault="001E0E99" w:rsidP="006C1B1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1E0E99">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1E0E99">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1E0E99">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1E0E99">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1E0E99">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r>
      <w:tr w:rsidR="00C54643" w:rsidRPr="007D00E3" w:rsidTr="00BF179A">
        <w:trPr>
          <w:trHeight w:val="458"/>
        </w:trPr>
        <w:tc>
          <w:tcPr>
            <w:tcW w:w="1530" w:type="dxa"/>
            <w:vMerge w:val="restart"/>
          </w:tcPr>
          <w:p w:rsidR="00C54643" w:rsidRDefault="00C54643" w:rsidP="006C1B11">
            <w:r w:rsidRPr="00CC0EED">
              <w:t>Output 3.2</w:t>
            </w:r>
          </w:p>
          <w:p w:rsidR="00C54643" w:rsidRPr="00CC0EED" w:rsidRDefault="001E0E99" w:rsidP="006C1B11">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2070" w:type="dxa"/>
            <w:shd w:val="clear" w:color="auto" w:fill="EEECE1"/>
          </w:tcPr>
          <w:p w:rsidR="00C54643" w:rsidRDefault="00C54643" w:rsidP="006C1B11">
            <w:pPr>
              <w:jc w:val="both"/>
            </w:pPr>
            <w:r>
              <w:t>Indicator 3.2.1</w:t>
            </w:r>
          </w:p>
          <w:p w:rsidR="00C54643" w:rsidRPr="00F3492E" w:rsidRDefault="001E0E99" w:rsidP="006C1B1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1E0E99">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1E0E99">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1E0E99">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1E0E99">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1E0E99">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r>
      <w:tr w:rsidR="00C54643" w:rsidRPr="007D00E3" w:rsidTr="00BF179A">
        <w:trPr>
          <w:trHeight w:val="458"/>
        </w:trPr>
        <w:tc>
          <w:tcPr>
            <w:tcW w:w="1530" w:type="dxa"/>
            <w:vMerge/>
          </w:tcPr>
          <w:p w:rsidR="00C54643" w:rsidRPr="00DF4C99" w:rsidRDefault="00C54643" w:rsidP="006C1B11">
            <w:pPr>
              <w:rPr>
                <w:b/>
              </w:rPr>
            </w:pPr>
          </w:p>
        </w:tc>
        <w:tc>
          <w:tcPr>
            <w:tcW w:w="2070" w:type="dxa"/>
            <w:shd w:val="clear" w:color="auto" w:fill="EEECE1"/>
          </w:tcPr>
          <w:p w:rsidR="00C54643" w:rsidRDefault="00C54643" w:rsidP="006C1B11">
            <w:pPr>
              <w:jc w:val="both"/>
            </w:pPr>
            <w:r>
              <w:t>Indicator 3.2.2</w:t>
            </w:r>
          </w:p>
          <w:p w:rsidR="00C54643" w:rsidRPr="00F3492E" w:rsidRDefault="001E0E99" w:rsidP="006C1B1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1E0E99">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1E0E99">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1E0E99">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1E0E99">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1E0E99">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val="restart"/>
          </w:tcPr>
          <w:p w:rsidR="00385C3F" w:rsidRDefault="00385C3F" w:rsidP="00511429">
            <w:r w:rsidRPr="00CC0EED">
              <w:t>Output 3.</w:t>
            </w:r>
            <w:r>
              <w:t>3</w:t>
            </w:r>
          </w:p>
          <w:p w:rsidR="00385C3F" w:rsidRPr="00CC0EED" w:rsidRDefault="001E0E99" w:rsidP="00511429">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2070" w:type="dxa"/>
            <w:shd w:val="clear" w:color="auto" w:fill="EEECE1"/>
          </w:tcPr>
          <w:p w:rsidR="00385C3F" w:rsidRDefault="00385C3F" w:rsidP="00511429">
            <w:pPr>
              <w:jc w:val="both"/>
            </w:pPr>
            <w:r>
              <w:t>Indicator 3.3.1</w:t>
            </w:r>
          </w:p>
          <w:p w:rsidR="00385C3F" w:rsidRPr="00F3492E" w:rsidRDefault="001E0E99"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tcPr>
          <w:p w:rsidR="00385C3F" w:rsidRPr="00DF4C99" w:rsidRDefault="00385C3F" w:rsidP="00511429">
            <w:pPr>
              <w:rPr>
                <w:b/>
              </w:rPr>
            </w:pPr>
          </w:p>
        </w:tc>
        <w:tc>
          <w:tcPr>
            <w:tcW w:w="2070" w:type="dxa"/>
            <w:shd w:val="clear" w:color="auto" w:fill="EEECE1"/>
          </w:tcPr>
          <w:p w:rsidR="00385C3F" w:rsidRDefault="00385C3F" w:rsidP="00511429">
            <w:pPr>
              <w:jc w:val="both"/>
            </w:pPr>
            <w:r>
              <w:t>Indicator 3.3.2</w:t>
            </w:r>
          </w:p>
          <w:p w:rsidR="00385C3F" w:rsidRPr="00F3492E" w:rsidRDefault="001E0E99"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val="restart"/>
          </w:tcPr>
          <w:p w:rsidR="00385C3F" w:rsidRDefault="00385C3F" w:rsidP="00511429">
            <w:pPr>
              <w:rPr>
                <w:b/>
              </w:rPr>
            </w:pPr>
            <w:r>
              <w:rPr>
                <w:b/>
              </w:rPr>
              <w:t>Outcome 4</w:t>
            </w:r>
          </w:p>
          <w:p w:rsidR="00385C3F" w:rsidRPr="00DF4C99" w:rsidRDefault="001E0E99" w:rsidP="00390B3E">
            <w:pPr>
              <w:rPr>
                <w:b/>
              </w:rPr>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90B3E" w:rsidRPr="00390B3E">
              <w:t xml:space="preserve">mproved land </w:t>
            </w:r>
            <w:r w:rsidR="00390B3E" w:rsidRPr="00390B3E">
              <w:lastRenderedPageBreak/>
              <w:t>administration capacity for Land Commission/New Agency;</w:t>
            </w:r>
            <w:r>
              <w:rPr>
                <w:rFonts w:cs="Times New Roman"/>
                <w:b/>
                <w:sz w:val="22"/>
                <w:szCs w:val="22"/>
              </w:rPr>
              <w:fldChar w:fldCharType="end"/>
            </w:r>
          </w:p>
        </w:tc>
        <w:tc>
          <w:tcPr>
            <w:tcW w:w="2070" w:type="dxa"/>
            <w:shd w:val="clear" w:color="auto" w:fill="EEECE1"/>
          </w:tcPr>
          <w:p w:rsidR="00385C3F" w:rsidRDefault="00385C3F" w:rsidP="00511429">
            <w:pPr>
              <w:jc w:val="both"/>
            </w:pPr>
            <w:r>
              <w:lastRenderedPageBreak/>
              <w:t>Indicator 4.1</w:t>
            </w:r>
          </w:p>
          <w:p w:rsidR="00385C3F" w:rsidRPr="00F3492E" w:rsidRDefault="001E0E99" w:rsidP="00074E6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074E69" w:rsidRPr="00074E69">
              <w:t xml:space="preserve">   Surveying capacity at LCCs  </w:t>
            </w:r>
            <w:r>
              <w:rPr>
                <w:rFonts w:cs="Times New Roman"/>
                <w:b/>
                <w:sz w:val="22"/>
                <w:szCs w:val="22"/>
              </w:rPr>
              <w:fldChar w:fldCharType="end"/>
            </w:r>
          </w:p>
        </w:tc>
        <w:tc>
          <w:tcPr>
            <w:tcW w:w="1530" w:type="dxa"/>
            <w:shd w:val="clear" w:color="auto" w:fill="EEECE1"/>
          </w:tcPr>
          <w:p w:rsidR="00385C3F" w:rsidRDefault="001E0E99" w:rsidP="00074E6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074E69" w:rsidRPr="00074E69">
              <w:t>Jun 2013: 0 surveyors</w:t>
            </w:r>
            <w:r w:rsidRPr="00A850BD">
              <w:rPr>
                <w:rFonts w:cs="Times New Roman"/>
                <w:b/>
                <w:sz w:val="22"/>
                <w:szCs w:val="22"/>
              </w:rPr>
              <w:fldChar w:fldCharType="end"/>
            </w:r>
          </w:p>
        </w:tc>
        <w:tc>
          <w:tcPr>
            <w:tcW w:w="1620" w:type="dxa"/>
            <w:shd w:val="clear" w:color="auto" w:fill="EEECE1"/>
          </w:tcPr>
          <w:p w:rsidR="00385C3F" w:rsidRDefault="001E0E99" w:rsidP="00074E6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074E69" w:rsidRPr="00074E69">
              <w:t xml:space="preserve">May 2015: 4 mobile surveyor </w:t>
            </w:r>
            <w:r w:rsidR="00074E69" w:rsidRPr="00074E69">
              <w:lastRenderedPageBreak/>
              <w:t>teams (covering all 6 LCCs)</w:t>
            </w:r>
            <w:r w:rsidRPr="00A850BD">
              <w:rPr>
                <w:rFonts w:cs="Times New Roman"/>
                <w:b/>
                <w:sz w:val="22"/>
                <w:szCs w:val="22"/>
              </w:rPr>
              <w:fldChar w:fldCharType="end"/>
            </w:r>
          </w:p>
        </w:tc>
        <w:tc>
          <w:tcPr>
            <w:tcW w:w="2070" w:type="dxa"/>
          </w:tcPr>
          <w:p w:rsidR="00385C3F" w:rsidRDefault="001E0E99" w:rsidP="008C2A93">
            <w:r w:rsidRPr="00A850BD">
              <w:rPr>
                <w:rFonts w:cs="Times New Roman"/>
                <w:b/>
                <w:sz w:val="22"/>
                <w:szCs w:val="22"/>
              </w:rPr>
              <w:lastRenderedPageBreak/>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8C2A93">
              <w:t xml:space="preserve">Surveyor team established covering the 6 </w:t>
            </w:r>
            <w:r w:rsidR="008C2A93">
              <w:lastRenderedPageBreak/>
              <w:t>counties.</w:t>
            </w:r>
            <w:r w:rsidRPr="00A850BD">
              <w:rPr>
                <w:rFonts w:cs="Times New Roman"/>
                <w:b/>
                <w:sz w:val="22"/>
                <w:szCs w:val="22"/>
              </w:rPr>
              <w:fldChar w:fldCharType="end"/>
            </w:r>
          </w:p>
        </w:tc>
        <w:tc>
          <w:tcPr>
            <w:tcW w:w="4230" w:type="dxa"/>
          </w:tcPr>
          <w:p w:rsidR="00385C3F" w:rsidRDefault="001E0E99" w:rsidP="00511429">
            <w:r w:rsidRPr="00A850BD">
              <w:rPr>
                <w:rFonts w:cs="Times New Roman"/>
                <w:b/>
                <w:sz w:val="22"/>
                <w:szCs w:val="22"/>
              </w:rPr>
              <w:lastRenderedPageBreak/>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tcPr>
          <w:p w:rsidR="00385C3F" w:rsidRPr="00CC0EED" w:rsidRDefault="00385C3F" w:rsidP="00511429"/>
        </w:tc>
        <w:tc>
          <w:tcPr>
            <w:tcW w:w="2070" w:type="dxa"/>
            <w:shd w:val="clear" w:color="auto" w:fill="EEECE1"/>
          </w:tcPr>
          <w:p w:rsidR="00385C3F" w:rsidRDefault="00385C3F" w:rsidP="00511429">
            <w:pPr>
              <w:jc w:val="both"/>
            </w:pPr>
            <w:r>
              <w:t>Indicator 4.2</w:t>
            </w:r>
          </w:p>
          <w:p w:rsidR="00385C3F" w:rsidRDefault="001E0E99"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val="restart"/>
          </w:tcPr>
          <w:p w:rsidR="00385C3F" w:rsidRDefault="00385C3F" w:rsidP="00511429">
            <w:r w:rsidRPr="00CC0EED">
              <w:t xml:space="preserve">Output </w:t>
            </w:r>
            <w:r>
              <w:t>4</w:t>
            </w:r>
            <w:r w:rsidRPr="00CC0EED">
              <w:t>.1</w:t>
            </w:r>
          </w:p>
          <w:p w:rsidR="00390B3E" w:rsidRPr="00390B3E" w:rsidRDefault="001E0E99" w:rsidP="00390B3E">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90B3E" w:rsidRPr="00390B3E">
              <w:t>Surveying teams established and utilised</w:t>
            </w:r>
          </w:p>
          <w:p w:rsidR="00390B3E" w:rsidRPr="00390B3E" w:rsidRDefault="00390B3E" w:rsidP="00390B3E">
            <w:r w:rsidRPr="00390B3E">
              <w:t>-core support to teams</w:t>
            </w:r>
          </w:p>
          <w:p w:rsidR="00385C3F" w:rsidRPr="00CC0EED" w:rsidRDefault="00390B3E" w:rsidP="00390B3E">
            <w:r w:rsidRPr="00390B3E">
              <w:t>-surveys undertaken</w:t>
            </w:r>
            <w:r w:rsidR="001E0E99">
              <w:rPr>
                <w:rFonts w:cs="Times New Roman"/>
                <w:b/>
                <w:sz w:val="22"/>
                <w:szCs w:val="22"/>
              </w:rPr>
              <w:fldChar w:fldCharType="end"/>
            </w:r>
          </w:p>
        </w:tc>
        <w:tc>
          <w:tcPr>
            <w:tcW w:w="2070" w:type="dxa"/>
            <w:shd w:val="clear" w:color="auto" w:fill="EEECE1"/>
          </w:tcPr>
          <w:p w:rsidR="00385C3F" w:rsidRDefault="00385C3F" w:rsidP="00511429">
            <w:pPr>
              <w:jc w:val="both"/>
            </w:pPr>
            <w:r>
              <w:t>Indicator 4.1.1</w:t>
            </w:r>
          </w:p>
          <w:p w:rsidR="00385C3F" w:rsidRPr="00F3492E" w:rsidRDefault="001E0E99" w:rsidP="00074E6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074E69" w:rsidRPr="00074E69">
              <w:t># surveys requested/carried out</w:t>
            </w:r>
            <w:r>
              <w:rPr>
                <w:rFonts w:cs="Times New Roman"/>
                <w:b/>
                <w:sz w:val="22"/>
                <w:szCs w:val="22"/>
              </w:rPr>
              <w:fldChar w:fldCharType="end"/>
            </w:r>
          </w:p>
        </w:tc>
        <w:tc>
          <w:tcPr>
            <w:tcW w:w="1530" w:type="dxa"/>
            <w:shd w:val="clear" w:color="auto" w:fill="EEECE1"/>
          </w:tcPr>
          <w:p w:rsidR="00385C3F" w:rsidRDefault="001E0E99" w:rsidP="00074E6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074E69" w:rsidRPr="00074E69">
              <w:t>Jun 2013: 0</w:t>
            </w:r>
            <w:r w:rsidRPr="00A850BD">
              <w:rPr>
                <w:rFonts w:cs="Times New Roman"/>
                <w:b/>
                <w:sz w:val="22"/>
                <w:szCs w:val="22"/>
              </w:rPr>
              <w:fldChar w:fldCharType="end"/>
            </w:r>
          </w:p>
        </w:tc>
        <w:tc>
          <w:tcPr>
            <w:tcW w:w="1620" w:type="dxa"/>
            <w:shd w:val="clear" w:color="auto" w:fill="EEECE1"/>
          </w:tcPr>
          <w:p w:rsidR="00385C3F" w:rsidRDefault="001E0E99" w:rsidP="00074E6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074E69" w:rsidRPr="00074E69">
              <w:t>May 2015: 300</w:t>
            </w:r>
            <w:r w:rsidRPr="00A850BD">
              <w:rPr>
                <w:rFonts w:cs="Times New Roman"/>
                <w:b/>
                <w:sz w:val="22"/>
                <w:szCs w:val="22"/>
              </w:rPr>
              <w:fldChar w:fldCharType="end"/>
            </w:r>
          </w:p>
        </w:tc>
        <w:tc>
          <w:tcPr>
            <w:tcW w:w="2070" w:type="dxa"/>
          </w:tcPr>
          <w:p w:rsidR="00385C3F" w:rsidRDefault="001E0E99" w:rsidP="008C2A93">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8C2A93" w:rsidRPr="008C2A93">
              <w:t xml:space="preserve"> 132 </w:t>
            </w:r>
            <w:r w:rsidR="008C2A93">
              <w:t xml:space="preserve">land dispute </w:t>
            </w:r>
            <w:r w:rsidR="008C2A93" w:rsidRPr="008C2A93">
              <w:t>survey request and surveyed 17</w:t>
            </w:r>
            <w:r w:rsidR="008C2A93">
              <w:t>.</w:t>
            </w:r>
            <w:r w:rsidRPr="00A850BD">
              <w:rPr>
                <w:rFonts w:cs="Times New Roman"/>
                <w:b/>
                <w:sz w:val="22"/>
                <w:szCs w:val="22"/>
              </w:rPr>
              <w:fldChar w:fldCharType="end"/>
            </w:r>
          </w:p>
        </w:tc>
        <w:tc>
          <w:tcPr>
            <w:tcW w:w="4230" w:type="dxa"/>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tcPr>
          <w:p w:rsidR="00385C3F" w:rsidRPr="00CC0EED" w:rsidRDefault="00385C3F" w:rsidP="00511429"/>
        </w:tc>
        <w:tc>
          <w:tcPr>
            <w:tcW w:w="2070" w:type="dxa"/>
            <w:shd w:val="clear" w:color="auto" w:fill="EEECE1"/>
          </w:tcPr>
          <w:p w:rsidR="00385C3F" w:rsidRDefault="00385C3F" w:rsidP="00511429">
            <w:pPr>
              <w:jc w:val="both"/>
            </w:pPr>
            <w:r>
              <w:t>Indicator 4.1.2</w:t>
            </w:r>
          </w:p>
          <w:p w:rsidR="00385C3F" w:rsidRPr="00F3492E" w:rsidRDefault="001E0E99"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val="restart"/>
          </w:tcPr>
          <w:p w:rsidR="00385C3F" w:rsidRDefault="00385C3F" w:rsidP="00511429">
            <w:r w:rsidRPr="00CC0EED">
              <w:t xml:space="preserve">Output </w:t>
            </w:r>
            <w:r>
              <w:t>4</w:t>
            </w:r>
            <w:r w:rsidRPr="00CC0EED">
              <w:t>.2</w:t>
            </w:r>
          </w:p>
          <w:p w:rsidR="00385C3F" w:rsidRPr="00CC0EED" w:rsidRDefault="001E0E99" w:rsidP="00511429">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2070" w:type="dxa"/>
            <w:shd w:val="clear" w:color="auto" w:fill="EEECE1"/>
          </w:tcPr>
          <w:p w:rsidR="00385C3F" w:rsidRDefault="00385C3F" w:rsidP="00511429">
            <w:pPr>
              <w:jc w:val="both"/>
            </w:pPr>
            <w:r>
              <w:t>Indicator 4.2.1</w:t>
            </w:r>
          </w:p>
          <w:p w:rsidR="00385C3F" w:rsidRPr="00F3492E" w:rsidRDefault="001E0E99"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tcPr>
          <w:p w:rsidR="00385C3F" w:rsidRPr="00DF4C99" w:rsidRDefault="00385C3F" w:rsidP="00511429">
            <w:pPr>
              <w:rPr>
                <w:b/>
              </w:rPr>
            </w:pPr>
          </w:p>
        </w:tc>
        <w:tc>
          <w:tcPr>
            <w:tcW w:w="2070" w:type="dxa"/>
            <w:shd w:val="clear" w:color="auto" w:fill="EEECE1"/>
          </w:tcPr>
          <w:p w:rsidR="00385C3F" w:rsidRDefault="00385C3F" w:rsidP="00511429">
            <w:pPr>
              <w:jc w:val="both"/>
            </w:pPr>
            <w:r>
              <w:t>Indicator 4.2.2</w:t>
            </w:r>
          </w:p>
          <w:p w:rsidR="00385C3F" w:rsidRPr="00F3492E" w:rsidRDefault="001E0E99"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r w:rsidR="00385C3F" w:rsidRPr="007D00E3" w:rsidTr="00BF179A">
        <w:trPr>
          <w:trHeight w:val="458"/>
        </w:trPr>
        <w:tc>
          <w:tcPr>
            <w:tcW w:w="1530" w:type="dxa"/>
            <w:vMerge w:val="restart"/>
          </w:tcPr>
          <w:p w:rsidR="00385C3F" w:rsidRDefault="00385C3F" w:rsidP="00511429">
            <w:r>
              <w:t>Output 4</w:t>
            </w:r>
            <w:r w:rsidRPr="00CC0EED">
              <w:t>.</w:t>
            </w:r>
            <w:r>
              <w:t>3</w:t>
            </w:r>
          </w:p>
          <w:p w:rsidR="00385C3F" w:rsidRPr="00CC0EED" w:rsidRDefault="001E0E99" w:rsidP="00511429">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2070" w:type="dxa"/>
            <w:shd w:val="clear" w:color="auto" w:fill="EEECE1"/>
          </w:tcPr>
          <w:p w:rsidR="00385C3F" w:rsidRDefault="00385C3F" w:rsidP="00511429">
            <w:pPr>
              <w:jc w:val="both"/>
            </w:pPr>
            <w:r>
              <w:t>Indicator 4.3.1</w:t>
            </w:r>
          </w:p>
          <w:p w:rsidR="00385C3F" w:rsidRPr="00F3492E" w:rsidRDefault="001E0E99"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r w:rsidR="00385C3F" w:rsidRPr="007D00E3" w:rsidTr="00BF179A">
        <w:trPr>
          <w:trHeight w:val="458"/>
        </w:trPr>
        <w:tc>
          <w:tcPr>
            <w:tcW w:w="1530" w:type="dxa"/>
            <w:vMerge/>
          </w:tcPr>
          <w:p w:rsidR="00385C3F" w:rsidRPr="00DF4C99" w:rsidRDefault="00385C3F" w:rsidP="00511429">
            <w:pPr>
              <w:rPr>
                <w:b/>
              </w:rPr>
            </w:pPr>
          </w:p>
        </w:tc>
        <w:tc>
          <w:tcPr>
            <w:tcW w:w="2070" w:type="dxa"/>
            <w:shd w:val="clear" w:color="auto" w:fill="EEECE1"/>
          </w:tcPr>
          <w:p w:rsidR="00385C3F" w:rsidRDefault="00385C3F" w:rsidP="00511429">
            <w:pPr>
              <w:jc w:val="both"/>
            </w:pPr>
            <w:r>
              <w:t>Indicator 4.3.2</w:t>
            </w:r>
          </w:p>
          <w:p w:rsidR="00385C3F" w:rsidRPr="00F3492E" w:rsidRDefault="001E0E99"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1E0E99"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bl>
    <w:p w:rsidR="00132065" w:rsidRDefault="00132065" w:rsidP="001D7143">
      <w:pPr>
        <w:outlineLvl w:val="0"/>
        <w:rPr>
          <w:rFonts w:cs="Times New Roman"/>
          <w:sz w:val="22"/>
          <w:szCs w:val="22"/>
        </w:rPr>
      </w:pPr>
    </w:p>
    <w:p w:rsidR="00132065" w:rsidRPr="00FF0380" w:rsidRDefault="00132065" w:rsidP="001D7143">
      <w:pPr>
        <w:outlineLvl w:val="0"/>
        <w:rPr>
          <w:rFonts w:cs="Times New Roman"/>
          <w:sz w:val="22"/>
          <w:szCs w:val="22"/>
        </w:rPr>
      </w:pPr>
    </w:p>
    <w:sectPr w:rsidR="00132065" w:rsidRPr="00FF0380" w:rsidSect="00D45676">
      <w:pgSz w:w="15840" w:h="12240" w:orient="landscape"/>
      <w:pgMar w:top="1800" w:right="567" w:bottom="1800" w:left="567"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35E" w:rsidRDefault="004E235E">
      <w:r>
        <w:separator/>
      </w:r>
    </w:p>
  </w:endnote>
  <w:endnote w:type="continuationSeparator" w:id="0">
    <w:p w:rsidR="004E235E" w:rsidRDefault="004E23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962" w:rsidRDefault="00997962" w:rsidP="00A54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7962" w:rsidRDefault="00997962" w:rsidP="00A540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962" w:rsidRDefault="00997962" w:rsidP="00A54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1259">
      <w:rPr>
        <w:rStyle w:val="PageNumber"/>
        <w:noProof/>
      </w:rPr>
      <w:t>2</w:t>
    </w:r>
    <w:r>
      <w:rPr>
        <w:rStyle w:val="PageNumber"/>
      </w:rPr>
      <w:fldChar w:fldCharType="end"/>
    </w:r>
  </w:p>
  <w:p w:rsidR="00997962" w:rsidRDefault="00997962" w:rsidP="00A540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35E" w:rsidRDefault="004E235E">
      <w:r>
        <w:separator/>
      </w:r>
    </w:p>
  </w:footnote>
  <w:footnote w:type="continuationSeparator" w:id="0">
    <w:p w:rsidR="004E235E" w:rsidRDefault="004E235E">
      <w:r>
        <w:continuationSeparator/>
      </w:r>
    </w:p>
  </w:footnote>
  <w:footnote w:id="1">
    <w:p w:rsidR="00997962" w:rsidRPr="00CC0EED" w:rsidRDefault="00997962">
      <w:pPr>
        <w:pStyle w:val="FootnoteText"/>
        <w:rPr>
          <w:sz w:val="16"/>
          <w:szCs w:val="16"/>
        </w:rPr>
      </w:pPr>
      <w:r w:rsidRPr="00CC0EED">
        <w:rPr>
          <w:rStyle w:val="FootnoteReference"/>
          <w:sz w:val="16"/>
          <w:szCs w:val="16"/>
        </w:rPr>
        <w:footnoteRef/>
      </w:r>
      <w:r w:rsidRPr="00CC0EED">
        <w:rPr>
          <w:sz w:val="16"/>
          <w:szCs w:val="16"/>
        </w:rPr>
        <w:t xml:space="preserve"> Please note that where there are multiple agencies, only one consolidated project report should be submitted. </w:t>
      </w:r>
    </w:p>
  </w:footnote>
  <w:footnote w:id="2">
    <w:p w:rsidR="00997962" w:rsidRPr="00CC0EED" w:rsidRDefault="00997962">
      <w:pPr>
        <w:pStyle w:val="FootnoteText"/>
        <w:rPr>
          <w:sz w:val="16"/>
          <w:szCs w:val="16"/>
        </w:rPr>
      </w:pPr>
      <w:r w:rsidRPr="00CC0EED">
        <w:rPr>
          <w:rStyle w:val="FootnoteReference"/>
          <w:sz w:val="16"/>
          <w:szCs w:val="16"/>
        </w:rPr>
        <w:footnoteRef/>
      </w:r>
      <w:r w:rsidRPr="00CC0EED">
        <w:rPr>
          <w:sz w:val="16"/>
          <w:szCs w:val="16"/>
        </w:rPr>
        <w:t xml:space="preserve"> Approved budget is the amount transferred to Recipient Organisations. </w:t>
      </w:r>
    </w:p>
  </w:footnote>
  <w:footnote w:id="3">
    <w:p w:rsidR="00997962" w:rsidRPr="00CC0EED" w:rsidRDefault="00997962" w:rsidP="006C1B11">
      <w:pPr>
        <w:jc w:val="both"/>
        <w:outlineLvl w:val="0"/>
        <w:rPr>
          <w:rFonts w:ascii="Arial" w:hAnsi="Arial" w:cs="Arial"/>
          <w:sz w:val="16"/>
          <w:szCs w:val="16"/>
        </w:rPr>
      </w:pPr>
      <w:r w:rsidRPr="00CC0EED">
        <w:rPr>
          <w:rStyle w:val="FootnoteReference"/>
          <w:sz w:val="16"/>
          <w:szCs w:val="16"/>
        </w:rPr>
        <w:footnoteRef/>
      </w:r>
      <w:r w:rsidRPr="00CC0EED">
        <w:rPr>
          <w:sz w:val="16"/>
          <w:szCs w:val="16"/>
        </w:rPr>
        <w:t xml:space="preserve"> Funds committed are defined as the commitments made through legal contracts for services and works according to the financial regulations and procedures of the Recipient Organisations. </w:t>
      </w:r>
      <w:r>
        <w:rPr>
          <w:sz w:val="16"/>
          <w:szCs w:val="16"/>
        </w:rPr>
        <w:t>Provide preliminary data only.</w:t>
      </w:r>
      <w:r w:rsidRPr="00CC0EED">
        <w:rPr>
          <w:sz w:val="16"/>
          <w:szCs w:val="16"/>
        </w:rPr>
        <w:t xml:space="preserve"> </w:t>
      </w:r>
    </w:p>
    <w:p w:rsidR="00997962" w:rsidRPr="00CC0EED" w:rsidRDefault="00997962" w:rsidP="006C1B11">
      <w:pPr>
        <w:jc w:val="both"/>
        <w:outlineLvl w:val="0"/>
        <w:rPr>
          <w:sz w:val="16"/>
          <w:szCs w:val="16"/>
        </w:rPr>
      </w:pPr>
      <w:r>
        <w:rPr>
          <w:rStyle w:val="FootnoteReference"/>
          <w:sz w:val="16"/>
          <w:szCs w:val="16"/>
        </w:rPr>
        <w:t>4</w:t>
      </w:r>
      <w:r w:rsidRPr="00CC0EED">
        <w:rPr>
          <w:sz w:val="16"/>
          <w:szCs w:val="16"/>
        </w:rPr>
        <w:t xml:space="preserve"> Actual payments (contracts, services, </w:t>
      </w:r>
      <w:proofErr w:type="gramStart"/>
      <w:r w:rsidRPr="00CC0EED">
        <w:rPr>
          <w:sz w:val="16"/>
          <w:szCs w:val="16"/>
        </w:rPr>
        <w:t>works</w:t>
      </w:r>
      <w:proofErr w:type="gramEnd"/>
      <w:r w:rsidRPr="00CC0EED">
        <w:rPr>
          <w:sz w:val="16"/>
          <w:szCs w:val="16"/>
        </w:rPr>
        <w:t xml:space="preserve">) made on commitments.  </w:t>
      </w:r>
    </w:p>
    <w:p w:rsidR="00997962" w:rsidRPr="00BF179A" w:rsidRDefault="00997962" w:rsidP="00F05D7B">
      <w:pPr>
        <w:pStyle w:val="FootnoteText"/>
        <w:rPr>
          <w:sz w:val="16"/>
          <w:szCs w:val="16"/>
        </w:rPr>
      </w:pPr>
      <w:r w:rsidRPr="00CC0EED">
        <w:rPr>
          <w:sz w:val="16"/>
          <w:szCs w:val="16"/>
          <w:lang w:val="en-US"/>
        </w:rPr>
        <w:t xml:space="preserve">5 </w:t>
      </w:r>
      <w:r w:rsidRPr="00BF179A">
        <w:rPr>
          <w:sz w:val="16"/>
          <w:szCs w:val="16"/>
        </w:rPr>
        <w:t>PBF focus areas are:</w:t>
      </w:r>
    </w:p>
    <w:p w:rsidR="00997962" w:rsidRPr="00BF179A" w:rsidRDefault="00997962" w:rsidP="00BF179A">
      <w:pPr>
        <w:pStyle w:val="FootnoteText"/>
        <w:rPr>
          <w:sz w:val="16"/>
          <w:szCs w:val="16"/>
        </w:rPr>
      </w:pPr>
      <w:r w:rsidRPr="00BF179A">
        <w:rPr>
          <w:sz w:val="16"/>
          <w:szCs w:val="16"/>
        </w:rPr>
        <w:t>PBF Focus Areas are:</w:t>
      </w:r>
    </w:p>
    <w:p w:rsidR="00997962" w:rsidRPr="00BF179A" w:rsidRDefault="00997962" w:rsidP="00BF179A">
      <w:pPr>
        <w:pStyle w:val="FootnoteText"/>
        <w:rPr>
          <w:sz w:val="16"/>
          <w:szCs w:val="16"/>
        </w:rPr>
      </w:pPr>
      <w:r w:rsidRPr="00BF179A">
        <w:rPr>
          <w:i/>
          <w:sz w:val="16"/>
          <w:szCs w:val="16"/>
        </w:rPr>
        <w:t>1: Support the implementation of peace agreements and political dialogue (Priority Area 1)</w:t>
      </w:r>
      <w:r w:rsidRPr="00BF179A">
        <w:rPr>
          <w:sz w:val="16"/>
          <w:szCs w:val="16"/>
        </w:rPr>
        <w:t xml:space="preserve">: </w:t>
      </w:r>
    </w:p>
    <w:p w:rsidR="00997962" w:rsidRPr="00BF179A" w:rsidRDefault="00997962" w:rsidP="00BF179A">
      <w:pPr>
        <w:pStyle w:val="FootnoteText"/>
        <w:rPr>
          <w:sz w:val="16"/>
          <w:szCs w:val="16"/>
        </w:rPr>
      </w:pPr>
      <w:r w:rsidRPr="00BF179A">
        <w:rPr>
          <w:sz w:val="16"/>
          <w:szCs w:val="16"/>
        </w:rPr>
        <w:t xml:space="preserve">(1.1) </w:t>
      </w:r>
      <w:r w:rsidRPr="00BF179A">
        <w:rPr>
          <w:bCs/>
          <w:sz w:val="16"/>
          <w:szCs w:val="16"/>
        </w:rPr>
        <w:t xml:space="preserve">SSR, </w:t>
      </w:r>
      <w:r w:rsidRPr="00BF179A">
        <w:rPr>
          <w:sz w:val="16"/>
          <w:szCs w:val="16"/>
        </w:rPr>
        <w:t>(1.2)</w:t>
      </w:r>
      <w:r w:rsidRPr="00BF179A">
        <w:rPr>
          <w:bCs/>
          <w:sz w:val="16"/>
          <w:szCs w:val="16"/>
        </w:rPr>
        <w:t xml:space="preserve"> RoL</w:t>
      </w:r>
      <w:r w:rsidRPr="00BF179A">
        <w:rPr>
          <w:sz w:val="16"/>
          <w:szCs w:val="16"/>
        </w:rPr>
        <w:t xml:space="preserve">; (1.3) DDR; (1.4) Political Dialogue; </w:t>
      </w:r>
    </w:p>
    <w:p w:rsidR="00997962" w:rsidRPr="00BF179A" w:rsidRDefault="00997962" w:rsidP="00BF179A">
      <w:pPr>
        <w:pStyle w:val="FootnoteText"/>
        <w:rPr>
          <w:sz w:val="16"/>
          <w:szCs w:val="16"/>
        </w:rPr>
      </w:pPr>
      <w:r w:rsidRPr="00BF179A">
        <w:rPr>
          <w:i/>
          <w:sz w:val="16"/>
          <w:szCs w:val="16"/>
        </w:rPr>
        <w:t>2: Promote coexistence and peaceful resolution of conflicts (Priority Area 2)</w:t>
      </w:r>
      <w:r w:rsidRPr="00BF179A">
        <w:rPr>
          <w:sz w:val="16"/>
          <w:szCs w:val="16"/>
        </w:rPr>
        <w:t xml:space="preserve">: </w:t>
      </w:r>
    </w:p>
    <w:p w:rsidR="00997962" w:rsidRPr="00BF179A" w:rsidRDefault="00997962" w:rsidP="00BF179A">
      <w:pPr>
        <w:pStyle w:val="FootnoteText"/>
        <w:rPr>
          <w:sz w:val="16"/>
          <w:szCs w:val="16"/>
        </w:rPr>
      </w:pPr>
      <w:r w:rsidRPr="00BF179A">
        <w:rPr>
          <w:sz w:val="16"/>
          <w:szCs w:val="16"/>
        </w:rPr>
        <w:t xml:space="preserve">(2.1) National reconciliation; (2.2) Democratic Governance; (2.3) Conflict prevention/management; </w:t>
      </w:r>
    </w:p>
    <w:p w:rsidR="00997962" w:rsidRPr="00BF179A" w:rsidRDefault="00997962" w:rsidP="00BF179A">
      <w:pPr>
        <w:pStyle w:val="FootnoteText"/>
        <w:rPr>
          <w:sz w:val="16"/>
          <w:szCs w:val="16"/>
        </w:rPr>
      </w:pPr>
      <w:r w:rsidRPr="00BF179A">
        <w:rPr>
          <w:i/>
          <w:sz w:val="16"/>
          <w:szCs w:val="16"/>
        </w:rPr>
        <w:t>3:</w:t>
      </w:r>
      <w:r w:rsidRPr="00BF179A">
        <w:rPr>
          <w:bCs/>
          <w:i/>
          <w:sz w:val="16"/>
          <w:szCs w:val="16"/>
        </w:rPr>
        <w:t>Revitalise the economy and generate immediate peace dividends (Priority Area 3)</w:t>
      </w:r>
      <w:r w:rsidRPr="00BF179A">
        <w:rPr>
          <w:sz w:val="16"/>
          <w:szCs w:val="16"/>
        </w:rPr>
        <w:t xml:space="preserve">; </w:t>
      </w:r>
    </w:p>
    <w:p w:rsidR="00997962" w:rsidRPr="00BF179A" w:rsidRDefault="00997962" w:rsidP="00BF179A">
      <w:pPr>
        <w:pStyle w:val="FootnoteText"/>
        <w:rPr>
          <w:sz w:val="16"/>
          <w:szCs w:val="16"/>
        </w:rPr>
      </w:pPr>
      <w:r w:rsidRPr="00BF179A">
        <w:rPr>
          <w:sz w:val="16"/>
          <w:szCs w:val="16"/>
        </w:rPr>
        <w:t>(3.1) Employment; (3.2) Equitable access to social services</w:t>
      </w:r>
    </w:p>
    <w:p w:rsidR="00997962" w:rsidRPr="00BF179A" w:rsidRDefault="00997962" w:rsidP="00BF179A">
      <w:pPr>
        <w:pStyle w:val="FootnoteText"/>
        <w:rPr>
          <w:bCs/>
          <w:i/>
          <w:sz w:val="16"/>
          <w:szCs w:val="16"/>
        </w:rPr>
      </w:pPr>
      <w:r w:rsidRPr="00BF179A">
        <w:rPr>
          <w:i/>
          <w:sz w:val="16"/>
          <w:szCs w:val="16"/>
        </w:rPr>
        <w:t>4)</w:t>
      </w:r>
      <w:r w:rsidRPr="00BF179A">
        <w:rPr>
          <w:bCs/>
          <w:i/>
          <w:sz w:val="16"/>
          <w:szCs w:val="16"/>
        </w:rPr>
        <w:t xml:space="preserve"> (Re)-establish essential administrative services (Priority Area 4)</w:t>
      </w:r>
    </w:p>
    <w:p w:rsidR="00997962" w:rsidRPr="00BF179A" w:rsidRDefault="00997962" w:rsidP="00BF179A">
      <w:pPr>
        <w:pStyle w:val="FootnoteText"/>
        <w:rPr>
          <w:sz w:val="16"/>
          <w:szCs w:val="16"/>
        </w:rPr>
      </w:pPr>
      <w:r w:rsidRPr="00BF179A">
        <w:rPr>
          <w:bCs/>
          <w:sz w:val="16"/>
          <w:szCs w:val="16"/>
        </w:rPr>
        <w:t>(4.1) Strengthening of essential national state capacity; (4.2) extension of state authority/local administration; (4.3) Governance of peacebuilding resources (including JSC/ PBF Secretariats)</w:t>
      </w:r>
    </w:p>
    <w:p w:rsidR="00997962" w:rsidRPr="00BF179A" w:rsidRDefault="00997962" w:rsidP="00BF179A">
      <w:pPr>
        <w:pStyle w:val="FootnoteText"/>
        <w:rPr>
          <w:sz w:val="16"/>
          <w:szCs w:val="16"/>
        </w:rPr>
      </w:pPr>
    </w:p>
    <w:p w:rsidR="00997962" w:rsidRPr="00BF179A" w:rsidRDefault="00997962" w:rsidP="00CC0EED">
      <w:pPr>
        <w:pStyle w:val="FootnoteText"/>
        <w:rPr>
          <w:sz w:val="16"/>
          <w:szCs w:val="16"/>
        </w:rPr>
      </w:pPr>
    </w:p>
  </w:footnote>
  <w:footnote w:id="4">
    <w:p w:rsidR="00997962" w:rsidRPr="00132065" w:rsidRDefault="00997962" w:rsidP="006C1B11">
      <w:pPr>
        <w:pStyle w:val="FootnoteText"/>
        <w:rPr>
          <w:lang w:val="en-US"/>
        </w:rPr>
      </w:pPr>
    </w:p>
  </w:footnote>
  <w:footnote w:id="5">
    <w:p w:rsidR="00997962" w:rsidRPr="00190A73" w:rsidRDefault="00997962">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5E8FD2"/>
    <w:lvl w:ilvl="0">
      <w:numFmt w:val="decimal"/>
      <w:lvlText w:val="*"/>
      <w:lvlJc w:val="left"/>
    </w:lvl>
  </w:abstractNum>
  <w:abstractNum w:abstractNumId="1">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1"/>
  </w:num>
  <w:num w:numId="6">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7">
    <w:abstractNumId w:val="8"/>
  </w:num>
  <w:num w:numId="8">
    <w:abstractNumId w:val="5"/>
  </w:num>
  <w:num w:numId="9">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stylePaneFormatFilter w:val="3F01"/>
  <w:documentProtection w:edit="forms" w:formatting="1" w:enforcement="1" w:cryptProviderType="rsaFull" w:cryptAlgorithmClass="hash" w:cryptAlgorithmType="typeAny" w:cryptAlgorithmSid="4" w:cryptSpinCount="100000" w:hash="cMUSVSFWGldO3i3Lk9Ox5JNd9yI=" w:salt="fjOfZd1V+s4xN+B2XRCosQ=="/>
  <w:defaultTabStop w:val="720"/>
  <w:characterSpacingControl w:val="doNotCompress"/>
  <w:footnotePr>
    <w:footnote w:id="-1"/>
    <w:footnote w:id="0"/>
  </w:footnotePr>
  <w:endnotePr>
    <w:endnote w:id="-1"/>
    <w:endnote w:id="0"/>
  </w:endnotePr>
  <w:compat/>
  <w:rsids>
    <w:rsidRoot w:val="00E4425C"/>
    <w:rsid w:val="0000020D"/>
    <w:rsid w:val="000051A8"/>
    <w:rsid w:val="00012AC4"/>
    <w:rsid w:val="00013ABE"/>
    <w:rsid w:val="00021D13"/>
    <w:rsid w:val="000258C5"/>
    <w:rsid w:val="00030833"/>
    <w:rsid w:val="00030FAC"/>
    <w:rsid w:val="000427F4"/>
    <w:rsid w:val="000435E1"/>
    <w:rsid w:val="00044965"/>
    <w:rsid w:val="00052F59"/>
    <w:rsid w:val="00056D4E"/>
    <w:rsid w:val="00074E69"/>
    <w:rsid w:val="00092840"/>
    <w:rsid w:val="00096385"/>
    <w:rsid w:val="000A26AD"/>
    <w:rsid w:val="000B45E6"/>
    <w:rsid w:val="000C046F"/>
    <w:rsid w:val="000C39AD"/>
    <w:rsid w:val="000D4837"/>
    <w:rsid w:val="000D7682"/>
    <w:rsid w:val="000E0EC7"/>
    <w:rsid w:val="000E3185"/>
    <w:rsid w:val="000E6C55"/>
    <w:rsid w:val="00110C5D"/>
    <w:rsid w:val="00116A91"/>
    <w:rsid w:val="00123B4F"/>
    <w:rsid w:val="00126E87"/>
    <w:rsid w:val="00132065"/>
    <w:rsid w:val="00134A52"/>
    <w:rsid w:val="00137EB9"/>
    <w:rsid w:val="00143D1B"/>
    <w:rsid w:val="00144A01"/>
    <w:rsid w:val="001509E7"/>
    <w:rsid w:val="001512C4"/>
    <w:rsid w:val="00170EBC"/>
    <w:rsid w:val="00173ECA"/>
    <w:rsid w:val="00174E6B"/>
    <w:rsid w:val="00185C1D"/>
    <w:rsid w:val="00190A73"/>
    <w:rsid w:val="00191AD3"/>
    <w:rsid w:val="001A2A5D"/>
    <w:rsid w:val="001C61B0"/>
    <w:rsid w:val="001C7060"/>
    <w:rsid w:val="001D57C2"/>
    <w:rsid w:val="001D7143"/>
    <w:rsid w:val="001E0E99"/>
    <w:rsid w:val="001E2EB3"/>
    <w:rsid w:val="001E3396"/>
    <w:rsid w:val="001E75AB"/>
    <w:rsid w:val="001F1904"/>
    <w:rsid w:val="001F453B"/>
    <w:rsid w:val="001F5841"/>
    <w:rsid w:val="001F762C"/>
    <w:rsid w:val="00203EC6"/>
    <w:rsid w:val="0020486B"/>
    <w:rsid w:val="00210D22"/>
    <w:rsid w:val="00221DAF"/>
    <w:rsid w:val="00226D82"/>
    <w:rsid w:val="002376E6"/>
    <w:rsid w:val="00241631"/>
    <w:rsid w:val="0025112D"/>
    <w:rsid w:val="002519F5"/>
    <w:rsid w:val="002810E4"/>
    <w:rsid w:val="00293F4B"/>
    <w:rsid w:val="002977D0"/>
    <w:rsid w:val="002A2DF4"/>
    <w:rsid w:val="002A7578"/>
    <w:rsid w:val="002B13D6"/>
    <w:rsid w:val="002C31F6"/>
    <w:rsid w:val="002C37C8"/>
    <w:rsid w:val="002C5F9B"/>
    <w:rsid w:val="002D29E1"/>
    <w:rsid w:val="002D53B1"/>
    <w:rsid w:val="002D6A0E"/>
    <w:rsid w:val="002D727B"/>
    <w:rsid w:val="002D7C74"/>
    <w:rsid w:val="002E1CE2"/>
    <w:rsid w:val="002E208C"/>
    <w:rsid w:val="002E331C"/>
    <w:rsid w:val="002E686E"/>
    <w:rsid w:val="002E6A2F"/>
    <w:rsid w:val="003005BA"/>
    <w:rsid w:val="00304C6D"/>
    <w:rsid w:val="00320F8F"/>
    <w:rsid w:val="00335D95"/>
    <w:rsid w:val="00340D86"/>
    <w:rsid w:val="00350EE8"/>
    <w:rsid w:val="00352BD5"/>
    <w:rsid w:val="00363DA8"/>
    <w:rsid w:val="00374586"/>
    <w:rsid w:val="003757A8"/>
    <w:rsid w:val="00382635"/>
    <w:rsid w:val="00385C3F"/>
    <w:rsid w:val="00390B3E"/>
    <w:rsid w:val="00392194"/>
    <w:rsid w:val="00392A50"/>
    <w:rsid w:val="003961FA"/>
    <w:rsid w:val="003C1095"/>
    <w:rsid w:val="003C2AB0"/>
    <w:rsid w:val="003D5B85"/>
    <w:rsid w:val="003E0301"/>
    <w:rsid w:val="003E2329"/>
    <w:rsid w:val="003E24E0"/>
    <w:rsid w:val="00404B54"/>
    <w:rsid w:val="004136E2"/>
    <w:rsid w:val="0042476D"/>
    <w:rsid w:val="0043302C"/>
    <w:rsid w:val="004359CD"/>
    <w:rsid w:val="00436939"/>
    <w:rsid w:val="004400F5"/>
    <w:rsid w:val="00442896"/>
    <w:rsid w:val="00460BEA"/>
    <w:rsid w:val="004617D3"/>
    <w:rsid w:val="004678C1"/>
    <w:rsid w:val="00495391"/>
    <w:rsid w:val="004B4B20"/>
    <w:rsid w:val="004C0D69"/>
    <w:rsid w:val="004C26F5"/>
    <w:rsid w:val="004C653B"/>
    <w:rsid w:val="004D5527"/>
    <w:rsid w:val="004D7D52"/>
    <w:rsid w:val="004E1ABD"/>
    <w:rsid w:val="004E235E"/>
    <w:rsid w:val="004E38CF"/>
    <w:rsid w:val="004E6410"/>
    <w:rsid w:val="004E69B3"/>
    <w:rsid w:val="004F5AF6"/>
    <w:rsid w:val="00507A4B"/>
    <w:rsid w:val="00510044"/>
    <w:rsid w:val="00510667"/>
    <w:rsid w:val="00511259"/>
    <w:rsid w:val="00511429"/>
    <w:rsid w:val="005146A6"/>
    <w:rsid w:val="00521DFA"/>
    <w:rsid w:val="00524676"/>
    <w:rsid w:val="00535E20"/>
    <w:rsid w:val="00536D57"/>
    <w:rsid w:val="00537901"/>
    <w:rsid w:val="00544B11"/>
    <w:rsid w:val="0055548D"/>
    <w:rsid w:val="00557AF8"/>
    <w:rsid w:val="0057265D"/>
    <w:rsid w:val="00575A6B"/>
    <w:rsid w:val="005813A7"/>
    <w:rsid w:val="005825A1"/>
    <w:rsid w:val="00592C2F"/>
    <w:rsid w:val="005A52B3"/>
    <w:rsid w:val="005A6802"/>
    <w:rsid w:val="005C114F"/>
    <w:rsid w:val="005C64EA"/>
    <w:rsid w:val="005D3179"/>
    <w:rsid w:val="005D4986"/>
    <w:rsid w:val="005E0931"/>
    <w:rsid w:val="005E2170"/>
    <w:rsid w:val="005E7E27"/>
    <w:rsid w:val="00600450"/>
    <w:rsid w:val="006154D2"/>
    <w:rsid w:val="00615A33"/>
    <w:rsid w:val="00616452"/>
    <w:rsid w:val="00625DE5"/>
    <w:rsid w:val="00627C33"/>
    <w:rsid w:val="0064101A"/>
    <w:rsid w:val="00646D24"/>
    <w:rsid w:val="00662BA1"/>
    <w:rsid w:val="00665D7A"/>
    <w:rsid w:val="006A57FB"/>
    <w:rsid w:val="006A7CC1"/>
    <w:rsid w:val="006B72D0"/>
    <w:rsid w:val="006C1B11"/>
    <w:rsid w:val="006D269E"/>
    <w:rsid w:val="006D2889"/>
    <w:rsid w:val="006D6FF6"/>
    <w:rsid w:val="006E3151"/>
    <w:rsid w:val="006F087D"/>
    <w:rsid w:val="006F2AB9"/>
    <w:rsid w:val="006F4CC1"/>
    <w:rsid w:val="006F6A6E"/>
    <w:rsid w:val="006F6DA0"/>
    <w:rsid w:val="00704453"/>
    <w:rsid w:val="00707F58"/>
    <w:rsid w:val="00714481"/>
    <w:rsid w:val="00721DE4"/>
    <w:rsid w:val="007246DC"/>
    <w:rsid w:val="0075400A"/>
    <w:rsid w:val="00755279"/>
    <w:rsid w:val="007615E0"/>
    <w:rsid w:val="0078370F"/>
    <w:rsid w:val="007952C4"/>
    <w:rsid w:val="007A1684"/>
    <w:rsid w:val="007A1C35"/>
    <w:rsid w:val="007C3F8D"/>
    <w:rsid w:val="007D167D"/>
    <w:rsid w:val="007D1A33"/>
    <w:rsid w:val="007D7806"/>
    <w:rsid w:val="007E0630"/>
    <w:rsid w:val="007E0D7E"/>
    <w:rsid w:val="007E2A06"/>
    <w:rsid w:val="007E55C0"/>
    <w:rsid w:val="007E5DF3"/>
    <w:rsid w:val="007F431F"/>
    <w:rsid w:val="00802812"/>
    <w:rsid w:val="00803FE1"/>
    <w:rsid w:val="00806A8B"/>
    <w:rsid w:val="008119A2"/>
    <w:rsid w:val="00837D7F"/>
    <w:rsid w:val="00851B17"/>
    <w:rsid w:val="0085516E"/>
    <w:rsid w:val="0086448F"/>
    <w:rsid w:val="008701E2"/>
    <w:rsid w:val="00870590"/>
    <w:rsid w:val="00876363"/>
    <w:rsid w:val="00884694"/>
    <w:rsid w:val="00894FFA"/>
    <w:rsid w:val="00897466"/>
    <w:rsid w:val="008A4275"/>
    <w:rsid w:val="008B187C"/>
    <w:rsid w:val="008C1BE0"/>
    <w:rsid w:val="008C24E7"/>
    <w:rsid w:val="008C2A93"/>
    <w:rsid w:val="008C2F60"/>
    <w:rsid w:val="008C456F"/>
    <w:rsid w:val="008D2C49"/>
    <w:rsid w:val="008D4EF4"/>
    <w:rsid w:val="008D5521"/>
    <w:rsid w:val="008D6E2F"/>
    <w:rsid w:val="008E7AB9"/>
    <w:rsid w:val="008F3667"/>
    <w:rsid w:val="00900057"/>
    <w:rsid w:val="009220FD"/>
    <w:rsid w:val="00925283"/>
    <w:rsid w:val="00930D93"/>
    <w:rsid w:val="00934B57"/>
    <w:rsid w:val="00937667"/>
    <w:rsid w:val="0094160C"/>
    <w:rsid w:val="0094344C"/>
    <w:rsid w:val="00973165"/>
    <w:rsid w:val="009807C5"/>
    <w:rsid w:val="00984005"/>
    <w:rsid w:val="00994899"/>
    <w:rsid w:val="009961D3"/>
    <w:rsid w:val="00997962"/>
    <w:rsid w:val="009A26AA"/>
    <w:rsid w:val="009B6029"/>
    <w:rsid w:val="009C5DE6"/>
    <w:rsid w:val="009D62F0"/>
    <w:rsid w:val="009E3497"/>
    <w:rsid w:val="009E5E7F"/>
    <w:rsid w:val="00A02B08"/>
    <w:rsid w:val="00A05818"/>
    <w:rsid w:val="00A10B86"/>
    <w:rsid w:val="00A21806"/>
    <w:rsid w:val="00A24F45"/>
    <w:rsid w:val="00A363D2"/>
    <w:rsid w:val="00A41C6D"/>
    <w:rsid w:val="00A45CC2"/>
    <w:rsid w:val="00A54051"/>
    <w:rsid w:val="00A55520"/>
    <w:rsid w:val="00A5589E"/>
    <w:rsid w:val="00A70C6C"/>
    <w:rsid w:val="00A71369"/>
    <w:rsid w:val="00A72972"/>
    <w:rsid w:val="00A7624F"/>
    <w:rsid w:val="00A76F5F"/>
    <w:rsid w:val="00A8085B"/>
    <w:rsid w:val="00A90DEE"/>
    <w:rsid w:val="00AA5C9E"/>
    <w:rsid w:val="00AB5D49"/>
    <w:rsid w:val="00AD2D0D"/>
    <w:rsid w:val="00AD637E"/>
    <w:rsid w:val="00AE3123"/>
    <w:rsid w:val="00AF1BE0"/>
    <w:rsid w:val="00B0317B"/>
    <w:rsid w:val="00B127F2"/>
    <w:rsid w:val="00B139A3"/>
    <w:rsid w:val="00B20899"/>
    <w:rsid w:val="00B21324"/>
    <w:rsid w:val="00B272FD"/>
    <w:rsid w:val="00B41CEE"/>
    <w:rsid w:val="00B46145"/>
    <w:rsid w:val="00B5560A"/>
    <w:rsid w:val="00B76AD0"/>
    <w:rsid w:val="00B92499"/>
    <w:rsid w:val="00B928C8"/>
    <w:rsid w:val="00B95203"/>
    <w:rsid w:val="00B97837"/>
    <w:rsid w:val="00BA40EC"/>
    <w:rsid w:val="00BA4DB4"/>
    <w:rsid w:val="00BA50CC"/>
    <w:rsid w:val="00BB2676"/>
    <w:rsid w:val="00BB5393"/>
    <w:rsid w:val="00BC0233"/>
    <w:rsid w:val="00BD0981"/>
    <w:rsid w:val="00BD1934"/>
    <w:rsid w:val="00BD1B96"/>
    <w:rsid w:val="00BE1D65"/>
    <w:rsid w:val="00BE7B5E"/>
    <w:rsid w:val="00BF179A"/>
    <w:rsid w:val="00BF3FD2"/>
    <w:rsid w:val="00C00EF9"/>
    <w:rsid w:val="00C10D0C"/>
    <w:rsid w:val="00C123BB"/>
    <w:rsid w:val="00C3296E"/>
    <w:rsid w:val="00C3536F"/>
    <w:rsid w:val="00C3631B"/>
    <w:rsid w:val="00C42544"/>
    <w:rsid w:val="00C42A9D"/>
    <w:rsid w:val="00C43D46"/>
    <w:rsid w:val="00C5228F"/>
    <w:rsid w:val="00C531CB"/>
    <w:rsid w:val="00C54643"/>
    <w:rsid w:val="00C61A63"/>
    <w:rsid w:val="00C623E0"/>
    <w:rsid w:val="00C63018"/>
    <w:rsid w:val="00C64837"/>
    <w:rsid w:val="00C72C99"/>
    <w:rsid w:val="00C865E9"/>
    <w:rsid w:val="00CA49EB"/>
    <w:rsid w:val="00CB3443"/>
    <w:rsid w:val="00CC0EED"/>
    <w:rsid w:val="00CD6669"/>
    <w:rsid w:val="00CF4802"/>
    <w:rsid w:val="00CF4809"/>
    <w:rsid w:val="00D01718"/>
    <w:rsid w:val="00D035FC"/>
    <w:rsid w:val="00D171EA"/>
    <w:rsid w:val="00D25A27"/>
    <w:rsid w:val="00D33A6D"/>
    <w:rsid w:val="00D43493"/>
    <w:rsid w:val="00D45676"/>
    <w:rsid w:val="00D501C6"/>
    <w:rsid w:val="00D7369B"/>
    <w:rsid w:val="00D76427"/>
    <w:rsid w:val="00D81843"/>
    <w:rsid w:val="00D84C34"/>
    <w:rsid w:val="00D95E36"/>
    <w:rsid w:val="00DA2C92"/>
    <w:rsid w:val="00DB2E7B"/>
    <w:rsid w:val="00DB3A52"/>
    <w:rsid w:val="00DC060C"/>
    <w:rsid w:val="00DD05FB"/>
    <w:rsid w:val="00DD3F57"/>
    <w:rsid w:val="00DF2DD5"/>
    <w:rsid w:val="00DF782D"/>
    <w:rsid w:val="00DF7898"/>
    <w:rsid w:val="00E12B33"/>
    <w:rsid w:val="00E3059E"/>
    <w:rsid w:val="00E35FEE"/>
    <w:rsid w:val="00E4102F"/>
    <w:rsid w:val="00E41377"/>
    <w:rsid w:val="00E4425C"/>
    <w:rsid w:val="00E51726"/>
    <w:rsid w:val="00E53EB1"/>
    <w:rsid w:val="00E71AFA"/>
    <w:rsid w:val="00E7332A"/>
    <w:rsid w:val="00E773C5"/>
    <w:rsid w:val="00E86307"/>
    <w:rsid w:val="00E92010"/>
    <w:rsid w:val="00E927A2"/>
    <w:rsid w:val="00EA0131"/>
    <w:rsid w:val="00EB11A7"/>
    <w:rsid w:val="00EB1C3E"/>
    <w:rsid w:val="00EB2ACF"/>
    <w:rsid w:val="00EB4AF6"/>
    <w:rsid w:val="00EB5779"/>
    <w:rsid w:val="00EC161B"/>
    <w:rsid w:val="00EC6055"/>
    <w:rsid w:val="00ED2103"/>
    <w:rsid w:val="00EF0836"/>
    <w:rsid w:val="00EF585F"/>
    <w:rsid w:val="00F05D7B"/>
    <w:rsid w:val="00F10418"/>
    <w:rsid w:val="00F209F5"/>
    <w:rsid w:val="00F229FD"/>
    <w:rsid w:val="00F3046E"/>
    <w:rsid w:val="00F50D5F"/>
    <w:rsid w:val="00F51F45"/>
    <w:rsid w:val="00F568C5"/>
    <w:rsid w:val="00F5703A"/>
    <w:rsid w:val="00F60E89"/>
    <w:rsid w:val="00F7322A"/>
    <w:rsid w:val="00F95435"/>
    <w:rsid w:val="00F97E9F"/>
    <w:rsid w:val="00FA77A5"/>
    <w:rsid w:val="00FB52DA"/>
    <w:rsid w:val="00FB6D19"/>
    <w:rsid w:val="00FB7D55"/>
    <w:rsid w:val="00FC2E04"/>
    <w:rsid w:val="00FD1346"/>
    <w:rsid w:val="00FD1A06"/>
    <w:rsid w:val="00FD6AD7"/>
    <w:rsid w:val="00FD7C05"/>
    <w:rsid w:val="00FF0380"/>
    <w:rsid w:val="00FF20C9"/>
    <w:rsid w:val="00FF3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25C"/>
    <w:rPr>
      <w:rFonts w:cs="Tahoma"/>
      <w:sz w:val="24"/>
    </w:rPr>
  </w:style>
  <w:style w:type="paragraph" w:styleId="Heading1">
    <w:name w:val="heading 1"/>
    <w:basedOn w:val="Normal"/>
    <w:next w:val="Normal"/>
    <w:link w:val="Heading1Char"/>
    <w:qFormat/>
    <w:rsid w:val="001C61B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8085B"/>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4425C"/>
    <w:pPr>
      <w:spacing w:after="120"/>
    </w:pPr>
  </w:style>
  <w:style w:type="paragraph" w:styleId="Header">
    <w:name w:val="header"/>
    <w:basedOn w:val="Normal"/>
    <w:link w:val="HeaderChar"/>
    <w:rsid w:val="00E4425C"/>
    <w:pPr>
      <w:widowControl w:val="0"/>
      <w:tabs>
        <w:tab w:val="center" w:pos="4320"/>
        <w:tab w:val="right" w:pos="8640"/>
      </w:tabs>
    </w:pPr>
    <w:rPr>
      <w:rFonts w:cs="Times New Roman"/>
      <w:snapToGrid w:val="0"/>
    </w:rPr>
  </w:style>
  <w:style w:type="character" w:customStyle="1" w:styleId="HeaderChar">
    <w:name w:val="Header Char"/>
    <w:link w:val="Header"/>
    <w:rsid w:val="00E4425C"/>
    <w:rPr>
      <w:snapToGrid w:val="0"/>
      <w:sz w:val="24"/>
      <w:lang w:val="en-US" w:eastAsia="en-US" w:bidi="ar-SA"/>
    </w:rPr>
  </w:style>
  <w:style w:type="paragraph" w:styleId="ListParagraph">
    <w:name w:val="List Paragraph"/>
    <w:basedOn w:val="Normal"/>
    <w:qFormat/>
    <w:rsid w:val="00721DE4"/>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pseditboxdisponly">
    <w:name w:val="pseditbox_disponly"/>
    <w:basedOn w:val="DefaultParagraphFont"/>
    <w:rsid w:val="00A72972"/>
  </w:style>
  <w:style w:type="paragraph" w:customStyle="1" w:styleId="Char">
    <w:name w:val="Char"/>
    <w:basedOn w:val="Normal"/>
    <w:rsid w:val="007E0630"/>
    <w:pPr>
      <w:spacing w:after="160" w:line="240" w:lineRule="exact"/>
    </w:pPr>
    <w:rPr>
      <w:rFonts w:ascii="Arial" w:hAnsi="Arial" w:cs="Arial"/>
      <w:sz w:val="20"/>
      <w:lang w:val="en-GB"/>
    </w:rPr>
  </w:style>
  <w:style w:type="paragraph" w:styleId="BalloonText">
    <w:name w:val="Balloon Text"/>
    <w:basedOn w:val="Normal"/>
    <w:semiHidden/>
    <w:rsid w:val="00DF7898"/>
    <w:rPr>
      <w:rFonts w:ascii="Tahoma" w:hAnsi="Tahoma"/>
      <w:sz w:val="16"/>
      <w:szCs w:val="16"/>
    </w:rPr>
  </w:style>
  <w:style w:type="paragraph" w:styleId="Footer">
    <w:name w:val="footer"/>
    <w:basedOn w:val="Normal"/>
    <w:rsid w:val="00A54051"/>
    <w:pPr>
      <w:tabs>
        <w:tab w:val="center" w:pos="4320"/>
        <w:tab w:val="right" w:pos="8640"/>
      </w:tabs>
    </w:pPr>
  </w:style>
  <w:style w:type="character" w:styleId="PageNumber">
    <w:name w:val="page number"/>
    <w:basedOn w:val="DefaultParagraphFont"/>
    <w:rsid w:val="00A54051"/>
  </w:style>
  <w:style w:type="character" w:customStyle="1" w:styleId="Heading2Char">
    <w:name w:val="Heading 2 Char"/>
    <w:link w:val="Heading2"/>
    <w:rsid w:val="00A8085B"/>
    <w:rPr>
      <w:rFonts w:ascii="Cambria" w:hAnsi="Cambria"/>
      <w:b/>
      <w:bCs/>
      <w:i/>
      <w:iCs/>
      <w:sz w:val="28"/>
      <w:szCs w:val="28"/>
      <w:lang w:val="en-US" w:eastAsia="en-US" w:bidi="ar-SA"/>
    </w:rPr>
  </w:style>
  <w:style w:type="character" w:customStyle="1" w:styleId="Heading1Char">
    <w:name w:val="Heading 1 Char"/>
    <w:link w:val="Heading1"/>
    <w:rsid w:val="001C61B0"/>
    <w:rPr>
      <w:rFonts w:ascii="Cambria" w:hAnsi="Cambria"/>
      <w:b/>
      <w:bCs/>
      <w:kern w:val="32"/>
      <w:sz w:val="32"/>
      <w:szCs w:val="32"/>
      <w:lang w:val="en-US" w:eastAsia="en-US" w:bidi="ar-SA"/>
    </w:rPr>
  </w:style>
  <w:style w:type="paragraph" w:styleId="NoSpacing">
    <w:name w:val="No Spacing"/>
    <w:qFormat/>
    <w:rsid w:val="00021D13"/>
    <w:pPr>
      <w:ind w:left="1440" w:right="720"/>
    </w:pPr>
    <w:rPr>
      <w:rFonts w:ascii="Calibri" w:eastAsia="Calibri" w:hAnsi="Calibri"/>
      <w:sz w:val="22"/>
      <w:szCs w:val="22"/>
      <w:lang w:val="en-GB"/>
    </w:rPr>
  </w:style>
  <w:style w:type="paragraph" w:styleId="FootnoteText">
    <w:name w:val="footnote text"/>
    <w:aliases w:val="ft,ADB,single space"/>
    <w:basedOn w:val="Normal"/>
    <w:link w:val="FootnoteTextChar"/>
    <w:rsid w:val="00E71AFA"/>
    <w:pPr>
      <w:widowControl w:val="0"/>
    </w:pPr>
    <w:rPr>
      <w:rFonts w:cs="Times New Roman"/>
      <w:snapToGrid w:val="0"/>
      <w:sz w:val="20"/>
      <w:lang w:val="en-GB"/>
    </w:rPr>
  </w:style>
  <w:style w:type="character" w:customStyle="1" w:styleId="FootnoteTextChar">
    <w:name w:val="Footnote Text Char"/>
    <w:aliases w:val="ft Char,ADB Char,single space Char"/>
    <w:link w:val="FootnoteText"/>
    <w:rsid w:val="00E71AFA"/>
    <w:rPr>
      <w:snapToGrid/>
      <w:lang w:val="en-GB"/>
    </w:rPr>
  </w:style>
  <w:style w:type="character" w:styleId="FootnoteReference">
    <w:name w:val="footnote reference"/>
    <w:rsid w:val="00E71AFA"/>
    <w:rPr>
      <w:vertAlign w:val="superscript"/>
    </w:rPr>
  </w:style>
  <w:style w:type="character" w:styleId="CommentReference">
    <w:name w:val="annotation reference"/>
    <w:semiHidden/>
    <w:rsid w:val="00884694"/>
    <w:rPr>
      <w:sz w:val="16"/>
      <w:szCs w:val="16"/>
    </w:rPr>
  </w:style>
  <w:style w:type="paragraph" w:styleId="CommentText">
    <w:name w:val="annotation text"/>
    <w:basedOn w:val="Normal"/>
    <w:semiHidden/>
    <w:rsid w:val="00884694"/>
    <w:rPr>
      <w:sz w:val="20"/>
    </w:rPr>
  </w:style>
  <w:style w:type="paragraph" w:styleId="CommentSubject">
    <w:name w:val="annotation subject"/>
    <w:basedOn w:val="CommentText"/>
    <w:next w:val="CommentText"/>
    <w:semiHidden/>
    <w:rsid w:val="00884694"/>
    <w:rPr>
      <w:b/>
      <w:bCs/>
    </w:rPr>
  </w:style>
  <w:style w:type="paragraph" w:styleId="Revision">
    <w:name w:val="Revision"/>
    <w:hidden/>
    <w:uiPriority w:val="99"/>
    <w:semiHidden/>
    <w:rsid w:val="00837D7F"/>
    <w:rPr>
      <w:rFonts w:cs="Tahoma"/>
      <w:sz w:val="24"/>
    </w:rPr>
  </w:style>
</w:styles>
</file>

<file path=word/webSettings.xml><?xml version="1.0" encoding="utf-8"?>
<w:webSettings xmlns:r="http://schemas.openxmlformats.org/officeDocument/2006/relationships" xmlns:w="http://schemas.openxmlformats.org/wordprocessingml/2006/main">
  <w:divs>
    <w:div w:id="663093939">
      <w:bodyDiv w:val="1"/>
      <w:marLeft w:val="0"/>
      <w:marRight w:val="0"/>
      <w:marTop w:val="0"/>
      <w:marBottom w:val="0"/>
      <w:divBdr>
        <w:top w:val="none" w:sz="0" w:space="0" w:color="auto"/>
        <w:left w:val="none" w:sz="0" w:space="0" w:color="auto"/>
        <w:bottom w:val="none" w:sz="0" w:space="0" w:color="auto"/>
        <w:right w:val="none" w:sz="0" w:space="0" w:color="auto"/>
      </w:divBdr>
    </w:div>
    <w:div w:id="717167542">
      <w:bodyDiv w:val="1"/>
      <w:marLeft w:val="0"/>
      <w:marRight w:val="0"/>
      <w:marTop w:val="0"/>
      <w:marBottom w:val="0"/>
      <w:divBdr>
        <w:top w:val="none" w:sz="0" w:space="0" w:color="auto"/>
        <w:left w:val="none" w:sz="0" w:space="0" w:color="auto"/>
        <w:bottom w:val="none" w:sz="0" w:space="0" w:color="auto"/>
        <w:right w:val="none" w:sz="0" w:space="0" w:color="auto"/>
      </w:divBdr>
    </w:div>
    <w:div w:id="749430036">
      <w:bodyDiv w:val="1"/>
      <w:marLeft w:val="0"/>
      <w:marRight w:val="0"/>
      <w:marTop w:val="0"/>
      <w:marBottom w:val="0"/>
      <w:divBdr>
        <w:top w:val="none" w:sz="0" w:space="0" w:color="auto"/>
        <w:left w:val="none" w:sz="0" w:space="0" w:color="auto"/>
        <w:bottom w:val="none" w:sz="0" w:space="0" w:color="auto"/>
        <w:right w:val="none" w:sz="0" w:space="0" w:color="auto"/>
      </w:divBdr>
    </w:div>
    <w:div w:id="1068572606">
      <w:bodyDiv w:val="1"/>
      <w:marLeft w:val="0"/>
      <w:marRight w:val="0"/>
      <w:marTop w:val="0"/>
      <w:marBottom w:val="0"/>
      <w:divBdr>
        <w:top w:val="none" w:sz="0" w:space="0" w:color="auto"/>
        <w:left w:val="none" w:sz="0" w:space="0" w:color="auto"/>
        <w:bottom w:val="none" w:sz="0" w:space="0" w:color="auto"/>
        <w:right w:val="none" w:sz="0" w:space="0" w:color="auto"/>
      </w:divBdr>
    </w:div>
    <w:div w:id="1144665137">
      <w:bodyDiv w:val="1"/>
      <w:marLeft w:val="0"/>
      <w:marRight w:val="0"/>
      <w:marTop w:val="0"/>
      <w:marBottom w:val="0"/>
      <w:divBdr>
        <w:top w:val="none" w:sz="0" w:space="0" w:color="auto"/>
        <w:left w:val="none" w:sz="0" w:space="0" w:color="auto"/>
        <w:bottom w:val="none" w:sz="0" w:space="0" w:color="auto"/>
        <w:right w:val="none" w:sz="0" w:space="0" w:color="auto"/>
      </w:divBdr>
    </w:div>
    <w:div w:id="1221400589">
      <w:bodyDiv w:val="1"/>
      <w:marLeft w:val="0"/>
      <w:marRight w:val="0"/>
      <w:marTop w:val="0"/>
      <w:marBottom w:val="0"/>
      <w:divBdr>
        <w:top w:val="none" w:sz="0" w:space="0" w:color="auto"/>
        <w:left w:val="none" w:sz="0" w:space="0" w:color="auto"/>
        <w:bottom w:val="none" w:sz="0" w:space="0" w:color="auto"/>
        <w:right w:val="none" w:sz="0" w:space="0" w:color="auto"/>
      </w:divBdr>
    </w:div>
    <w:div w:id="1560284984">
      <w:bodyDiv w:val="1"/>
      <w:marLeft w:val="0"/>
      <w:marRight w:val="0"/>
      <w:marTop w:val="0"/>
      <w:marBottom w:val="0"/>
      <w:divBdr>
        <w:top w:val="none" w:sz="0" w:space="0" w:color="auto"/>
        <w:left w:val="none" w:sz="0" w:space="0" w:color="auto"/>
        <w:bottom w:val="none" w:sz="0" w:space="0" w:color="auto"/>
        <w:right w:val="none" w:sz="0" w:space="0" w:color="auto"/>
      </w:divBdr>
    </w:div>
    <w:div w:id="20255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D80DE-2737-4438-95A1-36A29200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Sierra Leone PBF projects</vt:lpstr>
    </vt:vector>
  </TitlesOfParts>
  <Company>UNDP</Company>
  <LinksUpToDate>false</LinksUpToDate>
  <CharactersWithSpaces>16618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 PBF projects</dc:title>
  <dc:creator>Aloysious</dc:creator>
  <cp:lastModifiedBy>PBO</cp:lastModifiedBy>
  <cp:revision>18</cp:revision>
  <cp:lastPrinted>2015-06-29T14:50:00Z</cp:lastPrinted>
  <dcterms:created xsi:type="dcterms:W3CDTF">2015-07-28T16:33:00Z</dcterms:created>
  <dcterms:modified xsi:type="dcterms:W3CDTF">2015-07-29T09:48:00Z</dcterms:modified>
</cp:coreProperties>
</file>