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2F" w:rsidRDefault="004B7A2F"/>
    <w:tbl>
      <w:tblPr>
        <w:tblW w:w="0" w:type="auto"/>
        <w:tblLook w:val="04A0"/>
      </w:tblPr>
      <w:tblGrid>
        <w:gridCol w:w="3553"/>
        <w:gridCol w:w="5105"/>
        <w:gridCol w:w="1710"/>
      </w:tblGrid>
      <w:tr w:rsidR="001114B2" w:rsidRPr="00386B05" w:rsidTr="00C5660F">
        <w:trPr>
          <w:trHeight w:val="1745"/>
        </w:trPr>
        <w:tc>
          <w:tcPr>
            <w:tcW w:w="3553" w:type="dxa"/>
            <w:shd w:val="clear" w:color="auto" w:fill="auto"/>
          </w:tcPr>
          <w:p w:rsidR="001114B2" w:rsidRPr="00386B05" w:rsidRDefault="00B03D46" w:rsidP="001114B2">
            <w:pPr>
              <w:rPr>
                <w:sz w:val="28"/>
                <w:szCs w:val="28"/>
              </w:rPr>
            </w:pPr>
            <w:r>
              <w:rPr>
                <w:noProof/>
              </w:rPr>
              <w:drawing>
                <wp:inline distT="0" distB="0" distL="0" distR="0">
                  <wp:extent cx="857250" cy="571500"/>
                  <wp:effectExtent l="19050" t="0" r="0" b="0"/>
                  <wp:docPr id="1" name="Picture 1"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
                          <pic:cNvPicPr>
                            <a:picLocks noChangeAspect="1" noChangeArrowheads="1"/>
                          </pic:cNvPicPr>
                        </pic:nvPicPr>
                        <pic:blipFill>
                          <a:blip r:embed="rId8"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p>
        </w:tc>
        <w:tc>
          <w:tcPr>
            <w:tcW w:w="5105" w:type="dxa"/>
            <w:shd w:val="clear" w:color="auto" w:fill="auto"/>
          </w:tcPr>
          <w:p w:rsidR="001114B2" w:rsidRPr="00386B05" w:rsidRDefault="001114B2" w:rsidP="00C5660F">
            <w:pPr>
              <w:jc w:val="right"/>
              <w:rPr>
                <w:noProof/>
              </w:rPr>
            </w:pPr>
          </w:p>
          <w:p w:rsidR="001114B2" w:rsidRPr="00386B05" w:rsidRDefault="00B03D46" w:rsidP="004B7A2F">
            <w:pPr>
              <w:rPr>
                <w:b/>
                <w:sz w:val="28"/>
                <w:szCs w:val="28"/>
                <w:u w:val="single"/>
              </w:rPr>
            </w:pPr>
            <w:r>
              <w:rPr>
                <w:noProof/>
              </w:rPr>
              <w:drawing>
                <wp:inline distT="0" distB="0" distL="0" distR="0">
                  <wp:extent cx="1638300" cy="304800"/>
                  <wp:effectExtent l="19050" t="0" r="0"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8300" cy="304800"/>
                          </a:xfrm>
                          <a:prstGeom prst="rect">
                            <a:avLst/>
                          </a:prstGeom>
                          <a:noFill/>
                          <a:ln w="9525">
                            <a:noFill/>
                            <a:miter lim="800000"/>
                            <a:headEnd/>
                            <a:tailEnd/>
                          </a:ln>
                        </pic:spPr>
                      </pic:pic>
                    </a:graphicData>
                  </a:graphic>
                </wp:inline>
              </w:drawing>
            </w:r>
          </w:p>
        </w:tc>
        <w:tc>
          <w:tcPr>
            <w:tcW w:w="1710" w:type="dxa"/>
            <w:shd w:val="clear" w:color="auto" w:fill="auto"/>
          </w:tcPr>
          <w:p w:rsidR="001114B2" w:rsidRPr="00386B05" w:rsidRDefault="00B03D46" w:rsidP="00C5660F">
            <w:pPr>
              <w:jc w:val="right"/>
              <w:rPr>
                <w:b/>
                <w:sz w:val="28"/>
                <w:szCs w:val="28"/>
                <w:u w:val="single"/>
              </w:rPr>
            </w:pPr>
            <w:r>
              <w:rPr>
                <w:b/>
                <w:iCs/>
                <w:noProof/>
                <w:color w:val="333399"/>
              </w:rPr>
              <w:drawing>
                <wp:inline distT="0" distB="0" distL="0" distR="0">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62610" cy="1059815"/>
                          </a:xfrm>
                          <a:prstGeom prst="rect">
                            <a:avLst/>
                          </a:prstGeom>
                          <a:noFill/>
                        </pic:spPr>
                      </pic:pic>
                    </a:graphicData>
                  </a:graphic>
                </wp:inline>
              </w:drawing>
            </w:r>
          </w:p>
        </w:tc>
      </w:tr>
    </w:tbl>
    <w:p w:rsidR="00875706" w:rsidRPr="00386B05" w:rsidRDefault="008D4242" w:rsidP="00875706">
      <w:pPr>
        <w:jc w:val="center"/>
        <w:rPr>
          <w:b/>
        </w:rPr>
      </w:pPr>
      <w:r w:rsidRPr="00386B05">
        <w:rPr>
          <w:b/>
        </w:rPr>
        <w:t>LEBANON RECOVERY FUND</w:t>
      </w:r>
    </w:p>
    <w:p w:rsidR="00875706" w:rsidRPr="00386B05" w:rsidRDefault="00875706" w:rsidP="00875706">
      <w:pPr>
        <w:jc w:val="center"/>
        <w:rPr>
          <w:b/>
          <w:bCs/>
          <w:caps/>
        </w:rPr>
      </w:pPr>
      <w:r w:rsidRPr="00386B05">
        <w:rPr>
          <w:b/>
          <w:bCs/>
          <w:caps/>
        </w:rPr>
        <w:t>MPTF OFfice GENERIC ANNUAL programme</w:t>
      </w:r>
      <w:r w:rsidRPr="00386B05">
        <w:rPr>
          <w:rStyle w:val="FootnoteReference"/>
          <w:b/>
          <w:bCs/>
          <w:caps/>
        </w:rPr>
        <w:footnoteReference w:id="1"/>
      </w:r>
      <w:r w:rsidRPr="00386B05">
        <w:rPr>
          <w:b/>
          <w:bCs/>
          <w:caps/>
        </w:rPr>
        <w:t xml:space="preserve"> NARRATIVE progress report </w:t>
      </w:r>
    </w:p>
    <w:p w:rsidR="00875706" w:rsidRPr="00386B05" w:rsidRDefault="00875706" w:rsidP="00875706">
      <w:pPr>
        <w:jc w:val="center"/>
        <w:rPr>
          <w:b/>
          <w:bCs/>
          <w:caps/>
        </w:rPr>
      </w:pPr>
      <w:r w:rsidRPr="00386B05">
        <w:rPr>
          <w:b/>
          <w:bCs/>
          <w:caps/>
        </w:rPr>
        <w:t>REPORTING PERI</w:t>
      </w:r>
      <w:r w:rsidR="00FC2E22">
        <w:rPr>
          <w:b/>
          <w:bCs/>
          <w:caps/>
        </w:rPr>
        <w:t>OD: 1 january – 31 December 2013</w:t>
      </w:r>
    </w:p>
    <w:p w:rsidR="00875706" w:rsidRPr="00386B05" w:rsidRDefault="00875706" w:rsidP="00875706">
      <w:pPr>
        <w:jc w:val="center"/>
        <w:rPr>
          <w:b/>
          <w:bCs/>
          <w:caps/>
        </w:rPr>
      </w:pPr>
    </w:p>
    <w:tbl>
      <w:tblPr>
        <w:tblW w:w="10386" w:type="dxa"/>
        <w:tblInd w:w="-72" w:type="dxa"/>
        <w:tblLayout w:type="fixed"/>
        <w:tblLook w:val="01E0"/>
      </w:tblPr>
      <w:tblGrid>
        <w:gridCol w:w="2970"/>
        <w:gridCol w:w="2172"/>
        <w:gridCol w:w="258"/>
        <w:gridCol w:w="3002"/>
        <w:gridCol w:w="1984"/>
      </w:tblGrid>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Country, Locality(s), Priority Area(s) / Strategic Results</w:t>
            </w:r>
            <w:r w:rsidRPr="00386B05">
              <w:rPr>
                <w:rStyle w:val="FootnoteReference"/>
                <w:rFonts w:cs="Times New Roman"/>
              </w:rPr>
              <w:footnoteReference w:id="2"/>
            </w:r>
          </w:p>
        </w:tc>
      </w:tr>
      <w:tr w:rsidR="00875706" w:rsidRPr="00386B05" w:rsidTr="00C5660F">
        <w:trPr>
          <w:trHeight w:val="300"/>
        </w:trPr>
        <w:tc>
          <w:tcPr>
            <w:tcW w:w="5142" w:type="dxa"/>
            <w:gridSpan w:val="2"/>
            <w:vMerge w:val="restart"/>
            <w:tcBorders>
              <w:left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r w:rsidRPr="00386B05">
              <w:rPr>
                <w:rFonts w:ascii="Times New Roman" w:hAnsi="Times New Roman" w:cs="Times New Roman"/>
                <w:bCs/>
                <w:iCs/>
                <w:snapToGrid w:val="0"/>
                <w:szCs w:val="28"/>
              </w:rPr>
              <w:t>Programme Title:</w:t>
            </w:r>
            <w:r w:rsidR="008D4242" w:rsidRPr="00386B05">
              <w:rPr>
                <w:rFonts w:ascii="Times New Roman" w:hAnsi="Times New Roman" w:cs="Times New Roman"/>
                <w:bCs/>
                <w:iCs/>
                <w:snapToGrid w:val="0"/>
                <w:szCs w:val="28"/>
              </w:rPr>
              <w:t xml:space="preserve"> M&amp;E team for the LRF</w:t>
            </w:r>
          </w:p>
          <w:p w:rsidR="00875706" w:rsidRPr="00386B05" w:rsidRDefault="00875706" w:rsidP="00FC2E22">
            <w:pPr>
              <w:pStyle w:val="BodyText"/>
              <w:numPr>
                <w:ilvl w:val="0"/>
                <w:numId w:val="2"/>
              </w:numPr>
              <w:spacing w:before="60" w:after="60"/>
              <w:ind w:left="342"/>
              <w:jc w:val="both"/>
              <w:rPr>
                <w:rFonts w:ascii="Times New Roman" w:hAnsi="Times New Roman" w:cs="Times New Roman"/>
                <w:bCs/>
                <w:i/>
                <w:iCs/>
                <w:snapToGrid w:val="0"/>
                <w:sz w:val="18"/>
                <w:szCs w:val="18"/>
                <w:lang w:val="en-GB"/>
              </w:rPr>
            </w:pPr>
            <w:r w:rsidRPr="00386B05">
              <w:rPr>
                <w:rFonts w:ascii="Times New Roman" w:hAnsi="Times New Roman" w:cs="Times New Roman"/>
                <w:bCs/>
                <w:iCs/>
                <w:snapToGrid w:val="0"/>
                <w:szCs w:val="28"/>
              </w:rPr>
              <w:t xml:space="preserve">Programme Number </w:t>
            </w:r>
            <w:r w:rsidR="00FC2E22">
              <w:rPr>
                <w:rFonts w:ascii="Times New Roman" w:hAnsi="Times New Roman" w:cs="Times New Roman"/>
                <w:bCs/>
                <w:i/>
                <w:iCs/>
                <w:snapToGrid w:val="0"/>
                <w:sz w:val="18"/>
                <w:szCs w:val="18"/>
                <w:lang w:val="en-GB"/>
              </w:rPr>
              <w:t>LRF 25</w:t>
            </w:r>
            <w:r w:rsidRPr="00386B05">
              <w:rPr>
                <w:rFonts w:ascii="Times New Roman" w:hAnsi="Times New Roman" w:cs="Times New Roman"/>
                <w:bCs/>
                <w:i/>
                <w:iCs/>
                <w:snapToGrid w:val="0"/>
                <w:sz w:val="18"/>
                <w:szCs w:val="18"/>
                <w:lang w:val="en-GB"/>
              </w:rPr>
              <w:t xml:space="preserve">  </w:t>
            </w:r>
          </w:p>
          <w:p w:rsidR="00875706" w:rsidRPr="00386B05" w:rsidRDefault="00875706" w:rsidP="009D1301">
            <w:pPr>
              <w:pStyle w:val="BodyText"/>
              <w:numPr>
                <w:ilvl w:val="0"/>
                <w:numId w:val="2"/>
              </w:numPr>
              <w:spacing w:before="60" w:after="60"/>
              <w:ind w:left="342"/>
              <w:jc w:val="both"/>
              <w:rPr>
                <w:rFonts w:ascii="Times New Roman" w:hAnsi="Times New Roman" w:cs="Times New Roman"/>
                <w:i/>
              </w:rPr>
            </w:pPr>
            <w:r w:rsidRPr="00386B05">
              <w:rPr>
                <w:rFonts w:ascii="Times New Roman" w:hAnsi="Times New Roman" w:cs="Times New Roman"/>
                <w:bCs/>
                <w:iCs/>
                <w:snapToGrid w:val="0"/>
                <w:szCs w:val="28"/>
              </w:rPr>
              <w:t>MPTF Office Project Reference Number:</w:t>
            </w:r>
            <w:r w:rsidRPr="00386B05">
              <w:rPr>
                <w:rStyle w:val="FootnoteReference"/>
                <w:rFonts w:ascii="Times New Roman" w:hAnsi="Times New Roman" w:cs="Times New Roman"/>
                <w:bCs/>
                <w:iCs/>
                <w:snapToGrid w:val="0"/>
                <w:szCs w:val="28"/>
              </w:rPr>
              <w:footnoteReference w:id="3"/>
            </w:r>
            <w:r w:rsidRPr="00386B05">
              <w:rPr>
                <w:rFonts w:ascii="Times New Roman" w:hAnsi="Times New Roman" w:cs="Times New Roman"/>
                <w:i/>
              </w:rPr>
              <w:t xml:space="preserve"> </w:t>
            </w:r>
            <w:r w:rsidR="008D4242" w:rsidRPr="00386B05">
              <w:rPr>
                <w:rFonts w:ascii="Times New Roman" w:hAnsi="Times New Roman" w:cs="Times New Roman"/>
                <w:iCs/>
              </w:rPr>
              <w:t>00073340</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(if applicable)</w:t>
            </w:r>
          </w:p>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Country/Region</w:t>
            </w:r>
          </w:p>
          <w:p w:rsidR="00875706" w:rsidRPr="00386B05" w:rsidRDefault="008D4242" w:rsidP="00C5660F">
            <w:pPr>
              <w:pStyle w:val="BodyText"/>
              <w:rPr>
                <w:rFonts w:ascii="Times New Roman" w:hAnsi="Times New Roman" w:cs="Times New Roman"/>
                <w:sz w:val="24"/>
              </w:rPr>
            </w:pPr>
            <w:r w:rsidRPr="00386B05">
              <w:rPr>
                <w:rFonts w:ascii="Times New Roman" w:hAnsi="Times New Roman" w:cs="Times New Roman"/>
                <w:sz w:val="24"/>
              </w:rPr>
              <w:t>Lebanon</w:t>
            </w:r>
          </w:p>
        </w:tc>
      </w:tr>
      <w:tr w:rsidR="00875706" w:rsidRPr="00386B05" w:rsidTr="00C5660F">
        <w:trPr>
          <w:trHeight w:val="426"/>
        </w:trPr>
        <w:tc>
          <w:tcPr>
            <w:tcW w:w="5142" w:type="dxa"/>
            <w:gridSpan w:val="2"/>
            <w:vMerge/>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 xml:space="preserve">Priority area/ strategic results </w:t>
            </w: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Participating Organization(s)</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sz w:val="20"/>
              </w:rPr>
            </w:pPr>
            <w:r w:rsidRPr="00386B05">
              <w:rPr>
                <w:rFonts w:cs="Times New Roman"/>
              </w:rPr>
              <w:t>Implementing Partners</w:t>
            </w:r>
          </w:p>
        </w:tc>
      </w:tr>
      <w:tr w:rsidR="00875706" w:rsidRPr="00386B05" w:rsidTr="00C5660F">
        <w:trPr>
          <w:trHeight w:val="495"/>
        </w:trPr>
        <w:tc>
          <w:tcPr>
            <w:tcW w:w="5142"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5"/>
              </w:numPr>
              <w:rPr>
                <w:rFonts w:ascii="Times New Roman" w:hAnsi="Times New Roman" w:cs="Times New Roman"/>
              </w:rPr>
            </w:pPr>
            <w:r w:rsidRPr="00386B05">
              <w:rPr>
                <w:rFonts w:ascii="Times New Roman" w:hAnsi="Times New Roman" w:cs="Times New Roman"/>
              </w:rPr>
              <w:t>Organizations that have received direct funding from the MPTF Office under this programme</w:t>
            </w:r>
          </w:p>
          <w:p w:rsidR="008D4242" w:rsidRPr="00386B05" w:rsidRDefault="008D4242" w:rsidP="00C5660F">
            <w:pPr>
              <w:pStyle w:val="BodyText"/>
              <w:rPr>
                <w:rFonts w:ascii="Times New Roman" w:hAnsi="Times New Roman" w:cs="Times New Roman"/>
                <w:i/>
              </w:rPr>
            </w:pPr>
          </w:p>
          <w:p w:rsidR="00875706" w:rsidRPr="00386B05" w:rsidRDefault="008D4242" w:rsidP="00C5660F">
            <w:pPr>
              <w:pStyle w:val="BodyText"/>
              <w:rPr>
                <w:rFonts w:ascii="Times New Roman" w:hAnsi="Times New Roman" w:cs="Times New Roman"/>
                <w:i/>
              </w:rPr>
            </w:pPr>
            <w:r w:rsidRPr="00386B05">
              <w:rPr>
                <w:rFonts w:ascii="Times New Roman" w:hAnsi="Times New Roman" w:cs="Times New Roman"/>
                <w:i/>
              </w:rPr>
              <w:t>UNDP</w:t>
            </w:r>
          </w:p>
          <w:p w:rsidR="00875706" w:rsidRPr="00386B05" w:rsidRDefault="00875706" w:rsidP="00C5660F">
            <w:pPr>
              <w:pStyle w:val="BodyText"/>
              <w:rPr>
                <w:rFonts w:ascii="Times New Roman" w:hAnsi="Times New Roman" w:cs="Times New Roman"/>
                <w:i/>
                <w:sz w:val="24"/>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3"/>
              </w:numPr>
              <w:spacing w:before="60" w:after="60"/>
              <w:ind w:left="376"/>
              <w:jc w:val="both"/>
              <w:rPr>
                <w:rFonts w:ascii="Times New Roman" w:hAnsi="Times New Roman" w:cs="Times New Roman"/>
                <w:bCs/>
                <w:iCs/>
                <w:snapToGrid w:val="0"/>
                <w:color w:val="000000"/>
                <w:szCs w:val="28"/>
              </w:rPr>
            </w:pPr>
            <w:r w:rsidRPr="00386B05">
              <w:rPr>
                <w:rFonts w:ascii="Times New Roman" w:hAnsi="Times New Roman" w:cs="Times New Roman"/>
                <w:bCs/>
                <w:iCs/>
                <w:snapToGrid w:val="0"/>
                <w:color w:val="000000"/>
                <w:szCs w:val="28"/>
              </w:rPr>
              <w:t>National counterparts (government, private, NGOs &amp; others) and other International Organizations</w:t>
            </w: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r w:rsidRPr="00386B05">
              <w:rPr>
                <w:rFonts w:ascii="Times New Roman" w:hAnsi="Times New Roman" w:cs="Times New Roman"/>
                <w:bCs/>
                <w:i/>
                <w:snapToGrid w:val="0"/>
                <w:color w:val="000000"/>
                <w:szCs w:val="28"/>
              </w:rPr>
              <w:t>Ministry of Economy &amp; Trade</w:t>
            </w: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 Duration</w:t>
            </w: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rsidR="00875706" w:rsidRPr="00386B05" w:rsidRDefault="00875706" w:rsidP="00C5660F">
            <w:pPr>
              <w:pStyle w:val="H2"/>
              <w:rPr>
                <w:rFonts w:cs="Times New Roman"/>
                <w:b w:val="0"/>
                <w:sz w:val="20"/>
                <w:szCs w:val="20"/>
              </w:rPr>
            </w:pPr>
            <w:r w:rsidRPr="00386B05">
              <w:rPr>
                <w:rFonts w:cs="Times New Roman"/>
                <w:b w:val="0"/>
                <w:sz w:val="20"/>
                <w:szCs w:val="20"/>
              </w:rPr>
              <w:t xml:space="preserve">Total approved budget as per project document: </w:t>
            </w:r>
          </w:p>
          <w:p w:rsidR="00875706" w:rsidRPr="00386B05" w:rsidRDefault="00875706" w:rsidP="00B77D38">
            <w:pPr>
              <w:pStyle w:val="H2"/>
              <w:rPr>
                <w:rFonts w:cs="Times New Roman"/>
                <w:b w:val="0"/>
                <w:sz w:val="20"/>
                <w:szCs w:val="20"/>
              </w:rPr>
            </w:pPr>
            <w:r w:rsidRPr="00386B05">
              <w:rPr>
                <w:rFonts w:cs="Times New Roman"/>
                <w:b w:val="0"/>
                <w:sz w:val="20"/>
                <w:szCs w:val="20"/>
              </w:rPr>
              <w:t>MPTF /JP Contribution</w:t>
            </w:r>
            <w:r w:rsidRPr="00386B05">
              <w:rPr>
                <w:rStyle w:val="FootnoteReference"/>
                <w:rFonts w:cs="Times New Roman"/>
                <w:b w:val="0"/>
                <w:sz w:val="20"/>
                <w:szCs w:val="20"/>
              </w:rPr>
              <w:footnoteReference w:id="4"/>
            </w:r>
            <w:r w:rsidRPr="00386B05">
              <w:rPr>
                <w:rFonts w:cs="Times New Roman"/>
                <w:b w:val="0"/>
                <w:sz w:val="20"/>
                <w:szCs w:val="20"/>
              </w:rPr>
              <w:t xml:space="preserve">:  </w:t>
            </w:r>
            <w:r w:rsidR="00B77D38" w:rsidRPr="00386B05">
              <w:rPr>
                <w:rFonts w:cs="Times New Roman"/>
                <w:b w:val="0"/>
                <w:sz w:val="20"/>
                <w:szCs w:val="20"/>
              </w:rPr>
              <w:t>200,000.00 USD</w:t>
            </w:r>
          </w:p>
        </w:tc>
        <w:tc>
          <w:tcPr>
            <w:tcW w:w="217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D4242" w:rsidRPr="00386B05" w:rsidRDefault="00875706" w:rsidP="008D4242">
            <w:pPr>
              <w:pStyle w:val="BodyText"/>
              <w:rPr>
                <w:rFonts w:ascii="Times New Roman" w:hAnsi="Times New Roman" w:cs="Times New Roman"/>
                <w:i/>
              </w:rPr>
            </w:pPr>
            <w:r w:rsidRPr="00386B05">
              <w:rPr>
                <w:rFonts w:ascii="Times New Roman" w:hAnsi="Times New Roman" w:cs="Times New Roman"/>
              </w:rPr>
              <w:t xml:space="preserve">Overall Duration </w:t>
            </w:r>
            <w:r w:rsidRPr="00386B05">
              <w:rPr>
                <w:rFonts w:ascii="Times New Roman" w:hAnsi="Times New Roman" w:cs="Times New Roman"/>
                <w:i/>
              </w:rPr>
              <w:t>(months)</w:t>
            </w:r>
            <w:r w:rsidR="008D4242" w:rsidRPr="00386B05">
              <w:rPr>
                <w:rFonts w:ascii="Times New Roman" w:hAnsi="Times New Roman" w:cs="Times New Roman"/>
                <w:i/>
              </w:rPr>
              <w:t xml:space="preserve"> </w:t>
            </w:r>
          </w:p>
          <w:p w:rsidR="00875706" w:rsidRPr="00386B05" w:rsidRDefault="00FC2E22" w:rsidP="008D4242">
            <w:pPr>
              <w:pStyle w:val="BodyText"/>
              <w:rPr>
                <w:rFonts w:ascii="Times New Roman" w:hAnsi="Times New Roman" w:cs="Times New Roman"/>
              </w:rPr>
            </w:pPr>
            <w:r>
              <w:rPr>
                <w:rFonts w:ascii="Times New Roman" w:hAnsi="Times New Roman" w:cs="Times New Roman"/>
                <w:i/>
              </w:rPr>
              <w:t>72 months</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widowControl w:val="0"/>
              <w:rPr>
                <w:rFonts w:ascii="Times New Roman" w:hAnsi="Times New Roman" w:cs="Times New Roman"/>
              </w:rPr>
            </w:pP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rsidR="00875706" w:rsidRPr="00386B05" w:rsidRDefault="00875706" w:rsidP="00B77D38">
            <w:pPr>
              <w:pStyle w:val="H2"/>
              <w:rPr>
                <w:rFonts w:cs="Times New Roman"/>
              </w:rPr>
            </w:pPr>
          </w:p>
        </w:tc>
        <w:tc>
          <w:tcPr>
            <w:tcW w:w="217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t>Start Date</w:t>
            </w:r>
            <w:r w:rsidRPr="00386B05">
              <w:rPr>
                <w:rStyle w:val="FootnoteReference"/>
                <w:rFonts w:ascii="Times New Roman" w:hAnsi="Times New Roman" w:cs="Times New Roman"/>
              </w:rPr>
              <w:footnoteReference w:id="5"/>
            </w:r>
            <w:r w:rsidRPr="00386B05">
              <w:rPr>
                <w:rFonts w:ascii="Times New Roman" w:hAnsi="Times New Roman" w:cs="Times New Roman"/>
              </w:rPr>
              <w:t xml:space="preserve"> </w:t>
            </w:r>
            <w:r w:rsidR="008D4242" w:rsidRPr="00386B05">
              <w:rPr>
                <w:rFonts w:ascii="Times New Roman" w:hAnsi="Times New Roman" w:cs="Times New Roman"/>
                <w:i/>
              </w:rPr>
              <w:t>17 Dec 2009</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217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r w:rsidRPr="00386B05">
              <w:rPr>
                <w:rFonts w:ascii="Times New Roman" w:hAnsi="Times New Roman" w:cs="Times New Roman"/>
              </w:rPr>
              <w:t>Original End Date</w:t>
            </w:r>
            <w:r w:rsidRPr="00386B05">
              <w:rPr>
                <w:rStyle w:val="FootnoteReference"/>
                <w:rFonts w:ascii="Times New Roman" w:hAnsi="Times New Roman" w:cs="Times New Roman"/>
                <w:bCs/>
                <w:i/>
                <w:iCs/>
                <w:snapToGrid w:val="0"/>
                <w:sz w:val="18"/>
                <w:szCs w:val="18"/>
              </w:rPr>
              <w:footnoteReference w:id="6"/>
            </w:r>
            <w:r w:rsidRPr="00386B05">
              <w:rPr>
                <w:rFonts w:ascii="Times New Roman" w:hAnsi="Times New Roman" w:cs="Times New Roman"/>
              </w:rPr>
              <w:t xml:space="preserve"> </w:t>
            </w:r>
            <w:r w:rsidR="008D4242" w:rsidRPr="00386B05">
              <w:rPr>
                <w:rFonts w:ascii="Times New Roman" w:hAnsi="Times New Roman" w:cs="Times New Roman"/>
                <w:i/>
              </w:rPr>
              <w:t>31 Dec 2012</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217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r w:rsidRPr="00386B05">
              <w:rPr>
                <w:rFonts w:ascii="Times New Roman" w:hAnsi="Times New Roman" w:cs="Times New Roman"/>
              </w:rPr>
              <w:t>Current End date</w:t>
            </w:r>
            <w:r w:rsidRPr="00386B05">
              <w:rPr>
                <w:rStyle w:val="FootnoteReference"/>
                <w:rFonts w:ascii="Times New Roman" w:hAnsi="Times New Roman" w:cs="Times New Roman"/>
              </w:rPr>
              <w:footnoteReference w:id="7"/>
            </w:r>
            <w:r w:rsidR="008D4242" w:rsidRPr="00386B05">
              <w:rPr>
                <w:rFonts w:ascii="Times New Roman" w:hAnsi="Times New Roman" w:cs="Times New Roman"/>
                <w:i/>
              </w:rPr>
              <w:t>31 Dec 20</w:t>
            </w:r>
            <w:r w:rsidR="00FC2E22">
              <w:rPr>
                <w:rFonts w:ascii="Times New Roman" w:hAnsi="Times New Roman" w:cs="Times New Roman"/>
                <w:i/>
              </w:rPr>
              <w:t>15</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H2"/>
              <w:rPr>
                <w:rFonts w:cs="Times New Roman"/>
                <w:sz w:val="20"/>
                <w:szCs w:val="20"/>
              </w:rPr>
            </w:pPr>
            <w:r w:rsidRPr="00386B05">
              <w:rPr>
                <w:rFonts w:cs="Times New Roman"/>
                <w:sz w:val="20"/>
                <w:szCs w:val="20"/>
              </w:rPr>
              <w:t>TOTAL:</w:t>
            </w:r>
            <w:r w:rsidR="00B77D38" w:rsidRPr="00386B05">
              <w:rPr>
                <w:rFonts w:cs="Times New Roman"/>
                <w:b w:val="0"/>
                <w:sz w:val="20"/>
                <w:szCs w:val="20"/>
              </w:rPr>
              <w:t xml:space="preserve"> 200,000.00 USD</w:t>
            </w:r>
          </w:p>
        </w:tc>
        <w:tc>
          <w:tcPr>
            <w:tcW w:w="2172"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ind w:right="-120" w:hanging="70"/>
              <w:jc w:val="center"/>
              <w:rPr>
                <w:rFonts w:cs="Times New Roman"/>
              </w:rPr>
            </w:pPr>
            <w:r w:rsidRPr="00386B05">
              <w:rPr>
                <w:rFonts w:cs="Times New Roman"/>
              </w:rPr>
              <w:t>Programme Assessment/Review/Mid-Term Eval.</w:t>
            </w:r>
          </w:p>
        </w:tc>
        <w:tc>
          <w:tcPr>
            <w:tcW w:w="258" w:type="dxa"/>
            <w:vMerge w:val="restart"/>
            <w:tcBorders>
              <w:left w:val="single" w:sz="4" w:space="0" w:color="auto"/>
              <w:right w:val="single" w:sz="4" w:space="0" w:color="auto"/>
            </w:tcBorders>
          </w:tcPr>
          <w:p w:rsidR="00875706" w:rsidRPr="00386B0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jc w:val="center"/>
              <w:rPr>
                <w:rFonts w:cs="Times New Roman"/>
              </w:rPr>
            </w:pPr>
            <w:r w:rsidRPr="00386B05">
              <w:rPr>
                <w:rFonts w:cs="Times New Roman"/>
                <w:bCs w:val="0"/>
              </w:rPr>
              <w:t>Report Submitted By</w:t>
            </w:r>
          </w:p>
        </w:tc>
      </w:tr>
      <w:tr w:rsidR="00875706" w:rsidRPr="00386B05" w:rsidTr="00C5660F">
        <w:trPr>
          <w:trHeight w:val="285"/>
        </w:trPr>
        <w:tc>
          <w:tcPr>
            <w:tcW w:w="5142"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sz w:val="18"/>
                <w:szCs w:val="18"/>
                <w:lang w:val="en-GB"/>
              </w:rPr>
            </w:pPr>
            <w:r w:rsidRPr="00386B05">
              <w:rPr>
                <w:rFonts w:ascii="Times New Roman" w:hAnsi="Times New Roman" w:cs="Times New Roman"/>
              </w:rPr>
              <w:t xml:space="preserve">Assessment/Review  - if applicable </w:t>
            </w:r>
            <w:r w:rsidRPr="00386B05">
              <w:rPr>
                <w:rFonts w:ascii="Times New Roman" w:hAnsi="Times New Roman" w:cs="Times New Roman"/>
                <w:bCs/>
                <w:i/>
                <w:iCs/>
                <w:snapToGrid w:val="0"/>
                <w:sz w:val="18"/>
                <w:szCs w:val="18"/>
                <w:lang w:val="en-GB"/>
              </w:rPr>
              <w:t>please attach</w:t>
            </w:r>
          </w:p>
          <w:p w:rsidR="00875706" w:rsidRPr="00386B05" w:rsidRDefault="004053AA" w:rsidP="008D4242">
            <w:pPr>
              <w:pStyle w:val="BodyText"/>
              <w:rPr>
                <w:rFonts w:ascii="Times New Roman" w:hAnsi="Times New Roman" w:cs="Times New Roman"/>
              </w:rPr>
            </w:pPr>
            <w:r w:rsidRPr="004053AA">
              <w:rPr>
                <w:rFonts w:ascii="Times New Roman" w:hAnsi="Times New Roman" w:cs="Times New Roman"/>
                <w:i/>
                <w:noProof/>
              </w:rPr>
              <w:pict>
                <v:rect id="_x0000_s1027" style="position:absolute;margin-left:41.3pt;margin-top:1.35pt;width:7.15pt;height:7.15pt;z-index:251656192" fillcolor="#4f81bd" strokecolor="#f2f2f2" strokeweight="3pt">
                  <v:shadow on="t" type="perspective" color="#243f60" opacity=".5" offset="1pt" offset2="-1pt"/>
                </v:rect>
              </w:pict>
            </w:r>
            <w:r w:rsidRPr="004053AA">
              <w:rPr>
                <w:rFonts w:ascii="Times New Roman" w:hAnsi="Times New Roman" w:cs="Times New Roman"/>
                <w:i/>
                <w:noProof/>
              </w:rPr>
              <w:pict>
                <v:rect id="_x0000_s1030" style="position:absolute;margin-left:-.7pt;margin-top:1.35pt;width:7.15pt;height:7.15pt;z-index:251659264"/>
              </w:pict>
            </w:r>
            <w:r w:rsidR="00875706" w:rsidRPr="00386B05">
              <w:rPr>
                <w:rFonts w:ascii="Times New Roman" w:hAnsi="Times New Roman" w:cs="Times New Roman"/>
              </w:rPr>
              <w:t xml:space="preserve">     Yes          No    </w:t>
            </w:r>
          </w:p>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t xml:space="preserve">Mid-Term Evaluation Report </w:t>
            </w:r>
            <w:r w:rsidRPr="00386B05">
              <w:rPr>
                <w:rFonts w:ascii="Times New Roman" w:hAnsi="Times New Roman" w:cs="Times New Roman"/>
                <w:bCs/>
                <w:i/>
                <w:iCs/>
                <w:snapToGrid w:val="0"/>
                <w:sz w:val="18"/>
                <w:szCs w:val="18"/>
                <w:lang w:val="en-GB"/>
              </w:rPr>
              <w:t>– if applicable please attach</w:t>
            </w:r>
            <w:r w:rsidRPr="00386B05">
              <w:rPr>
                <w:rFonts w:ascii="Times New Roman" w:hAnsi="Times New Roman" w:cs="Times New Roman"/>
                <w:b/>
              </w:rPr>
              <w:t xml:space="preserve">          </w:t>
            </w:r>
          </w:p>
          <w:p w:rsidR="00875706" w:rsidRPr="00386B05" w:rsidRDefault="004053AA" w:rsidP="008D4242">
            <w:pPr>
              <w:pStyle w:val="BodyText"/>
              <w:rPr>
                <w:rFonts w:ascii="Times New Roman" w:hAnsi="Times New Roman" w:cs="Times New Roman"/>
              </w:rPr>
            </w:pPr>
            <w:r w:rsidRPr="004053AA">
              <w:rPr>
                <w:rFonts w:ascii="Times New Roman" w:hAnsi="Times New Roman" w:cs="Times New Roman"/>
                <w:i/>
                <w:noProof/>
              </w:rPr>
              <w:pict>
                <v:rect id="_x0000_s1029" style="position:absolute;margin-left:40.9pt;margin-top:1.6pt;width:7.15pt;height:7.15pt;z-index:251658240" fillcolor="#4f81bd" strokecolor="#f2f2f2" strokeweight="3pt">
                  <v:shadow on="t" type="perspective" color="#243f60" opacity=".5" offset="1pt" offset2="-1pt"/>
                </v:rect>
              </w:pict>
            </w:r>
            <w:r w:rsidRPr="004053AA">
              <w:rPr>
                <w:rFonts w:ascii="Times New Roman" w:hAnsi="Times New Roman" w:cs="Times New Roman"/>
                <w:i/>
                <w:noProof/>
              </w:rPr>
              <w:pict>
                <v:rect id="_x0000_s1028" style="position:absolute;margin-left:-.7pt;margin-top:1.65pt;width:7.15pt;height:7.15pt;z-index:251657216"/>
              </w:pict>
            </w:r>
            <w:r w:rsidR="00875706" w:rsidRPr="00386B05">
              <w:rPr>
                <w:rFonts w:ascii="Times New Roman" w:hAnsi="Times New Roman" w:cs="Times New Roman"/>
              </w:rPr>
              <w:t xml:space="preserve">      Yes          No    </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numPr>
                <w:ilvl w:val="0"/>
                <w:numId w:val="4"/>
              </w:numPr>
              <w:ind w:left="342"/>
              <w:rPr>
                <w:sz w:val="20"/>
                <w:szCs w:val="20"/>
                <w:lang w:val="en-GB"/>
              </w:rPr>
            </w:pPr>
            <w:r w:rsidRPr="00386B05">
              <w:rPr>
                <w:sz w:val="20"/>
                <w:szCs w:val="20"/>
                <w:lang w:val="en-GB"/>
              </w:rPr>
              <w:t>Name:</w:t>
            </w:r>
            <w:r w:rsidR="009F7506" w:rsidRPr="00386B05">
              <w:rPr>
                <w:sz w:val="20"/>
                <w:szCs w:val="20"/>
                <w:lang w:val="en-GB"/>
              </w:rPr>
              <w:t xml:space="preserve"> Rony Gedeon</w:t>
            </w:r>
          </w:p>
          <w:p w:rsidR="00875706" w:rsidRPr="00386B05" w:rsidRDefault="00875706" w:rsidP="00FC2E22">
            <w:pPr>
              <w:numPr>
                <w:ilvl w:val="0"/>
                <w:numId w:val="4"/>
              </w:numPr>
              <w:ind w:left="342"/>
              <w:rPr>
                <w:sz w:val="20"/>
                <w:szCs w:val="20"/>
                <w:lang w:val="en-GB"/>
              </w:rPr>
            </w:pPr>
            <w:r w:rsidRPr="00386B05">
              <w:rPr>
                <w:sz w:val="20"/>
                <w:szCs w:val="20"/>
                <w:lang w:val="en-GB"/>
              </w:rPr>
              <w:t>Title:</w:t>
            </w:r>
            <w:r w:rsidR="009F7506" w:rsidRPr="00386B05">
              <w:rPr>
                <w:sz w:val="20"/>
                <w:szCs w:val="20"/>
                <w:lang w:val="en-GB"/>
              </w:rPr>
              <w:t xml:space="preserve"> M&amp;E </w:t>
            </w:r>
            <w:r w:rsidR="00FC2E22">
              <w:rPr>
                <w:sz w:val="20"/>
                <w:szCs w:val="20"/>
                <w:lang w:val="en-GB"/>
              </w:rPr>
              <w:t>Officer</w:t>
            </w:r>
          </w:p>
          <w:p w:rsidR="00875706" w:rsidRPr="00386B05" w:rsidRDefault="00875706" w:rsidP="009D1301">
            <w:pPr>
              <w:numPr>
                <w:ilvl w:val="0"/>
                <w:numId w:val="4"/>
              </w:numPr>
              <w:ind w:left="342"/>
              <w:rPr>
                <w:sz w:val="20"/>
                <w:szCs w:val="20"/>
                <w:lang w:val="en-GB"/>
              </w:rPr>
            </w:pPr>
            <w:r w:rsidRPr="00386B05">
              <w:rPr>
                <w:sz w:val="20"/>
                <w:szCs w:val="20"/>
                <w:lang w:val="en-GB"/>
              </w:rPr>
              <w:t>Participating Organization (Lead):</w:t>
            </w:r>
            <w:r w:rsidR="009F7506" w:rsidRPr="00386B05">
              <w:rPr>
                <w:sz w:val="20"/>
                <w:szCs w:val="20"/>
                <w:lang w:val="en-GB"/>
              </w:rPr>
              <w:t xml:space="preserve"> UNDP</w:t>
            </w:r>
          </w:p>
          <w:p w:rsidR="00875706" w:rsidRPr="00386B05" w:rsidRDefault="00875706" w:rsidP="009D1301">
            <w:pPr>
              <w:pStyle w:val="BodyText"/>
              <w:numPr>
                <w:ilvl w:val="0"/>
                <w:numId w:val="4"/>
              </w:numPr>
              <w:spacing w:after="120"/>
              <w:ind w:left="342"/>
              <w:jc w:val="both"/>
              <w:rPr>
                <w:rFonts w:ascii="Times New Roman" w:hAnsi="Times New Roman" w:cs="Times New Roman"/>
                <w:b/>
                <w:bCs/>
                <w:snapToGrid w:val="0"/>
                <w:kern w:val="32"/>
                <w:sz w:val="24"/>
                <w:szCs w:val="32"/>
              </w:rPr>
            </w:pPr>
            <w:r w:rsidRPr="00386B05">
              <w:rPr>
                <w:rFonts w:ascii="Times New Roman" w:hAnsi="Times New Roman" w:cs="Times New Roman"/>
              </w:rPr>
              <w:t>Email address:</w:t>
            </w:r>
            <w:r w:rsidR="009F7506" w:rsidRPr="00386B05">
              <w:rPr>
                <w:rFonts w:ascii="Times New Roman" w:hAnsi="Times New Roman" w:cs="Times New Roman"/>
              </w:rPr>
              <w:t xml:space="preserve"> </w:t>
            </w:r>
            <w:hyperlink r:id="rId11" w:history="1">
              <w:r w:rsidR="009F7506" w:rsidRPr="00386B05">
                <w:rPr>
                  <w:rStyle w:val="Hyperlink"/>
                  <w:rFonts w:ascii="Times New Roman" w:hAnsi="Times New Roman" w:cs="Times New Roman"/>
                </w:rPr>
                <w:t>rgedeon@economy.gov.lb</w:t>
              </w:r>
            </w:hyperlink>
            <w:r w:rsidR="009F7506" w:rsidRPr="00386B05">
              <w:rPr>
                <w:rFonts w:ascii="Times New Roman" w:hAnsi="Times New Roman" w:cs="Times New Roman"/>
              </w:rPr>
              <w:t xml:space="preserve"> </w:t>
            </w:r>
          </w:p>
        </w:tc>
      </w:tr>
    </w:tbl>
    <w:p w:rsidR="00AB0274" w:rsidRPr="00386B05" w:rsidRDefault="00875706" w:rsidP="00AB0274">
      <w:r w:rsidRPr="00386B05">
        <w:rPr>
          <w:b/>
          <w:bCs/>
          <w:caps/>
        </w:rPr>
        <w:br w:type="page"/>
      </w:r>
    </w:p>
    <w:p w:rsidR="006F7F98" w:rsidRPr="00386B05" w:rsidRDefault="006F7F98" w:rsidP="006F7F98">
      <w:pPr>
        <w:pStyle w:val="Heading3"/>
        <w:jc w:val="center"/>
        <w:rPr>
          <w:rFonts w:ascii="Times New Roman" w:hAnsi="Times New Roman"/>
          <w:color w:val="000000"/>
          <w:sz w:val="24"/>
        </w:rPr>
      </w:pPr>
      <w:bookmarkStart w:id="0" w:name="_Toc296423133"/>
      <w:bookmarkStart w:id="1" w:name="_Toc296423276"/>
      <w:bookmarkStart w:id="2" w:name="_Toc249364482"/>
      <w:r w:rsidRPr="00386B05">
        <w:rPr>
          <w:rFonts w:ascii="Times New Roman" w:hAnsi="Times New Roman"/>
          <w:color w:val="000000"/>
          <w:sz w:val="24"/>
        </w:rPr>
        <w:lastRenderedPageBreak/>
        <w:t>LIST OF ACRONYMS</w:t>
      </w:r>
      <w:bookmarkEnd w:id="0"/>
      <w:bookmarkEnd w:id="1"/>
    </w:p>
    <w:p w:rsidR="006F7F98" w:rsidRPr="00386B05" w:rsidRDefault="006F7F98" w:rsidP="006F7F98"/>
    <w:p w:rsidR="006F7F98" w:rsidRPr="00386B05" w:rsidRDefault="006F7F98" w:rsidP="006F7F98">
      <w:pPr>
        <w:spacing w:line="360" w:lineRule="auto"/>
        <w:rPr>
          <w:color w:val="000000"/>
          <w:lang w:val="en-GB"/>
        </w:rPr>
      </w:pPr>
      <w:r w:rsidRPr="00386B05">
        <w:rPr>
          <w:color w:val="000000"/>
          <w:lang w:val="en-GB"/>
        </w:rPr>
        <w:t>M&amp;E: Monitoring and Evaluation</w:t>
      </w:r>
    </w:p>
    <w:p w:rsidR="006F7F98" w:rsidRPr="00386B05" w:rsidRDefault="006F7F98" w:rsidP="006F7F98">
      <w:pPr>
        <w:spacing w:line="360" w:lineRule="auto"/>
        <w:rPr>
          <w:color w:val="000000"/>
          <w:lang w:val="en-GB"/>
        </w:rPr>
      </w:pPr>
      <w:r w:rsidRPr="00386B05">
        <w:rPr>
          <w:color w:val="000000"/>
          <w:lang w:val="en-GB"/>
        </w:rPr>
        <w:t>LRF: Lebanon Recovery Fund</w:t>
      </w:r>
    </w:p>
    <w:p w:rsidR="006F7F98" w:rsidRPr="00386B05" w:rsidRDefault="006F7F98" w:rsidP="006F7F98">
      <w:pPr>
        <w:spacing w:line="360" w:lineRule="auto"/>
        <w:rPr>
          <w:color w:val="000000"/>
          <w:lang w:val="en-GB"/>
        </w:rPr>
      </w:pPr>
      <w:r w:rsidRPr="00386B05">
        <w:rPr>
          <w:color w:val="000000"/>
          <w:lang w:val="en-GB"/>
        </w:rPr>
        <w:t>UNRCO: United Nations Resident Coordinator’s Office</w:t>
      </w:r>
    </w:p>
    <w:p w:rsidR="006F7F98" w:rsidRPr="00386B05" w:rsidRDefault="006F7F98" w:rsidP="006F7F98">
      <w:pPr>
        <w:spacing w:line="360" w:lineRule="auto"/>
        <w:rPr>
          <w:color w:val="000000"/>
          <w:lang w:val="en-GB"/>
        </w:rPr>
      </w:pPr>
      <w:r w:rsidRPr="00386B05">
        <w:rPr>
          <w:color w:val="000000"/>
          <w:lang w:val="en-GB"/>
        </w:rPr>
        <w:t>FAO:</w:t>
      </w:r>
      <w:r w:rsidRPr="00386B05">
        <w:rPr>
          <w:b/>
          <w:bCs/>
          <w:color w:val="000000"/>
        </w:rPr>
        <w:t xml:space="preserve"> </w:t>
      </w:r>
      <w:r w:rsidRPr="00386B05">
        <w:rPr>
          <w:color w:val="000000"/>
        </w:rPr>
        <w:t>Food and Agriculture Organization</w:t>
      </w:r>
    </w:p>
    <w:p w:rsidR="006F7F98" w:rsidRPr="00386B05" w:rsidRDefault="006F7F98" w:rsidP="006F7F98">
      <w:pPr>
        <w:spacing w:line="360" w:lineRule="auto"/>
        <w:rPr>
          <w:color w:val="000000"/>
        </w:rPr>
      </w:pPr>
      <w:r w:rsidRPr="00386B05">
        <w:rPr>
          <w:color w:val="000000"/>
          <w:lang w:val="en-GB"/>
        </w:rPr>
        <w:t>UNIDO:</w:t>
      </w:r>
      <w:r w:rsidRPr="00386B05">
        <w:rPr>
          <w:color w:val="000000"/>
        </w:rPr>
        <w:t xml:space="preserve"> </w:t>
      </w:r>
      <w:r w:rsidRPr="00386B05">
        <w:rPr>
          <w:color w:val="000000"/>
          <w:lang w:val="en-GB"/>
        </w:rPr>
        <w:t>United Nations Industrial Development Organization</w:t>
      </w:r>
    </w:p>
    <w:p w:rsidR="006F7F98" w:rsidRPr="00386B05" w:rsidRDefault="006F7F98" w:rsidP="006F7F98">
      <w:pPr>
        <w:spacing w:line="360" w:lineRule="auto"/>
        <w:rPr>
          <w:color w:val="000000"/>
          <w:lang w:val="en-GB"/>
        </w:rPr>
      </w:pPr>
      <w:r w:rsidRPr="00386B05">
        <w:rPr>
          <w:color w:val="000000"/>
          <w:lang w:val="en-GB"/>
        </w:rPr>
        <w:t>UNDP: United Nations Development Programme</w:t>
      </w:r>
    </w:p>
    <w:p w:rsidR="006F7F98" w:rsidRPr="00386B05" w:rsidRDefault="006F7F98" w:rsidP="006F7F98">
      <w:pPr>
        <w:spacing w:line="360" w:lineRule="auto"/>
        <w:rPr>
          <w:color w:val="000000"/>
        </w:rPr>
      </w:pPr>
      <w:r w:rsidRPr="00386B05">
        <w:rPr>
          <w:color w:val="000000"/>
          <w:lang w:val="en-GB"/>
        </w:rPr>
        <w:t>UNFPA:</w:t>
      </w:r>
      <w:r w:rsidRPr="00386B05">
        <w:rPr>
          <w:color w:val="000000"/>
        </w:rPr>
        <w:t xml:space="preserve"> </w:t>
      </w:r>
      <w:r w:rsidRPr="00386B05">
        <w:rPr>
          <w:color w:val="000000"/>
          <w:lang w:val="en-GB"/>
        </w:rPr>
        <w:t>United Nations Population Fund</w:t>
      </w:r>
    </w:p>
    <w:p w:rsidR="006F7F98" w:rsidRPr="00386B05" w:rsidRDefault="006F7F98" w:rsidP="006F7F98">
      <w:pPr>
        <w:spacing w:line="360" w:lineRule="auto"/>
        <w:rPr>
          <w:color w:val="000000"/>
          <w:lang w:val="en-GB"/>
        </w:rPr>
      </w:pPr>
      <w:r w:rsidRPr="00386B05">
        <w:rPr>
          <w:color w:val="000000"/>
          <w:lang w:val="en-GB"/>
        </w:rPr>
        <w:t>ILO: International Labour Organization</w:t>
      </w:r>
    </w:p>
    <w:p w:rsidR="006F7F98" w:rsidRPr="00386B05" w:rsidRDefault="006F7F98" w:rsidP="006F7F98">
      <w:pPr>
        <w:spacing w:line="360" w:lineRule="auto"/>
        <w:rPr>
          <w:color w:val="000000"/>
          <w:lang w:val="en-GB"/>
        </w:rPr>
      </w:pPr>
      <w:r w:rsidRPr="00386B05">
        <w:rPr>
          <w:color w:val="000000"/>
          <w:lang w:val="en-GB"/>
        </w:rPr>
        <w:t>UNESCO: United Nations Educational, Scientific and Cultural Organization</w:t>
      </w:r>
    </w:p>
    <w:p w:rsidR="006F7F98" w:rsidRPr="00386B05" w:rsidRDefault="006F7F98" w:rsidP="006F7F98">
      <w:pPr>
        <w:spacing w:line="360" w:lineRule="auto"/>
        <w:rPr>
          <w:color w:val="000000"/>
          <w:lang w:val="en-GB"/>
        </w:rPr>
      </w:pPr>
      <w:r w:rsidRPr="00386B05">
        <w:rPr>
          <w:color w:val="000000"/>
          <w:lang w:val="en-GB"/>
        </w:rPr>
        <w:t>MPTF:</w:t>
      </w:r>
      <w:r w:rsidRPr="00386B05">
        <w:rPr>
          <w:color w:val="000000"/>
        </w:rPr>
        <w:t xml:space="preserve"> Multi-Donor Trust Fund</w:t>
      </w:r>
    </w:p>
    <w:p w:rsidR="006F7F98" w:rsidRPr="00386B05" w:rsidRDefault="006F7F98" w:rsidP="006F7F98">
      <w:pPr>
        <w:spacing w:line="360" w:lineRule="auto"/>
        <w:rPr>
          <w:color w:val="000000"/>
          <w:lang w:val="en-GB"/>
        </w:rPr>
      </w:pPr>
      <w:r w:rsidRPr="00386B05">
        <w:rPr>
          <w:color w:val="000000"/>
          <w:lang w:val="en-GB"/>
        </w:rPr>
        <w:t>PAG:</w:t>
      </w:r>
      <w:r w:rsidRPr="00386B05">
        <w:rPr>
          <w:color w:val="000000"/>
        </w:rPr>
        <w:t xml:space="preserve"> </w:t>
      </w:r>
      <w:r w:rsidRPr="00386B05">
        <w:rPr>
          <w:color w:val="000000"/>
          <w:lang w:val="en-GB"/>
        </w:rPr>
        <w:t>Project Approval Group</w:t>
      </w:r>
    </w:p>
    <w:p w:rsidR="006F7F98" w:rsidRPr="00386B05" w:rsidRDefault="006F7F98" w:rsidP="006F7F98">
      <w:pPr>
        <w:spacing w:line="360" w:lineRule="auto"/>
        <w:rPr>
          <w:color w:val="000000"/>
          <w:lang w:val="en-GB"/>
        </w:rPr>
      </w:pPr>
      <w:r w:rsidRPr="00386B05">
        <w:rPr>
          <w:color w:val="000000"/>
          <w:lang w:val="en-GB"/>
        </w:rPr>
        <w:t>SC: Steering Committee</w:t>
      </w:r>
    </w:p>
    <w:p w:rsidR="006F7F98" w:rsidRPr="00386B05" w:rsidRDefault="006F7F98" w:rsidP="006F7F98">
      <w:pPr>
        <w:spacing w:line="360" w:lineRule="auto"/>
        <w:rPr>
          <w:color w:val="000000"/>
        </w:rPr>
      </w:pPr>
      <w:r w:rsidRPr="00386B05">
        <w:rPr>
          <w:color w:val="000000"/>
        </w:rPr>
        <w:t>HQ: Head Quarters</w:t>
      </w:r>
    </w:p>
    <w:p w:rsidR="006F7F98" w:rsidRPr="00386B05" w:rsidRDefault="006F7F98" w:rsidP="006F7F98">
      <w:pPr>
        <w:spacing w:line="360" w:lineRule="auto"/>
        <w:rPr>
          <w:color w:val="000000"/>
        </w:rPr>
      </w:pPr>
      <w:r w:rsidRPr="00386B05">
        <w:rPr>
          <w:color w:val="000000"/>
        </w:rPr>
        <w:t>Q: Quarter</w:t>
      </w:r>
    </w:p>
    <w:p w:rsidR="006F7F98" w:rsidRPr="00386B05" w:rsidRDefault="006F7F98" w:rsidP="006F7F98">
      <w:pPr>
        <w:spacing w:line="360" w:lineRule="auto"/>
        <w:rPr>
          <w:color w:val="000000"/>
        </w:rPr>
      </w:pPr>
      <w:r w:rsidRPr="00386B05">
        <w:rPr>
          <w:color w:val="000000"/>
        </w:rPr>
        <w:t>MoM: Minutes of Meeting</w:t>
      </w:r>
    </w:p>
    <w:p w:rsidR="00AB0274" w:rsidRPr="00386B05" w:rsidRDefault="006F7F98" w:rsidP="00386B05">
      <w:pPr>
        <w:pStyle w:val="Heading1"/>
        <w:tabs>
          <w:tab w:val="left" w:pos="360"/>
        </w:tabs>
        <w:spacing w:line="276" w:lineRule="auto"/>
        <w:ind w:left="0"/>
        <w:contextualSpacing/>
        <w:jc w:val="center"/>
        <w:rPr>
          <w:rFonts w:ascii="Times New Roman" w:hAnsi="Times New Roman"/>
          <w:sz w:val="24"/>
          <w:szCs w:val="24"/>
          <w:u w:val="single"/>
        </w:rPr>
      </w:pPr>
      <w:r w:rsidRPr="00386B05">
        <w:rPr>
          <w:rFonts w:ascii="Times New Roman" w:hAnsi="Times New Roman"/>
          <w:sz w:val="24"/>
          <w:szCs w:val="24"/>
          <w:u w:val="single"/>
        </w:rPr>
        <w:br w:type="page"/>
      </w:r>
      <w:r w:rsidR="00AB0274" w:rsidRPr="00386B05">
        <w:rPr>
          <w:rFonts w:ascii="Times New Roman" w:hAnsi="Times New Roman"/>
          <w:sz w:val="24"/>
          <w:szCs w:val="24"/>
          <w:u w:val="single"/>
        </w:rPr>
        <w:lastRenderedPageBreak/>
        <w:t>NARRATIVE REPORT FORMAT</w:t>
      </w:r>
      <w:bookmarkEnd w:id="2"/>
    </w:p>
    <w:p w:rsidR="00AB0274" w:rsidRPr="00386B05" w:rsidRDefault="00AB0274" w:rsidP="00386B05">
      <w:pPr>
        <w:spacing w:line="276" w:lineRule="auto"/>
        <w:contextualSpacing/>
        <w:rPr>
          <w:sz w:val="16"/>
        </w:rPr>
      </w:pPr>
    </w:p>
    <w:p w:rsidR="003B1DFF" w:rsidRPr="00386B05" w:rsidRDefault="000803A0" w:rsidP="00386B05">
      <w:pPr>
        <w:pStyle w:val="Heading1"/>
        <w:tabs>
          <w:tab w:val="left" w:pos="360"/>
        </w:tabs>
        <w:spacing w:line="276" w:lineRule="auto"/>
        <w:ind w:left="0"/>
        <w:contextualSpacing/>
        <w:jc w:val="left"/>
        <w:rPr>
          <w:rFonts w:ascii="Times New Roman" w:hAnsi="Times New Roman"/>
          <w:sz w:val="24"/>
          <w:szCs w:val="24"/>
        </w:rPr>
      </w:pPr>
      <w:bookmarkStart w:id="3" w:name="_Toc249364483"/>
      <w:r w:rsidRPr="00386B05">
        <w:rPr>
          <w:rFonts w:ascii="Times New Roman" w:hAnsi="Times New Roman"/>
          <w:sz w:val="24"/>
          <w:szCs w:val="24"/>
        </w:rPr>
        <w:t xml:space="preserve">EXECUTIVE </w:t>
      </w:r>
      <w:r w:rsidR="003B1DFF" w:rsidRPr="00386B05">
        <w:rPr>
          <w:rFonts w:ascii="Times New Roman" w:hAnsi="Times New Roman"/>
          <w:sz w:val="24"/>
          <w:szCs w:val="24"/>
        </w:rPr>
        <w:t xml:space="preserve">SUMMARY </w:t>
      </w:r>
    </w:p>
    <w:p w:rsidR="00023183" w:rsidRDefault="00023183" w:rsidP="00023183">
      <w:pPr>
        <w:spacing w:line="276" w:lineRule="auto"/>
        <w:ind w:left="720"/>
        <w:contextualSpacing/>
        <w:jc w:val="both"/>
      </w:pPr>
    </w:p>
    <w:p w:rsidR="0044405C" w:rsidRPr="00B516E4" w:rsidRDefault="009A0A75" w:rsidP="00D9756B">
      <w:pPr>
        <w:spacing w:line="276" w:lineRule="auto"/>
        <w:ind w:left="720"/>
        <w:contextualSpacing/>
        <w:jc w:val="both"/>
      </w:pPr>
      <w:r>
        <w:t>During 201</w:t>
      </w:r>
      <w:r w:rsidR="00FC2E22">
        <w:t>3</w:t>
      </w:r>
      <w:r>
        <w:t xml:space="preserve">, the M&amp;E unit was closely monitoring the ongoing LRF projects </w:t>
      </w:r>
      <w:r w:rsidR="00D9756B">
        <w:t xml:space="preserve">whilst </w:t>
      </w:r>
      <w:r>
        <w:t xml:space="preserve">providing technical support and advice to the LRF Steering Committee, Project Approval Group and the projects’ teams. </w:t>
      </w:r>
    </w:p>
    <w:p w:rsidR="009A0A75" w:rsidRDefault="009A0A75" w:rsidP="009A0A75">
      <w:pPr>
        <w:pStyle w:val="ListParagraph"/>
        <w:spacing w:line="276" w:lineRule="auto"/>
      </w:pPr>
    </w:p>
    <w:p w:rsidR="00D9756B" w:rsidRDefault="00D9756B" w:rsidP="009A0A75">
      <w:pPr>
        <w:spacing w:line="276" w:lineRule="auto"/>
        <w:ind w:left="720"/>
        <w:contextualSpacing/>
        <w:jc w:val="both"/>
      </w:pPr>
      <w:r>
        <w:t>A number of transfers and extensions took place during 2013:</w:t>
      </w:r>
    </w:p>
    <w:p w:rsidR="00023183" w:rsidRDefault="00D9756B" w:rsidP="00D9756B">
      <w:pPr>
        <w:spacing w:line="276" w:lineRule="auto"/>
        <w:ind w:left="720"/>
        <w:contextualSpacing/>
        <w:jc w:val="both"/>
      </w:pPr>
      <w:r>
        <w:t>T</w:t>
      </w:r>
      <w:r w:rsidR="009A0A75">
        <w:t>he FAO LRF 26 project</w:t>
      </w:r>
      <w:r w:rsidR="009A0A75" w:rsidRPr="009A0A75">
        <w:t xml:space="preserve"> </w:t>
      </w:r>
      <w:r w:rsidR="009A0A75" w:rsidRPr="00023183">
        <w:t>Recovery and Rehabilitation of Dairy Sector in Bekaa Valley and Hermel-Akkar Uplands – Phase II”</w:t>
      </w:r>
      <w:r w:rsidR="009A0A75">
        <w:t xml:space="preserve"> was granted a fund transfer of </w:t>
      </w:r>
      <w:r w:rsidR="009A0A75" w:rsidRPr="00023183">
        <w:t xml:space="preserve">the remaining funds from LRF 14 </w:t>
      </w:r>
      <w:r w:rsidR="009A0A75">
        <w:t>project.</w:t>
      </w:r>
      <w:r w:rsidR="009A0A75" w:rsidRPr="009A0A75">
        <w:t xml:space="preserve"> </w:t>
      </w:r>
      <w:r w:rsidR="009A0A75">
        <w:t>T</w:t>
      </w:r>
      <w:r w:rsidR="009A0A75" w:rsidRPr="00023183">
        <w:t>he Steering Committee</w:t>
      </w:r>
      <w:r w:rsidR="009A0A75">
        <w:t xml:space="preserve"> previously</w:t>
      </w:r>
      <w:r w:rsidR="009A0A75" w:rsidRPr="00023183">
        <w:t xml:space="preserve"> approved </w:t>
      </w:r>
      <w:r w:rsidR="009A0A75">
        <w:t xml:space="preserve">an </w:t>
      </w:r>
      <w:r w:rsidR="009A0A75" w:rsidRPr="00023183" w:rsidDel="00627034">
        <w:t>FAO’s</w:t>
      </w:r>
      <w:r w:rsidR="009A0A75" w:rsidRPr="00023183">
        <w:t xml:space="preserve"> request to transfer the remaining funds from</w:t>
      </w:r>
      <w:r w:rsidR="009A0A75">
        <w:t xml:space="preserve"> the</w:t>
      </w:r>
      <w:r w:rsidR="009A0A75" w:rsidRPr="00023183">
        <w:t xml:space="preserve"> LRF 14 to </w:t>
      </w:r>
      <w:r w:rsidR="009A0A75">
        <w:t>the LRF 21 project</w:t>
      </w:r>
      <w:r w:rsidR="009A0A75" w:rsidRPr="00023183">
        <w:t xml:space="preserve">.  </w:t>
      </w:r>
      <w:r w:rsidR="009A0A75">
        <w:t>However, d</w:t>
      </w:r>
      <w:r w:rsidR="009A0A75" w:rsidRPr="00023183">
        <w:t xml:space="preserve">ue to delays in submitting the final financial report of the LRF 14 to the MPTF Office, this transfer couldn’t be executed as the LRF 21 was operationally closed in September 2012. </w:t>
      </w:r>
    </w:p>
    <w:p w:rsidR="00023183" w:rsidRPr="00023183" w:rsidRDefault="009A0A75" w:rsidP="00D9756B">
      <w:pPr>
        <w:spacing w:line="276" w:lineRule="auto"/>
        <w:ind w:left="720"/>
        <w:contextualSpacing/>
        <w:jc w:val="both"/>
      </w:pPr>
      <w:r>
        <w:t>T</w:t>
      </w:r>
      <w:r w:rsidR="00023183" w:rsidRPr="00023183">
        <w:t>hese</w:t>
      </w:r>
      <w:r>
        <w:t xml:space="preserve"> additional</w:t>
      </w:r>
      <w:r w:rsidR="00023183" w:rsidRPr="00023183">
        <w:t xml:space="preserve"> funds </w:t>
      </w:r>
      <w:r w:rsidR="00D9756B">
        <w:t>are intended  to</w:t>
      </w:r>
      <w:r>
        <w:t xml:space="preserve"> be used </w:t>
      </w:r>
      <w:r w:rsidR="00023183" w:rsidRPr="00023183">
        <w:t xml:space="preserve">to support an additional number of farmers in Donnyeh area </w:t>
      </w:r>
      <w:r>
        <w:t xml:space="preserve">that are </w:t>
      </w:r>
      <w:r w:rsidR="00023183" w:rsidRPr="00023183">
        <w:t>not already covered by the LRF 21 or LRF 26 projects</w:t>
      </w:r>
      <w:r w:rsidR="00D9756B">
        <w:t>.</w:t>
      </w:r>
    </w:p>
    <w:p w:rsidR="009A0A75" w:rsidRDefault="009A0A75" w:rsidP="009A0A75">
      <w:pPr>
        <w:pStyle w:val="ListParagraph"/>
        <w:spacing w:line="276" w:lineRule="auto"/>
      </w:pPr>
    </w:p>
    <w:p w:rsidR="00FC2E22" w:rsidRPr="00FC2E22" w:rsidRDefault="009A0A75" w:rsidP="00FC2E22">
      <w:pPr>
        <w:pStyle w:val="ListParagraph"/>
        <w:spacing w:line="276" w:lineRule="auto"/>
      </w:pPr>
      <w:r>
        <w:t>T</w:t>
      </w:r>
      <w:r w:rsidRPr="002F5B85">
        <w:t xml:space="preserve">he LRF </w:t>
      </w:r>
      <w:r w:rsidR="00FC2E22">
        <w:t>16</w:t>
      </w:r>
      <w:r w:rsidRPr="002F5B85">
        <w:t xml:space="preserve"> “</w:t>
      </w:r>
      <w:r w:rsidR="00FC2E22" w:rsidRPr="00FC2E22">
        <w:t>Country Energy Efficiency and Renewable Energy Demonstration</w:t>
      </w:r>
      <w:r w:rsidR="00260F18">
        <w:t xml:space="preserve"> </w:t>
      </w:r>
      <w:r w:rsidR="00260F18" w:rsidRPr="00260F18">
        <w:t>Project for the</w:t>
      </w:r>
    </w:p>
    <w:p w:rsidR="009A0A75" w:rsidRDefault="00FC2E22" w:rsidP="00260F18">
      <w:pPr>
        <w:pStyle w:val="ListParagraph"/>
        <w:spacing w:line="276" w:lineRule="auto"/>
      </w:pPr>
      <w:r w:rsidRPr="00FC2E22">
        <w:t>Development of Lebanon</w:t>
      </w:r>
      <w:r>
        <w:t xml:space="preserve"> – phase III</w:t>
      </w:r>
      <w:r w:rsidR="009A0A75" w:rsidRPr="002F5B85">
        <w:t xml:space="preserve">”, has been granted a time extension of </w:t>
      </w:r>
      <w:r>
        <w:t>6</w:t>
      </w:r>
      <w:r w:rsidRPr="002F5B85">
        <w:t xml:space="preserve"> </w:t>
      </w:r>
      <w:r w:rsidR="009A0A75" w:rsidRPr="002F5B85">
        <w:t>months</w:t>
      </w:r>
      <w:r w:rsidR="00F53DD2">
        <w:t xml:space="preserve"> </w:t>
      </w:r>
      <w:r w:rsidR="00260F18">
        <w:t xml:space="preserve">with an amount of </w:t>
      </w:r>
      <w:r w:rsidR="00F53DD2">
        <w:t>272,</w:t>
      </w:r>
      <w:r w:rsidR="00F53DD2" w:rsidRPr="00CE779F">
        <w:t>827</w:t>
      </w:r>
      <w:r w:rsidR="00F53DD2">
        <w:t xml:space="preserve"> USD</w:t>
      </w:r>
      <w:r w:rsidR="009A0A75" w:rsidRPr="002F5B85">
        <w:t xml:space="preserve"> </w:t>
      </w:r>
      <w:r>
        <w:t>to conduct additional activities within the scope of the project and priorities of the LRF</w:t>
      </w:r>
      <w:r w:rsidR="009A0A75" w:rsidRPr="002F5B85">
        <w:t>.</w:t>
      </w:r>
      <w:r w:rsidR="00F53DD2">
        <w:t xml:space="preserve"> </w:t>
      </w:r>
      <w:r w:rsidR="009A0A75" w:rsidRPr="002F5B85">
        <w:t>The M&amp;E Unit is closely following up with the project on the progress achieved, with regard to listed components, in addition to meeting with the project staff to clarify critical issues pertaining to the implementation of the project’s activities.</w:t>
      </w:r>
    </w:p>
    <w:p w:rsidR="009A0A75" w:rsidRDefault="009A0A75" w:rsidP="009A0A75">
      <w:pPr>
        <w:spacing w:line="276" w:lineRule="auto"/>
        <w:ind w:left="720"/>
        <w:contextualSpacing/>
        <w:jc w:val="both"/>
      </w:pPr>
    </w:p>
    <w:p w:rsidR="00E17AB2" w:rsidRDefault="00E17AB2" w:rsidP="00260F18">
      <w:pPr>
        <w:spacing w:line="276" w:lineRule="auto"/>
        <w:ind w:left="720"/>
        <w:contextualSpacing/>
        <w:jc w:val="both"/>
      </w:pPr>
      <w:r>
        <w:t>The LRF 26, “</w:t>
      </w:r>
      <w:r w:rsidRPr="00E17AB2">
        <w:t>FAO Recovery and Rehabilitation of Da</w:t>
      </w:r>
      <w:r>
        <w:t xml:space="preserve">iry Sector in Bekaa Valley and </w:t>
      </w:r>
      <w:r w:rsidRPr="00E17AB2">
        <w:t>Hermel-Akkar Uplands (PHASE II)</w:t>
      </w:r>
      <w:r>
        <w:t xml:space="preserve">” was also reviewed and granted  an extension until December 2014 along with a transfer of a remaining amount of 88,704 USD from the phase I project in order to incorporate new activities </w:t>
      </w:r>
      <w:r w:rsidR="00260F18">
        <w:t xml:space="preserve">aiming to </w:t>
      </w:r>
      <w:r>
        <w:t>reach a larger number of beneficiaries.</w:t>
      </w:r>
    </w:p>
    <w:p w:rsidR="00E17AB2" w:rsidRDefault="00E17AB2" w:rsidP="009A0A75">
      <w:pPr>
        <w:spacing w:line="276" w:lineRule="auto"/>
        <w:ind w:left="720"/>
        <w:contextualSpacing/>
        <w:jc w:val="both"/>
      </w:pPr>
    </w:p>
    <w:p w:rsidR="009A0A75" w:rsidRDefault="009A0A75" w:rsidP="00F53DD2">
      <w:pPr>
        <w:spacing w:line="276" w:lineRule="auto"/>
        <w:ind w:left="720"/>
        <w:contextualSpacing/>
        <w:jc w:val="both"/>
      </w:pPr>
      <w:r>
        <w:t>Furthermore, t</w:t>
      </w:r>
      <w:r w:rsidRPr="00B516E4">
        <w:t xml:space="preserve">he LRF 25 project “Monitoring and Evaluation Team for the LRF” </w:t>
      </w:r>
      <w:r>
        <w:t xml:space="preserve">was granted </w:t>
      </w:r>
      <w:r w:rsidR="00F53DD2">
        <w:t>24</w:t>
      </w:r>
      <w:r w:rsidR="00F53DD2" w:rsidRPr="00B516E4">
        <w:t xml:space="preserve"> </w:t>
      </w:r>
      <w:r w:rsidRPr="00B516E4">
        <w:t>months extension</w:t>
      </w:r>
      <w:r w:rsidR="00F53DD2" w:rsidRPr="00F53DD2">
        <w:t xml:space="preserve"> </w:t>
      </w:r>
      <w:r w:rsidR="00F53DD2">
        <w:t>along with a fund</w:t>
      </w:r>
      <w:r w:rsidR="00F53DD2" w:rsidRPr="00B516E4">
        <w:t xml:space="preserve"> transfer </w:t>
      </w:r>
      <w:r w:rsidR="00F53DD2">
        <w:t xml:space="preserve">of an </w:t>
      </w:r>
      <w:r w:rsidR="00F53DD2" w:rsidRPr="00B516E4">
        <w:t xml:space="preserve">amount of </w:t>
      </w:r>
      <w:r w:rsidR="00F53DD2" w:rsidRPr="00F53DD2">
        <w:t>89,985.92</w:t>
      </w:r>
      <w:r w:rsidR="00F53DD2" w:rsidRPr="00B516E4">
        <w:t xml:space="preserve"> USD</w:t>
      </w:r>
      <w:r w:rsidRPr="00B516E4">
        <w:t xml:space="preserve"> </w:t>
      </w:r>
      <w:r>
        <w:t xml:space="preserve">as </w:t>
      </w:r>
      <w:r w:rsidRPr="00B516E4">
        <w:t xml:space="preserve">the M&amp;E unit will be monitoring and evaluating </w:t>
      </w:r>
      <w:r w:rsidR="00F53DD2">
        <w:t>the</w:t>
      </w:r>
      <w:r w:rsidR="00F53DD2" w:rsidRPr="00B516E4">
        <w:t xml:space="preserve"> </w:t>
      </w:r>
      <w:r w:rsidRPr="00B516E4">
        <w:t>ongoing projects</w:t>
      </w:r>
      <w:r>
        <w:t xml:space="preserve"> in 201</w:t>
      </w:r>
      <w:r w:rsidR="00F53DD2">
        <w:t>4-2015</w:t>
      </w:r>
      <w:r w:rsidRPr="00B516E4">
        <w:t xml:space="preserve"> </w:t>
      </w:r>
      <w:r>
        <w:t>and</w:t>
      </w:r>
      <w:r w:rsidRPr="00B516E4">
        <w:t xml:space="preserve"> coordinating with the projects</w:t>
      </w:r>
      <w:r w:rsidR="00260F18">
        <w:t>’</w:t>
      </w:r>
      <w:r w:rsidRPr="00B516E4">
        <w:t xml:space="preserve"> teams for the closure of the projec</w:t>
      </w:r>
      <w:r w:rsidR="007D7136">
        <w:t>ts within the set time frames.</w:t>
      </w:r>
    </w:p>
    <w:p w:rsidR="009E7B3D" w:rsidRDefault="007D7136" w:rsidP="00023183">
      <w:pPr>
        <w:spacing w:line="276" w:lineRule="auto"/>
        <w:contextualSpacing/>
        <w:jc w:val="both"/>
      </w:pPr>
      <w:r>
        <w:tab/>
      </w:r>
    </w:p>
    <w:p w:rsidR="007D7136" w:rsidRDefault="007D7136" w:rsidP="00996478">
      <w:pPr>
        <w:spacing w:line="276" w:lineRule="auto"/>
        <w:ind w:left="720"/>
        <w:contextualSpacing/>
        <w:jc w:val="both"/>
      </w:pPr>
      <w:r>
        <w:t>In addition, a new project was funded under the LRF entitled “</w:t>
      </w:r>
      <w:r w:rsidRPr="007D7136">
        <w:t>Reviving Farmers’ Livelihood in South Lebanon</w:t>
      </w:r>
      <w:r>
        <w:t xml:space="preserve">” for a total amount of 700,00 USD that </w:t>
      </w:r>
      <w:r w:rsidR="00260F18">
        <w:t>is being</w:t>
      </w:r>
      <w:r>
        <w:t xml:space="preserve"> implemented by UNDP in collaboration with the Ministry of Agriculture and the municipality of Nabatiyeh in South Lebanon.</w:t>
      </w:r>
    </w:p>
    <w:p w:rsidR="009E7B3D" w:rsidRDefault="009E7B3D" w:rsidP="00023183">
      <w:pPr>
        <w:spacing w:line="276" w:lineRule="auto"/>
        <w:contextualSpacing/>
        <w:jc w:val="both"/>
      </w:pPr>
    </w:p>
    <w:p w:rsidR="006A58E8" w:rsidRDefault="006A58E8" w:rsidP="00023183">
      <w:pPr>
        <w:spacing w:line="276" w:lineRule="auto"/>
        <w:contextualSpacing/>
        <w:jc w:val="both"/>
      </w:pPr>
    </w:p>
    <w:p w:rsidR="006A58E8" w:rsidRDefault="006A58E8" w:rsidP="00023183">
      <w:pPr>
        <w:spacing w:line="276" w:lineRule="auto"/>
        <w:contextualSpacing/>
        <w:jc w:val="both"/>
      </w:pPr>
    </w:p>
    <w:p w:rsidR="009E7B3D" w:rsidRDefault="009E7B3D" w:rsidP="00023183">
      <w:pPr>
        <w:spacing w:line="276" w:lineRule="auto"/>
        <w:contextualSpacing/>
        <w:jc w:val="both"/>
      </w:pPr>
    </w:p>
    <w:p w:rsidR="009E7B3D" w:rsidRDefault="009E7B3D" w:rsidP="00023183">
      <w:pPr>
        <w:spacing w:line="276" w:lineRule="auto"/>
        <w:contextualSpacing/>
        <w:jc w:val="both"/>
      </w:pPr>
    </w:p>
    <w:p w:rsidR="009E7B3D" w:rsidRDefault="009E7B3D" w:rsidP="00023183">
      <w:pPr>
        <w:spacing w:line="276" w:lineRule="auto"/>
        <w:contextualSpacing/>
        <w:jc w:val="both"/>
      </w:pPr>
    </w:p>
    <w:p w:rsidR="009E7B3D" w:rsidRDefault="009E7B3D" w:rsidP="00023183">
      <w:pPr>
        <w:spacing w:line="276" w:lineRule="auto"/>
        <w:contextualSpacing/>
        <w:jc w:val="both"/>
      </w:pPr>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r w:rsidRPr="00386B05">
        <w:rPr>
          <w:rFonts w:ascii="Times New Roman" w:hAnsi="Times New Roman"/>
          <w:sz w:val="24"/>
          <w:szCs w:val="24"/>
        </w:rPr>
        <w:lastRenderedPageBreak/>
        <w:t>Purpose</w:t>
      </w:r>
      <w:bookmarkEnd w:id="3"/>
    </w:p>
    <w:p w:rsidR="008D7138" w:rsidRPr="00386B05" w:rsidRDefault="008D7138" w:rsidP="00386B05">
      <w:pPr>
        <w:pStyle w:val="BodyText"/>
        <w:spacing w:line="276" w:lineRule="auto"/>
        <w:ind w:left="720"/>
        <w:contextualSpacing/>
        <w:jc w:val="both"/>
        <w:rPr>
          <w:rFonts w:ascii="Times New Roman" w:hAnsi="Times New Roman" w:cs="Times New Roman"/>
          <w:b/>
          <w:sz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The M&amp;E unit was designed to enhance the LRF monitoring mechanism by incorporating the below activities into a more coherent and efficient framework and by expanding overall oversight management. The M&amp;E unit aims at enhancing the efficiency, preventing unnecessary expenditures and avoiding project delays. This framework will consist of: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An increased frequency of field trips and monitoring meetings;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Closer and more technical follow ups on project implementation and financial activities;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continuous evaluation and objective re-assessment of project achievements against pre-set targets;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meet timely completion with the objective of raising the effectiveness of projects and ensure cost-efficiency in their implementation, and</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examine the final evaluation of the projects implemented under the LRF.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Effective oversight management of the LRF projects is time-enhancing and cost-efficient to both donors and beneficiaries. And since the M&amp;E team will oversee all aspects of the project activities, Project Managers are supported in achieving their pre-set deadlines in a timely manner. This will be advantageous to the benefactors since it will prevent the postponement of the project’s activities.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Furthermore, any revisions made in the outstanding projects-such as a no cost time extension, a budget reevaluation or change in scope is effectively assessed and evaluated by the M&amp;E team and hence, improving the cost-efficiency and decision making outcomes of those projects by the PAG team and LRF Steering Committee.</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Project Objectives: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development goal of the M&amp;E Team is to generate a framework whereby the operation and delivery of current and prospective projects approved under the LRF are able to improve efficiency, recognize and prevent unnecessary expenditures and project delays that may arise over the present time frame of each individual project.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immediate objective of establishing an M&amp;E Team is to strengthen the existing LRF monitoring mechanism by improving the timeliness, cost efficiency and reliability of the current LRF project activities.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 xml:space="preserve">Project Outputs: </w:t>
      </w:r>
    </w:p>
    <w:p w:rsidR="008D7138" w:rsidRPr="00386B05" w:rsidRDefault="008D7138" w:rsidP="00386B05">
      <w:pPr>
        <w:pStyle w:val="BodyText"/>
        <w:spacing w:line="276" w:lineRule="auto"/>
        <w:ind w:left="720"/>
        <w:contextualSpacing/>
        <w:jc w:val="both"/>
        <w:rPr>
          <w:rFonts w:ascii="Times New Roman" w:hAnsi="Times New Roman" w:cs="Times New Roman"/>
          <w:sz w:val="24"/>
          <w:szCs w:val="24"/>
        </w:rPr>
      </w:pPr>
      <w:r w:rsidRPr="00386B05">
        <w:rPr>
          <w:rFonts w:ascii="Times New Roman" w:hAnsi="Times New Roman" w:cs="Times New Roman"/>
          <w:sz w:val="24"/>
          <w:szCs w:val="24"/>
        </w:rPr>
        <w:t xml:space="preserve">Main outputs include: </w:t>
      </w:r>
    </w:p>
    <w:p w:rsidR="008D7138" w:rsidRPr="00386B05" w:rsidRDefault="008D7138" w:rsidP="009D1301">
      <w:pPr>
        <w:pStyle w:val="BodyText"/>
        <w:numPr>
          <w:ilvl w:val="0"/>
          <w:numId w:val="10"/>
        </w:numPr>
        <w:spacing w:line="276" w:lineRule="auto"/>
        <w:contextualSpacing/>
        <w:jc w:val="both"/>
        <w:rPr>
          <w:rFonts w:ascii="Times New Roman" w:hAnsi="Times New Roman" w:cs="Times New Roman"/>
          <w:sz w:val="24"/>
          <w:szCs w:val="24"/>
        </w:rPr>
      </w:pPr>
      <w:r w:rsidRPr="00386B05">
        <w:rPr>
          <w:rFonts w:ascii="Times New Roman" w:hAnsi="Times New Roman" w:cs="Times New Roman"/>
          <w:sz w:val="24"/>
          <w:szCs w:val="24"/>
        </w:rPr>
        <w:t>Support Project Managers in achieving their pre-set deadlines in a timely manner, thus working in favor of the beneficiaries of each project, and</w:t>
      </w:r>
    </w:p>
    <w:p w:rsidR="008D7138" w:rsidRPr="00386B05" w:rsidRDefault="008D7138" w:rsidP="00386B05">
      <w:pPr>
        <w:pStyle w:val="BodyText"/>
        <w:spacing w:line="276" w:lineRule="auto"/>
        <w:contextualSpacing/>
        <w:jc w:val="both"/>
        <w:rPr>
          <w:rFonts w:ascii="Times New Roman" w:hAnsi="Times New Roman" w:cs="Times New Roman"/>
          <w:sz w:val="24"/>
          <w:szCs w:val="24"/>
        </w:rPr>
      </w:pPr>
    </w:p>
    <w:p w:rsidR="008D7138" w:rsidRPr="00386B05" w:rsidRDefault="008D7138" w:rsidP="009D1301">
      <w:pPr>
        <w:pStyle w:val="BodyText"/>
        <w:numPr>
          <w:ilvl w:val="0"/>
          <w:numId w:val="10"/>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Revisions made in the outstanding projects - such as a no cost time extension, a budget re-evaluation or change in scope - will be effectively assessed and evaluated by the M&amp;E team. This will improve all decision making outcomes and will ensure compliance with the above revisions.</w:t>
      </w:r>
    </w:p>
    <w:p w:rsidR="008D7138" w:rsidRDefault="008D7138" w:rsidP="00386B05">
      <w:pPr>
        <w:pStyle w:val="BodyText"/>
        <w:spacing w:line="276" w:lineRule="auto"/>
        <w:ind w:left="720"/>
        <w:contextualSpacing/>
        <w:jc w:val="both"/>
        <w:rPr>
          <w:rFonts w:ascii="Times New Roman" w:hAnsi="Times New Roman" w:cs="Times New Roman"/>
          <w:b/>
          <w:sz w:val="24"/>
        </w:rPr>
      </w:pPr>
    </w:p>
    <w:p w:rsidR="009E7B3D" w:rsidRPr="00386B05" w:rsidRDefault="009E7B3D" w:rsidP="00386B05">
      <w:pPr>
        <w:pStyle w:val="BodyText"/>
        <w:spacing w:line="276" w:lineRule="auto"/>
        <w:ind w:left="720"/>
        <w:contextualSpacing/>
        <w:jc w:val="both"/>
        <w:rPr>
          <w:rFonts w:ascii="Times New Roman" w:hAnsi="Times New Roman" w:cs="Times New Roman"/>
          <w:b/>
          <w:sz w:val="24"/>
        </w:rPr>
      </w:pPr>
    </w:p>
    <w:p w:rsidR="00DE6E89" w:rsidRDefault="00DE6E89" w:rsidP="00386B05">
      <w:pPr>
        <w:pStyle w:val="BodyText"/>
        <w:spacing w:line="276" w:lineRule="auto"/>
        <w:ind w:left="720"/>
        <w:contextualSpacing/>
        <w:jc w:val="both"/>
        <w:rPr>
          <w:rFonts w:ascii="Times New Roman" w:hAnsi="Times New Roman" w:cs="Times New Roman"/>
          <w:sz w:val="16"/>
        </w:rPr>
      </w:pPr>
    </w:p>
    <w:p w:rsidR="00F53DD2" w:rsidRPr="00386B05" w:rsidRDefault="00F53DD2" w:rsidP="00386B05">
      <w:pPr>
        <w:pStyle w:val="BodyText"/>
        <w:spacing w:line="276" w:lineRule="auto"/>
        <w:ind w:left="720"/>
        <w:contextualSpacing/>
        <w:jc w:val="both"/>
        <w:rPr>
          <w:rFonts w:ascii="Times New Roman" w:hAnsi="Times New Roman" w:cs="Times New Roman"/>
          <w:sz w:val="16"/>
        </w:rPr>
      </w:pPr>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bookmarkStart w:id="4" w:name="_Toc249364486"/>
      <w:r w:rsidRPr="00386B05">
        <w:rPr>
          <w:rFonts w:ascii="Times New Roman" w:hAnsi="Times New Roman"/>
          <w:sz w:val="24"/>
          <w:szCs w:val="24"/>
        </w:rPr>
        <w:lastRenderedPageBreak/>
        <w:t>Results</w:t>
      </w:r>
      <w:bookmarkEnd w:id="4"/>
      <w:r w:rsidRPr="00386B05">
        <w:rPr>
          <w:rFonts w:ascii="Times New Roman" w:hAnsi="Times New Roman"/>
          <w:sz w:val="24"/>
          <w:szCs w:val="24"/>
        </w:rPr>
        <w:t xml:space="preserve"> </w:t>
      </w:r>
    </w:p>
    <w:p w:rsidR="00DD2243" w:rsidRPr="00386B05" w:rsidRDefault="00DD2243" w:rsidP="00386B05">
      <w:pPr>
        <w:spacing w:line="276" w:lineRule="auto"/>
        <w:contextualSpacing/>
      </w:pPr>
    </w:p>
    <w:p w:rsidR="00DD2243" w:rsidRPr="00386B05" w:rsidRDefault="00DD2243" w:rsidP="009D1301">
      <w:pPr>
        <w:numPr>
          <w:ilvl w:val="0"/>
          <w:numId w:val="6"/>
        </w:numPr>
        <w:spacing w:line="276" w:lineRule="auto"/>
        <w:contextualSpacing/>
        <w:rPr>
          <w:b/>
        </w:rPr>
      </w:pPr>
      <w:r w:rsidRPr="00386B05">
        <w:rPr>
          <w:b/>
        </w:rPr>
        <w:t>Narrative reporting on results:</w:t>
      </w:r>
    </w:p>
    <w:p w:rsidR="007029B0" w:rsidRPr="00386B05" w:rsidRDefault="007029B0" w:rsidP="00386B05">
      <w:pPr>
        <w:spacing w:line="276" w:lineRule="auto"/>
        <w:ind w:left="360"/>
        <w:contextualSpacing/>
        <w:jc w:val="both"/>
      </w:pPr>
    </w:p>
    <w:p w:rsidR="007029B0" w:rsidRDefault="007029B0" w:rsidP="00386B05">
      <w:pPr>
        <w:spacing w:line="276" w:lineRule="auto"/>
        <w:ind w:left="360"/>
        <w:contextualSpacing/>
        <w:rPr>
          <w:b/>
          <w:bCs/>
          <w:u w:val="single"/>
        </w:rPr>
      </w:pPr>
      <w:r w:rsidRPr="00386B05">
        <w:tab/>
      </w:r>
      <w:r w:rsidR="003164EF" w:rsidRPr="00386B05">
        <w:rPr>
          <w:b/>
          <w:bCs/>
          <w:u w:val="single"/>
        </w:rPr>
        <w:t>Monitoring of LRF projects</w:t>
      </w:r>
      <w:r w:rsidRPr="00386B05">
        <w:rPr>
          <w:b/>
          <w:bCs/>
          <w:u w:val="single"/>
        </w:rPr>
        <w:t xml:space="preserve"> </w:t>
      </w:r>
    </w:p>
    <w:p w:rsidR="007029B0" w:rsidRPr="00386B05" w:rsidRDefault="007029B0" w:rsidP="00F53DD2">
      <w:pPr>
        <w:spacing w:line="276" w:lineRule="auto"/>
        <w:ind w:left="720"/>
        <w:contextualSpacing/>
        <w:jc w:val="both"/>
      </w:pPr>
      <w:r w:rsidRPr="00386B05">
        <w:t xml:space="preserve">The M&amp;E unit monitored the progress of the LRF ongoing projects during </w:t>
      </w:r>
      <w:r w:rsidR="00F53DD2" w:rsidRPr="00386B05">
        <w:t>201</w:t>
      </w:r>
      <w:r w:rsidR="00F53DD2">
        <w:t>3</w:t>
      </w:r>
      <w:r w:rsidR="00F53DD2" w:rsidRPr="00386B05">
        <w:t xml:space="preserve"> </w:t>
      </w:r>
      <w:r w:rsidRPr="00386B05">
        <w:t xml:space="preserve">in relation to the planned outcomes in the projects’ documents approved by the steering committee. This monitoring entailed a thorough evaluation of progress reports for the four quarters of </w:t>
      </w:r>
      <w:r w:rsidR="00F53DD2" w:rsidRPr="00386B05">
        <w:t>201</w:t>
      </w:r>
      <w:r w:rsidR="00F53DD2">
        <w:t>3</w:t>
      </w:r>
      <w:r w:rsidR="00F53DD2" w:rsidRPr="00386B05">
        <w:t xml:space="preserve"> </w:t>
      </w:r>
      <w:r w:rsidRPr="00386B05">
        <w:t>for the following projects:</w:t>
      </w:r>
    </w:p>
    <w:p w:rsidR="007029B0" w:rsidRPr="00386B05" w:rsidRDefault="007029B0" w:rsidP="009D1301">
      <w:pPr>
        <w:numPr>
          <w:ilvl w:val="0"/>
          <w:numId w:val="11"/>
        </w:numPr>
        <w:spacing w:line="276" w:lineRule="auto"/>
        <w:ind w:left="1440"/>
        <w:contextualSpacing/>
        <w:jc w:val="both"/>
        <w:rPr>
          <w:lang w:val="en-GB"/>
        </w:rPr>
      </w:pPr>
      <w:r w:rsidRPr="00386B05">
        <w:rPr>
          <w:lang w:val="en-GB"/>
        </w:rPr>
        <w:t>LRF-16</w:t>
      </w:r>
      <w:r w:rsidRPr="00386B05">
        <w:rPr>
          <w:lang w:val="en-GB"/>
        </w:rPr>
        <w:tab/>
        <w:t>UNDP</w:t>
      </w:r>
      <w:r w:rsidRPr="00386B05">
        <w:rPr>
          <w:lang w:val="en-GB"/>
        </w:rPr>
        <w:tab/>
        <w:t xml:space="preserve">Country Energy Efficiency and Renewable Energy Demonstration </w:t>
      </w:r>
      <w:r w:rsidR="00B03D46">
        <w:rPr>
          <w:lang w:val="en-GB"/>
        </w:rPr>
        <w:tab/>
      </w:r>
      <w:r w:rsidR="00B03D46">
        <w:rPr>
          <w:lang w:val="en-GB"/>
        </w:rPr>
        <w:tab/>
      </w:r>
      <w:r w:rsidR="00B03D46">
        <w:rPr>
          <w:lang w:val="en-GB"/>
        </w:rPr>
        <w:tab/>
      </w:r>
      <w:r w:rsidRPr="00386B05">
        <w:rPr>
          <w:lang w:val="en-GB"/>
        </w:rPr>
        <w:t>Project for the Development of Lebanon (CEDRO III)</w:t>
      </w:r>
    </w:p>
    <w:p w:rsidR="00F53DD2" w:rsidRDefault="007029B0" w:rsidP="00F53DD2">
      <w:pPr>
        <w:numPr>
          <w:ilvl w:val="0"/>
          <w:numId w:val="11"/>
        </w:numPr>
        <w:spacing w:line="276" w:lineRule="auto"/>
        <w:ind w:left="1440"/>
        <w:contextualSpacing/>
        <w:jc w:val="both"/>
        <w:rPr>
          <w:lang w:val="en-GB"/>
        </w:rPr>
      </w:pPr>
      <w:r w:rsidRPr="00386B05">
        <w:rPr>
          <w:lang w:val="en-GB"/>
        </w:rPr>
        <w:t xml:space="preserve">LRF-26 </w:t>
      </w:r>
      <w:r w:rsidRPr="00386B05">
        <w:rPr>
          <w:lang w:val="en-GB"/>
        </w:rPr>
        <w:tab/>
        <w:t xml:space="preserve">FAO Recovery and Rehabilitation of Dairy Sector in Bekaa Valley and </w:t>
      </w:r>
      <w:r w:rsidR="00B03D46">
        <w:rPr>
          <w:lang w:val="en-GB"/>
        </w:rPr>
        <w:tab/>
      </w:r>
      <w:r w:rsidR="00B03D46">
        <w:rPr>
          <w:lang w:val="en-GB"/>
        </w:rPr>
        <w:tab/>
      </w:r>
      <w:r w:rsidR="00B03D46">
        <w:rPr>
          <w:lang w:val="en-GB"/>
        </w:rPr>
        <w:tab/>
      </w:r>
      <w:r w:rsidRPr="00386B05">
        <w:rPr>
          <w:lang w:val="en-GB"/>
        </w:rPr>
        <w:t>Hermel-Akkar Uplands (PHASE II)</w:t>
      </w:r>
    </w:p>
    <w:p w:rsidR="00F53DD2" w:rsidRDefault="00B03D46" w:rsidP="00F53DD2">
      <w:pPr>
        <w:numPr>
          <w:ilvl w:val="0"/>
          <w:numId w:val="11"/>
        </w:numPr>
        <w:spacing w:line="276" w:lineRule="auto"/>
        <w:ind w:left="1440"/>
        <w:contextualSpacing/>
        <w:jc w:val="both"/>
      </w:pPr>
      <w:r>
        <w:rPr>
          <w:lang w:val="en-GB"/>
        </w:rPr>
        <w:t>LRF-</w:t>
      </w:r>
      <w:r w:rsidR="00F53DD2" w:rsidRPr="00B03D46">
        <w:rPr>
          <w:lang w:val="en-GB"/>
        </w:rPr>
        <w:t>27</w:t>
      </w:r>
      <w:r>
        <w:rPr>
          <w:lang w:val="en-GB"/>
        </w:rPr>
        <w:t xml:space="preserve"> </w:t>
      </w:r>
      <w:r>
        <w:rPr>
          <w:lang w:val="en-GB"/>
        </w:rPr>
        <w:tab/>
      </w:r>
      <w:r w:rsidR="00F53DD2">
        <w:t xml:space="preserve">National Action Programme to Mainstream Climate Change in Lebanon's </w:t>
      </w:r>
      <w:r>
        <w:tab/>
      </w:r>
      <w:r>
        <w:tab/>
      </w:r>
      <w:r>
        <w:tab/>
      </w:r>
      <w:r w:rsidR="00F53DD2">
        <w:t>Development Agenda</w:t>
      </w:r>
    </w:p>
    <w:p w:rsidR="00F53DD2" w:rsidRDefault="00B03D46" w:rsidP="00F53DD2">
      <w:pPr>
        <w:numPr>
          <w:ilvl w:val="0"/>
          <w:numId w:val="11"/>
        </w:numPr>
        <w:spacing w:line="276" w:lineRule="auto"/>
        <w:ind w:left="1440"/>
        <w:contextualSpacing/>
        <w:jc w:val="both"/>
      </w:pPr>
      <w:r>
        <w:t>LRF-28</w:t>
      </w:r>
      <w:r>
        <w:tab/>
      </w:r>
      <w:r w:rsidR="00F53DD2">
        <w:t>Reviving Farmers’ Livelihood in South Lebanon</w:t>
      </w:r>
    </w:p>
    <w:p w:rsidR="00F53DD2" w:rsidRPr="00F53DD2" w:rsidRDefault="00F53DD2" w:rsidP="00F53DD2">
      <w:pPr>
        <w:spacing w:line="276" w:lineRule="auto"/>
        <w:contextualSpacing/>
        <w:jc w:val="both"/>
      </w:pPr>
    </w:p>
    <w:p w:rsidR="007029B0" w:rsidRPr="00386B05" w:rsidRDefault="007029B0" w:rsidP="00386B05">
      <w:pPr>
        <w:spacing w:line="276" w:lineRule="auto"/>
        <w:ind w:left="720"/>
        <w:contextualSpacing/>
        <w:jc w:val="both"/>
      </w:pPr>
      <w:r w:rsidRPr="00386B05">
        <w:t>In collaboration with the concerned UN agencies, the reports were revised in order to highlight on the results and the impact of the LRF initiatives. The final versions of the reports have been uploaded on the MPTF gateway.</w:t>
      </w:r>
    </w:p>
    <w:p w:rsidR="007029B0" w:rsidRPr="00386B05" w:rsidRDefault="007029B0" w:rsidP="00D65885">
      <w:pPr>
        <w:spacing w:line="276" w:lineRule="auto"/>
        <w:ind w:left="720"/>
        <w:contextualSpacing/>
        <w:jc w:val="both"/>
      </w:pPr>
      <w:r w:rsidRPr="00386B05">
        <w:t>In addition, the M&amp;E unit conducted field</w:t>
      </w:r>
      <w:r w:rsidR="00F67817">
        <w:t>/office</w:t>
      </w:r>
      <w:r w:rsidRPr="00386B05">
        <w:t xml:space="preserve"> visits to projects’ regions</w:t>
      </w:r>
      <w:r w:rsidR="00F67817">
        <w:t xml:space="preserve"> and staff</w:t>
      </w:r>
      <w:r w:rsidRPr="00386B05">
        <w:t xml:space="preserve"> to </w:t>
      </w:r>
      <w:r w:rsidR="001C13AD">
        <w:t xml:space="preserve"> to better assess </w:t>
      </w:r>
      <w:r w:rsidRPr="00386B05">
        <w:t xml:space="preserve">the projects’ progress and to obtain </w:t>
      </w:r>
      <w:r w:rsidR="00D65885">
        <w:t>feedback</w:t>
      </w:r>
      <w:r w:rsidR="00D65885" w:rsidRPr="00386B05">
        <w:t xml:space="preserve"> </w:t>
      </w:r>
      <w:r w:rsidRPr="00386B05">
        <w:t>of beneficiaries and local stakeholders</w:t>
      </w:r>
      <w:r w:rsidR="001C13AD" w:rsidRPr="001C13AD">
        <w:t xml:space="preserve"> </w:t>
      </w:r>
      <w:r w:rsidR="001C13AD" w:rsidRPr="00386B05">
        <w:t>where possible</w:t>
      </w:r>
      <w:r w:rsidRPr="00386B05">
        <w:t>.</w:t>
      </w:r>
    </w:p>
    <w:p w:rsidR="00850A62" w:rsidRDefault="007029B0" w:rsidP="00996478">
      <w:pPr>
        <w:spacing w:line="276" w:lineRule="auto"/>
        <w:ind w:left="720"/>
        <w:contextualSpacing/>
        <w:jc w:val="both"/>
      </w:pPr>
      <w:r w:rsidRPr="00386B05">
        <w:t>Moreover, the M&amp;E team attended</w:t>
      </w:r>
      <w:r w:rsidR="001C13AD">
        <w:t xml:space="preserve"> and participated in </w:t>
      </w:r>
      <w:r w:rsidRPr="00386B05">
        <w:t xml:space="preserve">project events in order to </w:t>
      </w:r>
      <w:r w:rsidR="001C13AD">
        <w:t>enhance</w:t>
      </w:r>
      <w:r w:rsidR="001C13AD" w:rsidRPr="00386B05">
        <w:t xml:space="preserve"> </w:t>
      </w:r>
      <w:r w:rsidRPr="00386B05">
        <w:t xml:space="preserve">the LRF visibility </w:t>
      </w:r>
      <w:r w:rsidR="001C13AD">
        <w:t>such as</w:t>
      </w:r>
      <w:r w:rsidR="00996478">
        <w:t xml:space="preserve"> “w</w:t>
      </w:r>
      <w:r w:rsidR="00996478" w:rsidRPr="00996478">
        <w:t>orkshop</w:t>
      </w:r>
      <w:r w:rsidR="00996478">
        <w:t xml:space="preserve"> for the</w:t>
      </w:r>
      <w:r w:rsidR="00996478" w:rsidRPr="00996478">
        <w:t xml:space="preserve"> management of flood risk land use</w:t>
      </w:r>
      <w:r w:rsidR="00996478">
        <w:t>”</w:t>
      </w:r>
      <w:r w:rsidR="00996478" w:rsidRPr="00996478">
        <w:t xml:space="preserve"> </w:t>
      </w:r>
      <w:r w:rsidR="00996478">
        <w:t xml:space="preserve">for the </w:t>
      </w:r>
      <w:r w:rsidR="00996478" w:rsidRPr="00996478">
        <w:t xml:space="preserve">Flood </w:t>
      </w:r>
      <w:r w:rsidR="00996478">
        <w:t xml:space="preserve">Risks Prevention and Management project and the </w:t>
      </w:r>
      <w:r w:rsidR="00996478" w:rsidRPr="00996478">
        <w:t xml:space="preserve">final stakeholder meeting </w:t>
      </w:r>
      <w:r w:rsidR="00996478">
        <w:t xml:space="preserve">for the </w:t>
      </w:r>
      <w:r w:rsidR="00996478" w:rsidRPr="00996478">
        <w:t>Hydro Agricultural Development Project of Marjeyoun</w:t>
      </w:r>
      <w:r w:rsidR="00996478">
        <w:t>.</w:t>
      </w:r>
    </w:p>
    <w:p w:rsidR="00996478" w:rsidRDefault="00996478" w:rsidP="00996478">
      <w:pPr>
        <w:spacing w:line="276" w:lineRule="auto"/>
        <w:ind w:left="720"/>
        <w:contextualSpacing/>
        <w:jc w:val="both"/>
      </w:pPr>
    </w:p>
    <w:p w:rsidR="00483562" w:rsidRPr="00483562" w:rsidRDefault="00483562" w:rsidP="001C13AD">
      <w:pPr>
        <w:pStyle w:val="ListParagraph"/>
        <w:spacing w:line="276" w:lineRule="auto"/>
      </w:pPr>
      <w:r w:rsidRPr="00483562">
        <w:t xml:space="preserve">The LRF-10 UNDP </w:t>
      </w:r>
      <w:r>
        <w:t>“</w:t>
      </w:r>
      <w:r w:rsidRPr="00483562">
        <w:t>Country Energy Efficiency and Renewable Energy Demonstration Project for the Development of Lebanon (CEDRO II)</w:t>
      </w:r>
      <w:r>
        <w:t>”</w:t>
      </w:r>
      <w:r w:rsidRPr="00483562">
        <w:t xml:space="preserve"> was successfully completed in December 2012. The M&amp;E unit supported the operational closure of the project and </w:t>
      </w:r>
      <w:r w:rsidR="001C13AD" w:rsidRPr="00483562">
        <w:t xml:space="preserve">uploaded </w:t>
      </w:r>
      <w:r w:rsidRPr="00483562">
        <w:t>the final narrative report on the MPTF gateway.</w:t>
      </w:r>
    </w:p>
    <w:p w:rsidR="00483562" w:rsidRPr="00483562" w:rsidRDefault="00483562" w:rsidP="00483562">
      <w:pPr>
        <w:pStyle w:val="ListParagraph"/>
        <w:spacing w:line="276" w:lineRule="auto"/>
        <w:rPr>
          <w:lang w:val="en-GB"/>
        </w:rPr>
      </w:pPr>
      <w:r w:rsidRPr="00483562">
        <w:rPr>
          <w:lang w:val="en-GB"/>
        </w:rPr>
        <w:tab/>
      </w:r>
    </w:p>
    <w:p w:rsidR="00483562" w:rsidRPr="00483562" w:rsidRDefault="00483562" w:rsidP="001C13AD">
      <w:pPr>
        <w:pStyle w:val="ListParagraph"/>
        <w:spacing w:line="276" w:lineRule="auto"/>
      </w:pPr>
      <w:r w:rsidRPr="00483562">
        <w:rPr>
          <w:lang w:val="en-GB"/>
        </w:rPr>
        <w:t xml:space="preserve">In addition, the LRF 23, </w:t>
      </w:r>
      <w:r>
        <w:rPr>
          <w:lang w:val="en-GB"/>
        </w:rPr>
        <w:t>“</w:t>
      </w:r>
      <w:r w:rsidRPr="00483562">
        <w:rPr>
          <w:lang w:val="en-GB"/>
        </w:rPr>
        <w:t>Hydro Agriculture Development Project for Marjeyoun area</w:t>
      </w:r>
      <w:r>
        <w:rPr>
          <w:lang w:val="en-GB"/>
        </w:rPr>
        <w:t>”</w:t>
      </w:r>
      <w:r w:rsidRPr="00483562">
        <w:rPr>
          <w:lang w:val="en-GB"/>
        </w:rPr>
        <w:t xml:space="preserve">, and the LRF 17, </w:t>
      </w:r>
      <w:r>
        <w:rPr>
          <w:lang w:val="en-GB"/>
        </w:rPr>
        <w:t>“</w:t>
      </w:r>
      <w:r w:rsidRPr="00483562">
        <w:rPr>
          <w:lang w:val="en-GB"/>
        </w:rPr>
        <w:t>Flood Risk Prevention and Management in Baalbeck Phase II</w:t>
      </w:r>
      <w:r>
        <w:rPr>
          <w:lang w:val="en-GB"/>
        </w:rPr>
        <w:t>”</w:t>
      </w:r>
      <w:r w:rsidRPr="00483562">
        <w:rPr>
          <w:lang w:val="en-GB"/>
        </w:rPr>
        <w:t>, that were</w:t>
      </w:r>
      <w:r>
        <w:rPr>
          <w:lang w:val="en-GB"/>
        </w:rPr>
        <w:t xml:space="preserve"> both</w:t>
      </w:r>
      <w:r w:rsidRPr="00483562">
        <w:rPr>
          <w:lang w:val="en-GB"/>
        </w:rPr>
        <w:t xml:space="preserve"> granted 18 </w:t>
      </w:r>
      <w:r w:rsidR="001C13AD" w:rsidRPr="00483562">
        <w:rPr>
          <w:lang w:val="en-GB"/>
        </w:rPr>
        <w:t>months’ time</w:t>
      </w:r>
      <w:r w:rsidRPr="00483562">
        <w:rPr>
          <w:lang w:val="en-GB"/>
        </w:rPr>
        <w:t xml:space="preserve"> extension </w:t>
      </w:r>
      <w:r w:rsidRPr="00483562">
        <w:t>were successfully completed in February 2013</w:t>
      </w:r>
      <w:r w:rsidRPr="00483562">
        <w:rPr>
          <w:b/>
          <w:bCs/>
        </w:rPr>
        <w:t>.</w:t>
      </w:r>
      <w:r w:rsidR="001C13AD">
        <w:t>T</w:t>
      </w:r>
      <w:r w:rsidRPr="00483562">
        <w:t xml:space="preserve">he M&amp;E unit </w:t>
      </w:r>
      <w:r>
        <w:t>worked</w:t>
      </w:r>
      <w:r w:rsidRPr="00483562">
        <w:t xml:space="preserve"> closely with the project teams to finalize the operational closure of both projects</w:t>
      </w:r>
      <w:r>
        <w:t xml:space="preserve"> and </w:t>
      </w:r>
      <w:r w:rsidR="001C13AD" w:rsidRPr="00483562">
        <w:t xml:space="preserve">uploaded </w:t>
      </w:r>
      <w:r>
        <w:t xml:space="preserve">their respective </w:t>
      </w:r>
      <w:r w:rsidRPr="00483562">
        <w:t>final narrative report</w:t>
      </w:r>
      <w:r>
        <w:t>s</w:t>
      </w:r>
      <w:r w:rsidRPr="00483562">
        <w:t xml:space="preserve"> on the MPTF gateway.</w:t>
      </w:r>
    </w:p>
    <w:p w:rsidR="00483562" w:rsidRDefault="00483562" w:rsidP="00483562">
      <w:pPr>
        <w:pStyle w:val="ListParagraph"/>
        <w:spacing w:line="276" w:lineRule="auto"/>
      </w:pPr>
    </w:p>
    <w:p w:rsidR="00483562" w:rsidRPr="00483562" w:rsidRDefault="001C13AD" w:rsidP="00D65885">
      <w:pPr>
        <w:pStyle w:val="ListParagraph"/>
        <w:spacing w:line="276" w:lineRule="auto"/>
      </w:pPr>
      <w:r>
        <w:t>Finally</w:t>
      </w:r>
      <w:r w:rsidR="00483562">
        <w:t>, t</w:t>
      </w:r>
      <w:r w:rsidR="00483562" w:rsidRPr="00483562">
        <w:t xml:space="preserve">he LRF 24, “Early recovery for Nahr El Bared Surrounding Lebanese Communities Affected by 2006 and 2007 Conflicts”, has been granted a </w:t>
      </w:r>
      <w:r w:rsidR="00D65885">
        <w:t xml:space="preserve">no-cost </w:t>
      </w:r>
      <w:r w:rsidR="00483562" w:rsidRPr="00483562">
        <w:t xml:space="preserve">time extension of 12 months to complete the </w:t>
      </w:r>
      <w:r w:rsidR="00D65885">
        <w:t>remaining</w:t>
      </w:r>
      <w:r w:rsidR="00D65885" w:rsidRPr="00483562">
        <w:t xml:space="preserve"> </w:t>
      </w:r>
      <w:r w:rsidR="00483562" w:rsidRPr="00483562">
        <w:t>activities</w:t>
      </w:r>
      <w:r w:rsidR="00D65885">
        <w:t>.</w:t>
      </w:r>
      <w:r w:rsidR="00483562" w:rsidRPr="00483562">
        <w:t xml:space="preserve"> </w:t>
      </w:r>
    </w:p>
    <w:p w:rsidR="00483562" w:rsidRPr="00386B05" w:rsidRDefault="00483562" w:rsidP="00386B05">
      <w:pPr>
        <w:pStyle w:val="ListParagraph"/>
        <w:spacing w:line="276" w:lineRule="auto"/>
      </w:pPr>
    </w:p>
    <w:p w:rsidR="003164EF" w:rsidRDefault="003164EF" w:rsidP="00386B05">
      <w:pPr>
        <w:pStyle w:val="ListParagraph"/>
        <w:spacing w:line="276" w:lineRule="auto"/>
        <w:rPr>
          <w:b/>
          <w:bCs/>
          <w:u w:val="single"/>
        </w:rPr>
      </w:pPr>
      <w:r w:rsidRPr="00386B05">
        <w:rPr>
          <w:b/>
          <w:bCs/>
          <w:u w:val="single"/>
        </w:rPr>
        <w:t>Visibility of the LRF</w:t>
      </w:r>
    </w:p>
    <w:p w:rsidR="003164EF" w:rsidRPr="00386B05" w:rsidRDefault="003164EF" w:rsidP="00F67817">
      <w:pPr>
        <w:pStyle w:val="ListParagraph"/>
        <w:spacing w:line="276" w:lineRule="auto"/>
      </w:pPr>
      <w:r w:rsidRPr="00386B05">
        <w:lastRenderedPageBreak/>
        <w:t xml:space="preserve">The M&amp;E unit designed and produced </w:t>
      </w:r>
      <w:r w:rsidR="00F67817">
        <w:t>two</w:t>
      </w:r>
      <w:r w:rsidR="00F67817" w:rsidRPr="00386B05">
        <w:t xml:space="preserve"> </w:t>
      </w:r>
      <w:r w:rsidRPr="00386B05">
        <w:t>issues of the LRF newsletter sharing success stories and positive outcomes of the different LRF projects. These newsletters have been disseminated to the Heads of the UN agencies in Lebanon, the concerned Ministries and other stakeholders including embassies and consulates in the country.</w:t>
      </w:r>
    </w:p>
    <w:p w:rsidR="003164EF" w:rsidRDefault="001C13AD" w:rsidP="001C13AD">
      <w:pPr>
        <w:pStyle w:val="ListParagraph"/>
        <w:spacing w:line="276" w:lineRule="auto"/>
      </w:pPr>
      <w:r>
        <w:t>T</w:t>
      </w:r>
      <w:r w:rsidR="003164EF" w:rsidRPr="00386B05">
        <w:t>he M&amp;E will be working,</w:t>
      </w:r>
      <w:r w:rsidR="003164EF" w:rsidRPr="00386B05" w:rsidDel="00012A14">
        <w:t xml:space="preserve"> </w:t>
      </w:r>
      <w:r w:rsidR="003164EF" w:rsidRPr="00386B05">
        <w:t xml:space="preserve">in cooperation with the Information Unit at the RCO, to </w:t>
      </w:r>
      <w:r w:rsidR="00A42164" w:rsidRPr="00386B05">
        <w:t xml:space="preserve">continuously </w:t>
      </w:r>
      <w:r w:rsidR="003164EF" w:rsidRPr="00386B05">
        <w:t xml:space="preserve">update the design and contents of the LRF webpage on the Lebanon UN website. Updated information </w:t>
      </w:r>
      <w:r w:rsidR="00A42164" w:rsidRPr="00386B05">
        <w:t>includes</w:t>
      </w:r>
      <w:r w:rsidR="003164EF" w:rsidRPr="00386B05">
        <w:t xml:space="preserve"> statistical data, financial figures, and publications which </w:t>
      </w:r>
      <w:r w:rsidR="00A42164" w:rsidRPr="00386B05">
        <w:t>are</w:t>
      </w:r>
      <w:r w:rsidR="003164EF" w:rsidRPr="00386B05">
        <w:t xml:space="preserve"> available for the public.</w:t>
      </w:r>
    </w:p>
    <w:p w:rsidR="006045B8" w:rsidRPr="00386B05" w:rsidRDefault="006045B8" w:rsidP="00386B05">
      <w:pPr>
        <w:pStyle w:val="ListParagraph"/>
        <w:spacing w:line="276" w:lineRule="auto"/>
        <w:rPr>
          <w:u w:val="single"/>
        </w:rPr>
      </w:pPr>
    </w:p>
    <w:p w:rsidR="006045B8" w:rsidRDefault="00861840" w:rsidP="00386B05">
      <w:pPr>
        <w:pStyle w:val="ListParagraph"/>
        <w:spacing w:line="276" w:lineRule="auto"/>
        <w:rPr>
          <w:b/>
          <w:bCs/>
          <w:u w:val="single"/>
        </w:rPr>
      </w:pPr>
      <w:r w:rsidRPr="00386B05">
        <w:rPr>
          <w:b/>
          <w:bCs/>
          <w:u w:val="single"/>
        </w:rPr>
        <w:t>Support for the LRF Steering Committee (SC) and Project Approval Group (PAG)</w:t>
      </w:r>
    </w:p>
    <w:p w:rsidR="009E7B3D" w:rsidRPr="00386B05" w:rsidRDefault="009E7B3D" w:rsidP="00386B05">
      <w:pPr>
        <w:pStyle w:val="ListParagraph"/>
        <w:spacing w:line="276" w:lineRule="auto"/>
        <w:rPr>
          <w:b/>
          <w:bCs/>
          <w:u w:val="single"/>
        </w:rPr>
      </w:pPr>
    </w:p>
    <w:p w:rsidR="006045B8" w:rsidRDefault="006045B8" w:rsidP="00F67817">
      <w:pPr>
        <w:pStyle w:val="ListParagraph"/>
        <w:spacing w:line="276" w:lineRule="auto"/>
      </w:pPr>
      <w:r w:rsidRPr="00386B05">
        <w:t xml:space="preserve">During the implementation of </w:t>
      </w:r>
      <w:r w:rsidR="001C13AD">
        <w:t xml:space="preserve">the </w:t>
      </w:r>
      <w:r w:rsidRPr="00386B05">
        <w:t xml:space="preserve">LRF </w:t>
      </w:r>
      <w:r w:rsidR="00F67817" w:rsidRPr="00386B05">
        <w:t>projects,</w:t>
      </w:r>
      <w:r w:rsidRPr="00386B05">
        <w:t xml:space="preserve"> the M&amp;E unit </w:t>
      </w:r>
      <w:r w:rsidR="005D5A20" w:rsidRPr="00386B05">
        <w:t xml:space="preserve">has </w:t>
      </w:r>
      <w:r w:rsidR="00F67817">
        <w:t>organized</w:t>
      </w:r>
      <w:r w:rsidRPr="00386B05">
        <w:t xml:space="preserve"> Steering Committee (SC) and Project Approval Group (PAG) meetings </w:t>
      </w:r>
      <w:r w:rsidR="00F67817">
        <w:t>and provided support and advice to</w:t>
      </w:r>
      <w:r w:rsidRPr="00386B05">
        <w:t xml:space="preserve"> the members on projects delays, deviations and critical issues. In addition the M&amp;E unit support</w:t>
      </w:r>
      <w:r w:rsidR="002F27FB" w:rsidRPr="00386B05">
        <w:t>ed</w:t>
      </w:r>
      <w:r w:rsidRPr="00386B05">
        <w:t xml:space="preserve"> the SC and PAG </w:t>
      </w:r>
      <w:r w:rsidR="00F67817">
        <w:t>in</w:t>
      </w:r>
      <w:r w:rsidR="002F27FB" w:rsidRPr="00386B05">
        <w:t xml:space="preserve"> </w:t>
      </w:r>
      <w:r w:rsidRPr="00386B05">
        <w:t xml:space="preserve">resource mobilization </w:t>
      </w:r>
      <w:r w:rsidR="00F67817">
        <w:t>planning</w:t>
      </w:r>
      <w:r w:rsidR="00F67817" w:rsidRPr="00386B05">
        <w:t xml:space="preserve"> </w:t>
      </w:r>
      <w:r w:rsidR="002F27FB" w:rsidRPr="00386B05">
        <w:t>and coordination with the implementing UN agencies and local stakeholders</w:t>
      </w:r>
      <w:r w:rsidR="002F5B85">
        <w:t xml:space="preserve"> on project extension and transfer requests</w:t>
      </w:r>
      <w:r w:rsidRPr="00386B05">
        <w:t>.</w:t>
      </w:r>
    </w:p>
    <w:p w:rsidR="004E14C5" w:rsidRDefault="004E14C5" w:rsidP="00F67817">
      <w:pPr>
        <w:pStyle w:val="ListParagraph"/>
        <w:spacing w:line="276" w:lineRule="auto"/>
      </w:pPr>
    </w:p>
    <w:p w:rsidR="004E14C5" w:rsidRDefault="004E14C5" w:rsidP="004E14C5">
      <w:pPr>
        <w:spacing w:line="276" w:lineRule="auto"/>
        <w:ind w:left="720"/>
        <w:contextualSpacing/>
        <w:jc w:val="both"/>
      </w:pPr>
      <w:r>
        <w:t xml:space="preserve">In addition, the M&amp;E unit facilitated the revision and evaluation </w:t>
      </w:r>
      <w:r w:rsidR="001C13AD">
        <w:t xml:space="preserve">process </w:t>
      </w:r>
      <w:r>
        <w:t>of a new project proposal submitted by UNDP in 2012 and was amended as per the SC request.</w:t>
      </w:r>
    </w:p>
    <w:p w:rsidR="004E14C5" w:rsidRDefault="001C13AD" w:rsidP="006620B7">
      <w:pPr>
        <w:spacing w:line="276" w:lineRule="auto"/>
        <w:ind w:left="720"/>
        <w:contextualSpacing/>
        <w:jc w:val="both"/>
      </w:pPr>
      <w:r>
        <w:t>The new</w:t>
      </w:r>
      <w:r w:rsidR="004E14C5">
        <w:t xml:space="preserve"> project </w:t>
      </w:r>
      <w:r w:rsidR="006620B7">
        <w:t>entitled “</w:t>
      </w:r>
      <w:r w:rsidR="006620B7" w:rsidRPr="007D7136">
        <w:t>Reviving Farmers’ Livelihood in South Lebanon</w:t>
      </w:r>
      <w:r w:rsidR="006620B7">
        <w:t xml:space="preserve">” </w:t>
      </w:r>
      <w:r w:rsidR="004E14C5">
        <w:t>was funded under the LRF</w:t>
      </w:r>
      <w:r w:rsidR="006620B7">
        <w:t>,</w:t>
      </w:r>
      <w:r w:rsidR="004E14C5">
        <w:t xml:space="preserve"> for a total amount of 700,00 USD </w:t>
      </w:r>
      <w:r w:rsidR="006620B7">
        <w:t xml:space="preserve">and </w:t>
      </w:r>
      <w:r>
        <w:t>was started in May 201</w:t>
      </w:r>
      <w:r w:rsidR="006620B7">
        <w:t>3</w:t>
      </w:r>
      <w:r>
        <w:t xml:space="preserve"> </w:t>
      </w:r>
      <w:r w:rsidR="004E14C5">
        <w:t>by UNDP in collaboration with the Ministry of Agriculture and the municipality of Nabatiyeh in South Lebanon.</w:t>
      </w:r>
    </w:p>
    <w:p w:rsidR="004E14C5" w:rsidRDefault="004E14C5" w:rsidP="004E14C5">
      <w:pPr>
        <w:spacing w:line="276" w:lineRule="auto"/>
        <w:ind w:left="720"/>
        <w:contextualSpacing/>
        <w:jc w:val="both"/>
      </w:pPr>
    </w:p>
    <w:p w:rsidR="004E14C5" w:rsidRDefault="004E14C5" w:rsidP="004E14C5">
      <w:pPr>
        <w:spacing w:line="276" w:lineRule="auto"/>
        <w:ind w:left="720"/>
        <w:contextualSpacing/>
        <w:jc w:val="both"/>
      </w:pPr>
      <w:r>
        <w:t>The project aims to expand livelihood opportunities for vegetable farmers in South Lebanon through the establishment of a market place reducing transaction costs and access to extension services to improve post-production stages which are at the heart of sectoral vulnerability.</w:t>
      </w:r>
    </w:p>
    <w:p w:rsidR="004E14C5" w:rsidRDefault="004E14C5" w:rsidP="002C7713">
      <w:pPr>
        <w:spacing w:line="276" w:lineRule="auto"/>
        <w:ind w:left="720"/>
        <w:contextualSpacing/>
        <w:jc w:val="both"/>
      </w:pPr>
      <w:r>
        <w:t xml:space="preserve">This </w:t>
      </w:r>
      <w:r w:rsidR="002C7713">
        <w:t>initiative</w:t>
      </w:r>
      <w:r>
        <w:t xml:space="preserve"> will benefit 426,000 Lebanese residents, including over 8,000 fruit and vegetable producers, and serve as a pilot model to be replicated in other rural areas in Lebanon.</w:t>
      </w:r>
    </w:p>
    <w:p w:rsidR="004E14C5" w:rsidRDefault="004E14C5" w:rsidP="00F67817">
      <w:pPr>
        <w:pStyle w:val="ListParagraph"/>
        <w:spacing w:line="276" w:lineRule="auto"/>
      </w:pPr>
    </w:p>
    <w:p w:rsidR="006045B8" w:rsidRPr="00386B05" w:rsidRDefault="006045B8" w:rsidP="00386B05">
      <w:pPr>
        <w:pStyle w:val="ListParagraph"/>
        <w:spacing w:line="276" w:lineRule="auto"/>
        <w:rPr>
          <w:u w:val="single"/>
        </w:rPr>
      </w:pPr>
    </w:p>
    <w:p w:rsidR="00C416C0" w:rsidRDefault="004E14C5" w:rsidP="004E14C5">
      <w:pPr>
        <w:pStyle w:val="ListParagraph"/>
      </w:pPr>
      <w:r>
        <w:t>In general the project includes two major components:</w:t>
      </w:r>
    </w:p>
    <w:p w:rsidR="004E14C5" w:rsidRDefault="004E14C5" w:rsidP="004E14C5">
      <w:pPr>
        <w:pStyle w:val="ListParagraph"/>
      </w:pPr>
    </w:p>
    <w:p w:rsidR="004E14C5" w:rsidRDefault="004E14C5" w:rsidP="004E14C5">
      <w:pPr>
        <w:pStyle w:val="ListParagraph"/>
        <w:numPr>
          <w:ilvl w:val="1"/>
          <w:numId w:val="10"/>
        </w:numPr>
      </w:pPr>
      <w:r w:rsidRPr="004E14C5">
        <w:t>A wholesale fruit and vegetable farmers' market in Nabatieh Mahafazat is established</w:t>
      </w:r>
    </w:p>
    <w:p w:rsidR="004E14C5" w:rsidRDefault="004E14C5" w:rsidP="004E14C5">
      <w:pPr>
        <w:pStyle w:val="ListParagraph"/>
        <w:ind w:left="1440"/>
      </w:pPr>
    </w:p>
    <w:p w:rsidR="004E14C5" w:rsidRPr="004E14C5" w:rsidRDefault="004E14C5" w:rsidP="004E14C5">
      <w:pPr>
        <w:pStyle w:val="ListParagraph"/>
        <w:numPr>
          <w:ilvl w:val="1"/>
          <w:numId w:val="10"/>
        </w:numPr>
      </w:pPr>
      <w:r w:rsidRPr="004E14C5">
        <w:t>Access to agricultural extension services is improved</w:t>
      </w:r>
    </w:p>
    <w:p w:rsidR="004E14C5" w:rsidRPr="00386B05" w:rsidRDefault="004E14C5" w:rsidP="004E14C5">
      <w:pPr>
        <w:pStyle w:val="ListParagraph"/>
        <w:sectPr w:rsidR="004E14C5" w:rsidRPr="00386B05" w:rsidSect="001114B2">
          <w:footerReference w:type="default" r:id="rId12"/>
          <w:footerReference w:type="first" r:id="rId13"/>
          <w:pgSz w:w="12240" w:h="15840" w:code="1"/>
          <w:pgMar w:top="540" w:right="990" w:bottom="851" w:left="806" w:header="720" w:footer="418" w:gutter="0"/>
          <w:cols w:space="720"/>
          <w:docGrid w:linePitch="360"/>
        </w:sectPr>
      </w:pPr>
    </w:p>
    <w:p w:rsidR="00C416C0" w:rsidRPr="00386B05" w:rsidRDefault="004053AA" w:rsidP="00C416C0">
      <w:pPr>
        <w:pStyle w:val="BodyText"/>
        <w:tabs>
          <w:tab w:val="left" w:pos="360"/>
        </w:tabs>
        <w:ind w:left="720"/>
        <w:jc w:val="both"/>
        <w:rPr>
          <w:rFonts w:ascii="Times New Roman" w:hAnsi="Times New Roman" w:cs="Times New Roman"/>
          <w:bCs/>
          <w:sz w:val="24"/>
        </w:rPr>
      </w:pPr>
      <w:r w:rsidRPr="004053AA">
        <w:rPr>
          <w:rFonts w:ascii="Times New Roman" w:hAnsi="Times New Roman" w:cs="Times New Roman"/>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40.8pt;margin-top:-14.05pt;width:743.8pt;height:22.95pt;z-index:251655168" fillcolor="#f2f2f2" strokecolor="#d8d8d8">
            <v:textbox style="mso-next-textbox:#_x0000_s1026">
              <w:txbxContent>
                <w:p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w:r>
    </w:p>
    <w:p w:rsidR="0070645E" w:rsidRPr="00386B05" w:rsidRDefault="0070645E" w:rsidP="000221C7">
      <w:pPr>
        <w:pStyle w:val="BodyText"/>
        <w:rPr>
          <w:rFonts w:ascii="Times New Roman" w:hAnsi="Times New Roman" w:cs="Times New Roman"/>
          <w:bCs/>
          <w:sz w:val="24"/>
        </w:rPr>
      </w:pPr>
    </w:p>
    <w:p w:rsidR="009C2AFF" w:rsidRPr="00386B05" w:rsidRDefault="009C2AFF" w:rsidP="000221C7">
      <w:pPr>
        <w:pStyle w:val="BodyText"/>
        <w:rPr>
          <w:rFonts w:ascii="Times New Roman" w:hAnsi="Times New Roman" w:cs="Times New Roman"/>
          <w:bCs/>
          <w:sz w:val="24"/>
        </w:rPr>
      </w:pPr>
    </w:p>
    <w:tbl>
      <w:tblPr>
        <w:tblW w:w="1099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088"/>
        <w:gridCol w:w="4230"/>
        <w:gridCol w:w="4680"/>
      </w:tblGrid>
      <w:tr w:rsidR="00802372" w:rsidRPr="00386B05" w:rsidTr="00802372">
        <w:tc>
          <w:tcPr>
            <w:tcW w:w="2088" w:type="dxa"/>
            <w:shd w:val="clear" w:color="auto" w:fill="4F81BD"/>
            <w:vAlign w:val="center"/>
          </w:tcPr>
          <w:p w:rsidR="00A2667B" w:rsidRPr="00386B05" w:rsidRDefault="000221C7" w:rsidP="00802372">
            <w:pPr>
              <w:pStyle w:val="Heading1"/>
              <w:spacing w:line="276" w:lineRule="auto"/>
              <w:ind w:left="0"/>
              <w:jc w:val="center"/>
              <w:rPr>
                <w:rFonts w:ascii="Times New Roman" w:hAnsi="Times New Roman"/>
              </w:rPr>
            </w:pPr>
            <w:bookmarkStart w:id="5" w:name="_Toc296423137"/>
            <w:bookmarkStart w:id="6" w:name="_Toc296423280"/>
            <w:r w:rsidRPr="00386B05">
              <w:rPr>
                <w:rFonts w:ascii="Times New Roman" w:hAnsi="Times New Roman"/>
                <w:color w:val="000000"/>
                <w:sz w:val="24"/>
                <w:szCs w:val="24"/>
              </w:rPr>
              <w:t>Project Outputs</w:t>
            </w:r>
            <w:bookmarkEnd w:id="5"/>
            <w:bookmarkEnd w:id="6"/>
          </w:p>
        </w:tc>
        <w:tc>
          <w:tcPr>
            <w:tcW w:w="423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7" w:name="_Toc296423138"/>
            <w:bookmarkStart w:id="8" w:name="_Toc296423281"/>
            <w:r w:rsidRPr="00386B05">
              <w:rPr>
                <w:rFonts w:ascii="Times New Roman" w:hAnsi="Times New Roman"/>
                <w:color w:val="000000"/>
                <w:sz w:val="24"/>
                <w:szCs w:val="24"/>
              </w:rPr>
              <w:t>Activities</w:t>
            </w:r>
            <w:bookmarkEnd w:id="7"/>
            <w:bookmarkEnd w:id="8"/>
          </w:p>
        </w:tc>
        <w:tc>
          <w:tcPr>
            <w:tcW w:w="468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9" w:name="_Toc296423139"/>
            <w:bookmarkStart w:id="10" w:name="_Toc296423282"/>
            <w:r w:rsidRPr="00386B05">
              <w:rPr>
                <w:rFonts w:ascii="Times New Roman" w:hAnsi="Times New Roman"/>
                <w:color w:val="000000"/>
                <w:sz w:val="24"/>
                <w:szCs w:val="24"/>
              </w:rPr>
              <w:t>Indicators</w:t>
            </w:r>
            <w:bookmarkEnd w:id="9"/>
            <w:bookmarkEnd w:id="10"/>
          </w:p>
        </w:tc>
      </w:tr>
      <w:tr w:rsidR="00802372" w:rsidRPr="00386B05" w:rsidTr="00802372">
        <w:tc>
          <w:tcPr>
            <w:tcW w:w="2088" w:type="dxa"/>
            <w:shd w:val="clear" w:color="auto" w:fill="D3DFEE"/>
          </w:tcPr>
          <w:p w:rsidR="00366BF8" w:rsidRDefault="00366BF8" w:rsidP="00FE53D0">
            <w:pPr>
              <w:spacing w:line="276" w:lineRule="auto"/>
              <w:rPr>
                <w:b/>
                <w:bCs/>
                <w:color w:val="000000"/>
              </w:rPr>
            </w:pPr>
          </w:p>
          <w:p w:rsidR="00366BF8" w:rsidRDefault="00366BF8" w:rsidP="00FE53D0">
            <w:pPr>
              <w:spacing w:line="276" w:lineRule="auto"/>
              <w:rPr>
                <w:b/>
                <w:bCs/>
                <w:color w:val="000000"/>
              </w:rPr>
            </w:pPr>
          </w:p>
          <w:p w:rsidR="000221C7" w:rsidRPr="00386B05" w:rsidRDefault="000221C7" w:rsidP="00FE53D0">
            <w:pPr>
              <w:spacing w:line="276" w:lineRule="auto"/>
              <w:rPr>
                <w:b/>
                <w:bCs/>
                <w:color w:val="000000"/>
              </w:rPr>
            </w:pPr>
            <w:r w:rsidRPr="00386B05">
              <w:rPr>
                <w:b/>
                <w:bCs/>
                <w:color w:val="000000"/>
              </w:rPr>
              <w:t>Support Project Managers in achieving their pre-set deadlines in a timely manner, thus working in favor of the beneficiaries of each project</w:t>
            </w:r>
          </w:p>
          <w:p w:rsidR="000221C7" w:rsidRPr="00386B05" w:rsidRDefault="000221C7" w:rsidP="00FE53D0">
            <w:pPr>
              <w:spacing w:line="276" w:lineRule="auto"/>
              <w:jc w:val="both"/>
              <w:rPr>
                <w:b/>
                <w:bCs/>
                <w:color w:val="000000"/>
              </w:rPr>
            </w:pPr>
          </w:p>
        </w:tc>
        <w:tc>
          <w:tcPr>
            <w:tcW w:w="4230" w:type="dxa"/>
            <w:shd w:val="clear" w:color="auto" w:fill="D3DFEE"/>
          </w:tcPr>
          <w:p w:rsidR="000221C7" w:rsidRPr="00386B05" w:rsidRDefault="00AA51B2" w:rsidP="009D1301">
            <w:pPr>
              <w:numPr>
                <w:ilvl w:val="0"/>
                <w:numId w:val="12"/>
              </w:numPr>
              <w:tabs>
                <w:tab w:val="left" w:pos="-720"/>
              </w:tabs>
              <w:suppressAutoHyphens/>
              <w:spacing w:line="276" w:lineRule="auto"/>
              <w:rPr>
                <w:color w:val="000000"/>
              </w:rPr>
            </w:pPr>
            <w:r>
              <w:rPr>
                <w:color w:val="000000"/>
              </w:rPr>
              <w:t>Monitoring of the projects’ progress conducted on continuous basis.</w:t>
            </w:r>
            <w:r w:rsidR="00533177" w:rsidRPr="00386B05">
              <w:rPr>
                <w:color w:val="000000"/>
              </w:rPr>
              <w:t xml:space="preserve"> I</w:t>
            </w:r>
            <w:r w:rsidR="000221C7" w:rsidRPr="00386B05">
              <w:rPr>
                <w:color w:val="000000"/>
              </w:rPr>
              <w:t xml:space="preserve">nquiries, comments and suggestions are shared with the </w:t>
            </w:r>
            <w:r w:rsidR="00533177" w:rsidRPr="00386B05">
              <w:rPr>
                <w:color w:val="000000"/>
              </w:rPr>
              <w:t>project teams</w:t>
            </w:r>
            <w:r w:rsidR="000221C7" w:rsidRPr="00386B05">
              <w:rPr>
                <w:color w:val="000000"/>
              </w:rPr>
              <w:t xml:space="preserve"> with regard to the obstacles faced and the alternative measures to be adopted to overcome the constraints. </w:t>
            </w:r>
          </w:p>
          <w:p w:rsidR="000221C7" w:rsidRPr="00386B05" w:rsidRDefault="000221C7" w:rsidP="00FE53D0">
            <w:pPr>
              <w:tabs>
                <w:tab w:val="left" w:pos="-720"/>
              </w:tabs>
              <w:suppressAutoHyphens/>
              <w:spacing w:line="276" w:lineRule="auto"/>
              <w:ind w:left="720"/>
              <w:rPr>
                <w:color w:val="000000"/>
              </w:rPr>
            </w:pPr>
          </w:p>
          <w:p w:rsidR="000221C7" w:rsidRPr="00386B05" w:rsidRDefault="00C27FB4" w:rsidP="009D1301">
            <w:pPr>
              <w:numPr>
                <w:ilvl w:val="0"/>
                <w:numId w:val="12"/>
              </w:numPr>
              <w:tabs>
                <w:tab w:val="left" w:pos="-720"/>
              </w:tabs>
              <w:suppressAutoHyphens/>
              <w:spacing w:line="276" w:lineRule="auto"/>
              <w:rPr>
                <w:color w:val="000000"/>
              </w:rPr>
            </w:pPr>
            <w:r>
              <w:rPr>
                <w:color w:val="000000"/>
              </w:rPr>
              <w:t>Close monitoring and evaluation</w:t>
            </w:r>
            <w:r w:rsidR="000221C7" w:rsidRPr="00386B05">
              <w:rPr>
                <w:color w:val="000000"/>
              </w:rPr>
              <w:t xml:space="preserve"> have resulted in pointing out the obstacles facing the projects’ implementation </w:t>
            </w:r>
          </w:p>
          <w:p w:rsidR="000221C7" w:rsidRPr="00386B05" w:rsidRDefault="000221C7" w:rsidP="00FE53D0">
            <w:pPr>
              <w:tabs>
                <w:tab w:val="left" w:pos="-720"/>
              </w:tabs>
              <w:suppressAutoHyphens/>
              <w:spacing w:line="276" w:lineRule="auto"/>
              <w:ind w:left="720"/>
              <w:rPr>
                <w:color w:val="000000"/>
              </w:rPr>
            </w:pPr>
          </w:p>
          <w:p w:rsidR="000221C7" w:rsidRPr="00386B05" w:rsidRDefault="000221C7" w:rsidP="009D1301">
            <w:pPr>
              <w:numPr>
                <w:ilvl w:val="0"/>
                <w:numId w:val="12"/>
              </w:numPr>
              <w:tabs>
                <w:tab w:val="left" w:pos="-720"/>
              </w:tabs>
              <w:suppressAutoHyphens/>
              <w:spacing w:line="276" w:lineRule="auto"/>
              <w:rPr>
                <w:color w:val="000000"/>
              </w:rPr>
            </w:pPr>
            <w:r w:rsidRPr="00386B05">
              <w:rPr>
                <w:color w:val="000000"/>
              </w:rPr>
              <w:t xml:space="preserve">Coordination meetings with the projects’ teams to assess the progress made and the obstacles facing the implementation. </w:t>
            </w:r>
          </w:p>
          <w:p w:rsidR="00A2667B" w:rsidRDefault="00A2667B" w:rsidP="00FE53D0">
            <w:pPr>
              <w:tabs>
                <w:tab w:val="left" w:pos="-720"/>
              </w:tabs>
              <w:suppressAutoHyphens/>
              <w:spacing w:line="276" w:lineRule="auto"/>
              <w:ind w:left="720"/>
              <w:rPr>
                <w:color w:val="000000"/>
              </w:rPr>
            </w:pPr>
          </w:p>
          <w:p w:rsidR="00FE53D0" w:rsidRPr="00FE53D0" w:rsidRDefault="00FE53D0" w:rsidP="009D1301">
            <w:pPr>
              <w:numPr>
                <w:ilvl w:val="0"/>
                <w:numId w:val="8"/>
              </w:numPr>
              <w:tabs>
                <w:tab w:val="left" w:pos="-720"/>
              </w:tabs>
              <w:suppressAutoHyphens/>
              <w:spacing w:line="276" w:lineRule="auto"/>
              <w:rPr>
                <w:color w:val="000000"/>
              </w:rPr>
            </w:pPr>
            <w:r w:rsidRPr="00FE53D0">
              <w:rPr>
                <w:color w:val="000000"/>
              </w:rPr>
              <w:t>The M&amp;E Unit has been reviewing, editing and amending  the quarterly</w:t>
            </w:r>
            <w:r>
              <w:rPr>
                <w:color w:val="000000"/>
              </w:rPr>
              <w:t xml:space="preserve"> progress reports of 201</w:t>
            </w:r>
            <w:r w:rsidR="00C30493">
              <w:rPr>
                <w:color w:val="000000"/>
              </w:rPr>
              <w:t>3</w:t>
            </w:r>
            <w:r w:rsidRPr="00FE53D0">
              <w:rPr>
                <w:color w:val="000000"/>
              </w:rPr>
              <w:t xml:space="preserve">; guarantying the timely submission of LRF reports through the MPTF Gateway </w:t>
            </w:r>
            <w:hyperlink r:id="rId14" w:history="1">
              <w:r w:rsidRPr="00FE53D0">
                <w:rPr>
                  <w:rStyle w:val="Hyperlink"/>
                </w:rPr>
                <w:t>http://mdtf.undp.org/</w:t>
              </w:r>
            </w:hyperlink>
            <w:r w:rsidRPr="00FE53D0">
              <w:rPr>
                <w:color w:val="000000"/>
              </w:rPr>
              <w:t xml:space="preserve">  and as such:</w:t>
            </w:r>
          </w:p>
          <w:p w:rsidR="00FE53D0" w:rsidRDefault="00FE53D0" w:rsidP="00FE53D0">
            <w:pPr>
              <w:tabs>
                <w:tab w:val="left" w:pos="-720"/>
              </w:tabs>
              <w:suppressAutoHyphens/>
              <w:spacing w:line="276" w:lineRule="auto"/>
              <w:ind w:left="720"/>
              <w:rPr>
                <w:color w:val="000000"/>
              </w:rPr>
            </w:pPr>
          </w:p>
          <w:p w:rsidR="00FE53D0" w:rsidRDefault="00FE53D0" w:rsidP="009D1301">
            <w:pPr>
              <w:numPr>
                <w:ilvl w:val="0"/>
                <w:numId w:val="16"/>
              </w:numPr>
              <w:tabs>
                <w:tab w:val="left" w:pos="-720"/>
              </w:tabs>
              <w:suppressAutoHyphens/>
              <w:spacing w:line="276" w:lineRule="auto"/>
              <w:rPr>
                <w:color w:val="000000"/>
              </w:rPr>
            </w:pPr>
            <w:r w:rsidRPr="00FE53D0">
              <w:rPr>
                <w:color w:val="000000"/>
              </w:rPr>
              <w:t>Q1, Q2 and Q3 progress reports were reviewed, amended and uploaded on the MPTF gateway.</w:t>
            </w:r>
          </w:p>
          <w:p w:rsidR="00FE53D0" w:rsidRPr="00FE53D0" w:rsidRDefault="00FE53D0" w:rsidP="009329A4">
            <w:pPr>
              <w:tabs>
                <w:tab w:val="left" w:pos="-720"/>
              </w:tabs>
              <w:suppressAutoHyphens/>
              <w:spacing w:line="276" w:lineRule="auto"/>
              <w:ind w:left="720"/>
              <w:rPr>
                <w:color w:val="000000"/>
              </w:rPr>
            </w:pPr>
          </w:p>
          <w:p w:rsidR="00FE53D0" w:rsidRDefault="00124BF2" w:rsidP="00124BF2">
            <w:pPr>
              <w:numPr>
                <w:ilvl w:val="0"/>
                <w:numId w:val="16"/>
              </w:numPr>
              <w:tabs>
                <w:tab w:val="left" w:pos="-720"/>
              </w:tabs>
              <w:suppressAutoHyphens/>
              <w:spacing w:line="276" w:lineRule="auto"/>
              <w:rPr>
                <w:color w:val="000000"/>
              </w:rPr>
            </w:pPr>
            <w:r>
              <w:rPr>
                <w:color w:val="000000"/>
              </w:rPr>
              <w:t>M</w:t>
            </w:r>
            <w:r w:rsidR="00FE53D0" w:rsidRPr="00FE53D0">
              <w:rPr>
                <w:color w:val="000000"/>
              </w:rPr>
              <w:t>onthly reports reviewed and evaluated</w:t>
            </w:r>
          </w:p>
          <w:p w:rsidR="00FE53D0" w:rsidRDefault="00FE53D0" w:rsidP="009329A4">
            <w:pPr>
              <w:tabs>
                <w:tab w:val="left" w:pos="-720"/>
              </w:tabs>
              <w:suppressAutoHyphens/>
              <w:spacing w:line="276" w:lineRule="auto"/>
              <w:ind w:left="720"/>
              <w:rPr>
                <w:color w:val="000000"/>
              </w:rPr>
            </w:pPr>
          </w:p>
          <w:p w:rsidR="00FE53D0" w:rsidRPr="00802372" w:rsidRDefault="00124BF2" w:rsidP="00124BF2">
            <w:pPr>
              <w:numPr>
                <w:ilvl w:val="0"/>
                <w:numId w:val="16"/>
              </w:numPr>
              <w:tabs>
                <w:tab w:val="left" w:pos="-720"/>
              </w:tabs>
              <w:suppressAutoHyphens/>
              <w:spacing w:line="276" w:lineRule="auto"/>
              <w:rPr>
                <w:color w:val="000000"/>
              </w:rPr>
            </w:pPr>
            <w:r>
              <w:rPr>
                <w:color w:val="000000"/>
              </w:rPr>
              <w:t>An</w:t>
            </w:r>
            <w:r w:rsidR="00FE53D0">
              <w:rPr>
                <w:color w:val="000000"/>
              </w:rPr>
              <w:t xml:space="preserve">nual reports covering </w:t>
            </w:r>
            <w:r>
              <w:rPr>
                <w:color w:val="000000"/>
              </w:rPr>
              <w:t xml:space="preserve">2012 </w:t>
            </w:r>
            <w:r w:rsidR="00FE53D0">
              <w:rPr>
                <w:color w:val="000000"/>
              </w:rPr>
              <w:t xml:space="preserve">revised and uploaded on </w:t>
            </w:r>
            <w:r w:rsidR="00FE53D0" w:rsidRPr="00FE53D0">
              <w:rPr>
                <w:color w:val="000000"/>
              </w:rPr>
              <w:t>MPTF gateway</w:t>
            </w:r>
            <w:r w:rsidR="00FE53D0">
              <w:rPr>
                <w:color w:val="000000"/>
              </w:rPr>
              <w:t>.</w:t>
            </w:r>
          </w:p>
        </w:tc>
        <w:tc>
          <w:tcPr>
            <w:tcW w:w="4680" w:type="dxa"/>
            <w:shd w:val="clear" w:color="auto" w:fill="auto"/>
          </w:tcPr>
          <w:p w:rsidR="00C30493"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Activities completed as per the projects’ set up work plans</w:t>
            </w:r>
          </w:p>
          <w:p w:rsidR="00C30493" w:rsidRDefault="00C30493" w:rsidP="00FE53D0">
            <w:pPr>
              <w:pStyle w:val="BodyText2"/>
              <w:spacing w:line="276" w:lineRule="auto"/>
              <w:rPr>
                <w:rFonts w:ascii="Times New Roman" w:hAnsi="Times New Roman" w:cs="Times New Roman"/>
                <w:color w:val="000000"/>
                <w:sz w:val="24"/>
                <w:szCs w:val="24"/>
              </w:rPr>
            </w:pPr>
          </w:p>
          <w:p w:rsidR="000221C7" w:rsidRPr="00386B05" w:rsidRDefault="00C30493"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Revised projects and updated work plans</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6620B7"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Challenges</w:t>
            </w:r>
            <w:r w:rsidRPr="00386B05">
              <w:rPr>
                <w:rFonts w:ascii="Times New Roman" w:hAnsi="Times New Roman" w:cs="Times New Roman"/>
                <w:color w:val="000000"/>
                <w:sz w:val="24"/>
                <w:szCs w:val="24"/>
              </w:rPr>
              <w:t xml:space="preserve"> </w:t>
            </w:r>
            <w:r w:rsidR="000221C7" w:rsidRPr="00386B05">
              <w:rPr>
                <w:rFonts w:ascii="Times New Roman" w:hAnsi="Times New Roman" w:cs="Times New Roman"/>
                <w:color w:val="000000"/>
                <w:sz w:val="24"/>
                <w:szCs w:val="24"/>
              </w:rPr>
              <w:t xml:space="preserve">assessed and alternative measures </w:t>
            </w:r>
            <w:r w:rsidR="00533177" w:rsidRPr="00386B05">
              <w:rPr>
                <w:rFonts w:ascii="Times New Roman" w:hAnsi="Times New Roman" w:cs="Times New Roman"/>
                <w:color w:val="000000"/>
                <w:sz w:val="24"/>
                <w:szCs w:val="24"/>
              </w:rPr>
              <w:t>suggested</w:t>
            </w:r>
          </w:p>
          <w:p w:rsidR="00533177" w:rsidRPr="00386B05" w:rsidRDefault="00533177"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Default="0053317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 xml:space="preserve">Minutes of Meetings </w:t>
            </w:r>
            <w:r w:rsidR="000221C7" w:rsidRPr="00386B05">
              <w:rPr>
                <w:rFonts w:ascii="Times New Roman" w:hAnsi="Times New Roman" w:cs="Times New Roman"/>
                <w:color w:val="000000"/>
                <w:sz w:val="24"/>
                <w:szCs w:val="24"/>
              </w:rPr>
              <w:t xml:space="preserve">with </w:t>
            </w:r>
            <w:r w:rsidRPr="00386B05">
              <w:rPr>
                <w:rFonts w:ascii="Times New Roman" w:hAnsi="Times New Roman" w:cs="Times New Roman"/>
                <w:color w:val="000000"/>
                <w:sz w:val="24"/>
                <w:szCs w:val="24"/>
              </w:rPr>
              <w:t>the projects’ teams and updated</w:t>
            </w:r>
            <w:r w:rsidR="000221C7" w:rsidRPr="00386B05">
              <w:rPr>
                <w:rFonts w:ascii="Times New Roman" w:hAnsi="Times New Roman" w:cs="Times New Roman"/>
                <w:color w:val="000000"/>
                <w:sz w:val="24"/>
                <w:szCs w:val="24"/>
              </w:rPr>
              <w:t xml:space="preserve"> work plans</w:t>
            </w: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Pr="00386B05" w:rsidRDefault="00802372" w:rsidP="00FE53D0">
            <w:pPr>
              <w:pStyle w:val="BodyText2"/>
              <w:spacing w:line="276" w:lineRule="auto"/>
              <w:rPr>
                <w:rFonts w:ascii="Times New Roman" w:hAnsi="Times New Roman" w:cs="Times New Roman"/>
                <w:color w:val="000000"/>
                <w:sz w:val="24"/>
                <w:szCs w:val="24"/>
              </w:rPr>
            </w:pPr>
            <w:r w:rsidRPr="00802372">
              <w:rPr>
                <w:rFonts w:ascii="Times New Roman" w:hAnsi="Times New Roman" w:cs="Times New Roman"/>
                <w:color w:val="000000"/>
                <w:sz w:val="24"/>
                <w:szCs w:val="24"/>
              </w:rPr>
              <w:t>Reports uploaded to the MPTF website</w:t>
            </w:r>
            <w:r>
              <w:rPr>
                <w:rFonts w:ascii="Times New Roman" w:hAnsi="Times New Roman" w:cs="Times New Roman"/>
                <w:color w:val="000000"/>
                <w:sz w:val="24"/>
                <w:szCs w:val="24"/>
              </w:rPr>
              <w:t xml:space="preserve"> (</w:t>
            </w:r>
            <w:hyperlink r:id="rId15" w:history="1">
              <w:r w:rsidRPr="00C54CA7">
                <w:rPr>
                  <w:rStyle w:val="Hyperlink"/>
                  <w:rFonts w:ascii="Times New Roman" w:hAnsi="Times New Roman" w:cs="Times New Roman"/>
                  <w:sz w:val="24"/>
                  <w:szCs w:val="24"/>
                </w:rPr>
                <w:t>http://mptf.undp.org/factsheet/fund/LRF00</w:t>
              </w:r>
            </w:hyperlink>
            <w:r>
              <w:rPr>
                <w:rFonts w:ascii="Times New Roman" w:hAnsi="Times New Roman" w:cs="Times New Roman"/>
                <w:color w:val="000000"/>
                <w:sz w:val="24"/>
                <w:szCs w:val="24"/>
              </w:rPr>
              <w:t xml:space="preserve"> )</w:t>
            </w:r>
          </w:p>
        </w:tc>
      </w:tr>
      <w:tr w:rsidR="00802372" w:rsidRPr="00386B05" w:rsidTr="00802372">
        <w:tc>
          <w:tcPr>
            <w:tcW w:w="2088" w:type="dxa"/>
            <w:shd w:val="clear" w:color="auto" w:fill="D3DFEE"/>
          </w:tcPr>
          <w:p w:rsidR="00366BF8" w:rsidRDefault="00366BF8" w:rsidP="00A53597">
            <w:pPr>
              <w:spacing w:line="276" w:lineRule="auto"/>
              <w:rPr>
                <w:b/>
                <w:bCs/>
                <w:color w:val="000000"/>
              </w:rPr>
            </w:pPr>
          </w:p>
          <w:p w:rsidR="00366BF8" w:rsidRDefault="00366BF8" w:rsidP="00A53597">
            <w:pPr>
              <w:spacing w:line="276" w:lineRule="auto"/>
              <w:rPr>
                <w:b/>
                <w:bCs/>
                <w:color w:val="000000"/>
              </w:rPr>
            </w:pPr>
          </w:p>
          <w:p w:rsidR="000221C7" w:rsidRPr="00386B05" w:rsidRDefault="000221C7" w:rsidP="00A53597">
            <w:pPr>
              <w:spacing w:line="276" w:lineRule="auto"/>
              <w:rPr>
                <w:b/>
                <w:bCs/>
                <w:color w:val="000000"/>
              </w:rPr>
            </w:pPr>
            <w:r w:rsidRPr="00386B05">
              <w:rPr>
                <w:b/>
                <w:bCs/>
                <w:color w:val="000000"/>
              </w:rPr>
              <w:t>Revisions made in the outstanding projects - such as a no cost time extension, a budget re-evaluation or change in scope - will be effectively assessed and evaluated by the M&amp;E team. This will improve all decision making outcomes and will ensure compliance with the above revisions.</w:t>
            </w:r>
          </w:p>
          <w:p w:rsidR="000221C7" w:rsidRPr="00386B05" w:rsidRDefault="000221C7" w:rsidP="00FE53D0">
            <w:pPr>
              <w:spacing w:line="276" w:lineRule="auto"/>
              <w:ind w:left="720"/>
              <w:rPr>
                <w:b/>
                <w:bCs/>
                <w:color w:val="000000"/>
              </w:rPr>
            </w:pPr>
          </w:p>
        </w:tc>
        <w:tc>
          <w:tcPr>
            <w:tcW w:w="4230" w:type="dxa"/>
            <w:shd w:val="clear" w:color="auto" w:fill="D3DFEE"/>
          </w:tcPr>
          <w:p w:rsidR="000221C7" w:rsidRPr="00386B05" w:rsidRDefault="000221C7" w:rsidP="009D1301">
            <w:pPr>
              <w:pStyle w:val="ListParagraph"/>
              <w:numPr>
                <w:ilvl w:val="0"/>
                <w:numId w:val="13"/>
              </w:numPr>
              <w:spacing w:line="276" w:lineRule="auto"/>
              <w:contextualSpacing w:val="0"/>
              <w:jc w:val="both"/>
              <w:rPr>
                <w:color w:val="000000"/>
              </w:rPr>
            </w:pPr>
            <w:r w:rsidRPr="00386B05">
              <w:rPr>
                <w:color w:val="000000"/>
              </w:rPr>
              <w:t>Periodic site visits to assess the progress achieved.</w:t>
            </w:r>
          </w:p>
          <w:p w:rsidR="00533177" w:rsidRPr="00386B05" w:rsidRDefault="00533177" w:rsidP="00FE53D0">
            <w:pPr>
              <w:pStyle w:val="ListParagraph"/>
              <w:spacing w:line="276" w:lineRule="auto"/>
              <w:contextualSpacing w:val="0"/>
              <w:jc w:val="both"/>
              <w:rPr>
                <w:color w:val="000000"/>
              </w:rPr>
            </w:pPr>
          </w:p>
          <w:p w:rsidR="000221C7" w:rsidRDefault="000221C7" w:rsidP="009D1301">
            <w:pPr>
              <w:pStyle w:val="ListParagraph"/>
              <w:numPr>
                <w:ilvl w:val="0"/>
                <w:numId w:val="13"/>
              </w:numPr>
              <w:spacing w:line="276" w:lineRule="auto"/>
              <w:contextualSpacing w:val="0"/>
              <w:jc w:val="both"/>
              <w:rPr>
                <w:color w:val="000000"/>
              </w:rPr>
            </w:pPr>
            <w:r w:rsidRPr="00386B05">
              <w:rPr>
                <w:color w:val="000000"/>
              </w:rPr>
              <w:t xml:space="preserve">Periodic updates to the LRF PAG and SC on the progress achieved and the obstacles faced. </w:t>
            </w:r>
          </w:p>
          <w:p w:rsidR="006605B3" w:rsidRPr="00386B05" w:rsidRDefault="006605B3" w:rsidP="00FE53D0">
            <w:pPr>
              <w:pStyle w:val="ListParagraph"/>
              <w:spacing w:line="276" w:lineRule="auto"/>
              <w:contextualSpacing w:val="0"/>
              <w:jc w:val="both"/>
              <w:rPr>
                <w:color w:val="000000"/>
              </w:rPr>
            </w:pPr>
          </w:p>
          <w:p w:rsidR="00802372" w:rsidRDefault="00802372" w:rsidP="00802372">
            <w:pPr>
              <w:pStyle w:val="ListParagraph"/>
              <w:spacing w:line="276" w:lineRule="auto"/>
              <w:rPr>
                <w:color w:val="000000"/>
              </w:rPr>
            </w:pPr>
          </w:p>
          <w:p w:rsidR="00802372" w:rsidRPr="00802372" w:rsidRDefault="00802372" w:rsidP="009D1301">
            <w:pPr>
              <w:pStyle w:val="ListParagraph"/>
              <w:numPr>
                <w:ilvl w:val="0"/>
                <w:numId w:val="13"/>
              </w:numPr>
              <w:spacing w:line="276" w:lineRule="auto"/>
              <w:rPr>
                <w:color w:val="000000"/>
              </w:rPr>
            </w:pPr>
            <w:r w:rsidRPr="00802372">
              <w:rPr>
                <w:color w:val="000000"/>
              </w:rPr>
              <w:t xml:space="preserve">The M&amp;E is working in collaboration with the information unit at the RC office to </w:t>
            </w:r>
            <w:r>
              <w:rPr>
                <w:color w:val="000000"/>
              </w:rPr>
              <w:t>continuously update the LRF Webpage</w:t>
            </w:r>
          </w:p>
          <w:p w:rsidR="006605B3" w:rsidRPr="00386B05" w:rsidRDefault="006605B3" w:rsidP="00FE53D0">
            <w:pPr>
              <w:pStyle w:val="ListParagraph"/>
              <w:spacing w:line="276" w:lineRule="auto"/>
              <w:contextualSpacing w:val="0"/>
              <w:rPr>
                <w:color w:val="000000"/>
              </w:rPr>
            </w:pPr>
          </w:p>
          <w:p w:rsidR="000221C7" w:rsidRDefault="000221C7" w:rsidP="009D1301">
            <w:pPr>
              <w:pStyle w:val="ListParagraph"/>
              <w:numPr>
                <w:ilvl w:val="0"/>
                <w:numId w:val="13"/>
              </w:numPr>
              <w:spacing w:line="276" w:lineRule="auto"/>
              <w:contextualSpacing w:val="0"/>
              <w:jc w:val="both"/>
              <w:rPr>
                <w:color w:val="000000"/>
              </w:rPr>
            </w:pPr>
            <w:r w:rsidRPr="00386B05">
              <w:rPr>
                <w:color w:val="000000"/>
              </w:rPr>
              <w:t xml:space="preserve">Production of LRF Quarterly newsletter to disseminate the success achieved by the LRF projects. </w:t>
            </w:r>
          </w:p>
          <w:p w:rsidR="006605B3" w:rsidRPr="00386B05" w:rsidRDefault="006605B3" w:rsidP="00FE53D0">
            <w:pPr>
              <w:pStyle w:val="ListParagraph"/>
              <w:spacing w:line="276" w:lineRule="auto"/>
              <w:contextualSpacing w:val="0"/>
              <w:jc w:val="both"/>
              <w:rPr>
                <w:color w:val="000000"/>
              </w:rPr>
            </w:pPr>
          </w:p>
          <w:p w:rsidR="000221C7" w:rsidRPr="00386B05" w:rsidRDefault="000221C7" w:rsidP="009D1301">
            <w:pPr>
              <w:pStyle w:val="ListParagraph"/>
              <w:numPr>
                <w:ilvl w:val="0"/>
                <w:numId w:val="13"/>
              </w:numPr>
              <w:spacing w:line="276" w:lineRule="auto"/>
              <w:contextualSpacing w:val="0"/>
              <w:jc w:val="both"/>
              <w:rPr>
                <w:color w:val="000000"/>
              </w:rPr>
            </w:pPr>
            <w:r w:rsidRPr="00386B05">
              <w:rPr>
                <w:color w:val="000000"/>
              </w:rPr>
              <w:t>Attendance of the LRF projects’ events</w:t>
            </w:r>
          </w:p>
        </w:tc>
        <w:tc>
          <w:tcPr>
            <w:tcW w:w="4680" w:type="dxa"/>
            <w:shd w:val="clear" w:color="auto" w:fill="auto"/>
          </w:tcPr>
          <w:p w:rsidR="00533177" w:rsidRPr="00386B05" w:rsidRDefault="00124BF2"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0221C7" w:rsidRPr="00386B05">
              <w:rPr>
                <w:rFonts w:ascii="Times New Roman" w:hAnsi="Times New Roman" w:cs="Times New Roman"/>
                <w:color w:val="000000"/>
                <w:sz w:val="24"/>
                <w:szCs w:val="24"/>
              </w:rPr>
              <w:t>ebriefing meetings</w:t>
            </w:r>
          </w:p>
          <w:p w:rsidR="00222183" w:rsidRPr="00386B05" w:rsidRDefault="0022218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PAG and SC minutes of meeting</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802372">
            <w:pPr>
              <w:pStyle w:val="BodyText2"/>
              <w:spacing w:line="276" w:lineRule="auto"/>
              <w:rPr>
                <w:rFonts w:ascii="Times New Roman" w:hAnsi="Times New Roman" w:cs="Times New Roman"/>
                <w:color w:val="000000"/>
                <w:sz w:val="24"/>
                <w:szCs w:val="24"/>
              </w:rPr>
            </w:pPr>
          </w:p>
          <w:p w:rsidR="00802372" w:rsidRPr="00802372" w:rsidRDefault="004053AA" w:rsidP="00802372">
            <w:pPr>
              <w:pStyle w:val="BodyText2"/>
              <w:spacing w:line="276" w:lineRule="auto"/>
              <w:rPr>
                <w:rFonts w:ascii="Times New Roman" w:hAnsi="Times New Roman" w:cs="Times New Roman"/>
                <w:color w:val="000000"/>
                <w:sz w:val="24"/>
                <w:szCs w:val="24"/>
              </w:rPr>
            </w:pPr>
            <w:hyperlink r:id="rId16" w:history="1">
              <w:r w:rsidR="00802372" w:rsidRPr="00802372">
                <w:rPr>
                  <w:rStyle w:val="Hyperlink"/>
                  <w:rFonts w:ascii="Times New Roman" w:hAnsi="Times New Roman" w:cs="Times New Roman"/>
                  <w:sz w:val="24"/>
                  <w:szCs w:val="24"/>
                </w:rPr>
                <w:t>www.UN.org.lb</w:t>
              </w:r>
            </w:hyperlink>
            <w:r w:rsidR="00802372" w:rsidRPr="00802372">
              <w:rPr>
                <w:rFonts w:ascii="Times New Roman" w:hAnsi="Times New Roman" w:cs="Times New Roman"/>
                <w:color w:val="000000"/>
                <w:sz w:val="24"/>
                <w:szCs w:val="24"/>
              </w:rPr>
              <w:t xml:space="preserve"> </w:t>
            </w: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Newsletter produced and disseminated</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Events debriefing reports, minutes and press releases</w:t>
            </w:r>
          </w:p>
          <w:p w:rsidR="000221C7" w:rsidRPr="00386B05" w:rsidRDefault="000221C7" w:rsidP="00FE53D0">
            <w:pPr>
              <w:pStyle w:val="BodyText2"/>
              <w:spacing w:line="276" w:lineRule="auto"/>
              <w:rPr>
                <w:rFonts w:ascii="Times New Roman" w:hAnsi="Times New Roman" w:cs="Times New Roman"/>
                <w:color w:val="000000"/>
                <w:sz w:val="24"/>
                <w:szCs w:val="24"/>
              </w:rPr>
            </w:pPr>
          </w:p>
        </w:tc>
      </w:tr>
    </w:tbl>
    <w:p w:rsidR="00AC7FD3" w:rsidRPr="00386B05" w:rsidRDefault="00AC7FD3" w:rsidP="00CA38FE">
      <w:pPr>
        <w:pStyle w:val="BodyText"/>
        <w:tabs>
          <w:tab w:val="left" w:pos="360"/>
        </w:tabs>
        <w:ind w:left="720"/>
        <w:jc w:val="both"/>
        <w:rPr>
          <w:rFonts w:ascii="Times New Roman" w:hAnsi="Times New Roman" w:cs="Times New Roman"/>
          <w:sz w:val="24"/>
        </w:rPr>
      </w:pPr>
    </w:p>
    <w:p w:rsidR="00AC7FD3" w:rsidRPr="00386B05" w:rsidRDefault="00AC7FD3" w:rsidP="0036774E">
      <w:pPr>
        <w:pStyle w:val="BodyText"/>
        <w:jc w:val="both"/>
        <w:rPr>
          <w:rFonts w:ascii="Times New Roman" w:hAnsi="Times New Roman" w:cs="Times New Roman"/>
          <w:sz w:val="24"/>
        </w:rPr>
      </w:pPr>
    </w:p>
    <w:p w:rsidR="00145519" w:rsidRDefault="00145519">
      <w:pPr>
        <w:rPr>
          <w:szCs w:val="20"/>
        </w:rPr>
      </w:pPr>
      <w:r>
        <w:br w:type="page"/>
      </w:r>
    </w:p>
    <w:p w:rsidR="00145519" w:rsidRDefault="00145519" w:rsidP="00145519">
      <w:pPr>
        <w:spacing w:line="276" w:lineRule="auto"/>
        <w:ind w:left="720"/>
        <w:contextualSpacing/>
        <w:rPr>
          <w:b/>
          <w:bCs/>
          <w:color w:val="000000"/>
          <w:u w:val="single"/>
        </w:rPr>
      </w:pPr>
      <w:r w:rsidRPr="00386B05">
        <w:rPr>
          <w:b/>
          <w:bCs/>
          <w:color w:val="000000"/>
          <w:u w:val="single"/>
        </w:rPr>
        <w:lastRenderedPageBreak/>
        <w:t>Constraints:</w:t>
      </w:r>
    </w:p>
    <w:p w:rsidR="00145519" w:rsidRPr="00386B05" w:rsidRDefault="00145519" w:rsidP="00145519">
      <w:pPr>
        <w:spacing w:line="276" w:lineRule="auto"/>
        <w:ind w:left="720"/>
        <w:contextualSpacing/>
        <w:rPr>
          <w:b/>
          <w:bCs/>
          <w:color w:val="000000"/>
          <w:u w:val="single"/>
        </w:rPr>
      </w:pPr>
    </w:p>
    <w:p w:rsidR="00145519" w:rsidRPr="00386B05" w:rsidRDefault="00145519" w:rsidP="00145519">
      <w:pPr>
        <w:numPr>
          <w:ilvl w:val="0"/>
          <w:numId w:val="14"/>
        </w:numPr>
        <w:spacing w:line="276" w:lineRule="auto"/>
        <w:ind w:left="1440"/>
        <w:contextualSpacing/>
        <w:rPr>
          <w:color w:val="000000"/>
        </w:rPr>
      </w:pPr>
      <w:r>
        <w:rPr>
          <w:color w:val="000000"/>
        </w:rPr>
        <w:t>Administrative</w:t>
      </w:r>
      <w:r w:rsidRPr="00386B05">
        <w:rPr>
          <w:color w:val="000000"/>
        </w:rPr>
        <w:t xml:space="preserve"> procedures in the Ministries </w:t>
      </w:r>
      <w:r>
        <w:rPr>
          <w:color w:val="000000"/>
        </w:rPr>
        <w:t xml:space="preserve">and UN agencies </w:t>
      </w:r>
      <w:r w:rsidRPr="00386B05">
        <w:rPr>
          <w:color w:val="000000"/>
        </w:rPr>
        <w:t>resulted in delaying the approval</w:t>
      </w:r>
      <w:r>
        <w:rPr>
          <w:color w:val="000000"/>
        </w:rPr>
        <w:t xml:space="preserve"> and processing </w:t>
      </w:r>
      <w:r w:rsidRPr="00386B05">
        <w:rPr>
          <w:color w:val="000000"/>
        </w:rPr>
        <w:t xml:space="preserve">of </w:t>
      </w:r>
      <w:r>
        <w:rPr>
          <w:color w:val="000000"/>
        </w:rPr>
        <w:t>extension and transfer requests</w:t>
      </w:r>
      <w:r w:rsidRPr="00386B05">
        <w:rPr>
          <w:color w:val="000000"/>
        </w:rPr>
        <w:t>.</w:t>
      </w:r>
    </w:p>
    <w:p w:rsidR="00145519" w:rsidRPr="00386B05" w:rsidRDefault="00145519" w:rsidP="00145519">
      <w:pPr>
        <w:spacing w:line="276" w:lineRule="auto"/>
        <w:ind w:left="1440"/>
        <w:contextualSpacing/>
        <w:rPr>
          <w:color w:val="000000"/>
        </w:rPr>
      </w:pPr>
    </w:p>
    <w:p w:rsidR="00145519" w:rsidRPr="00386B05" w:rsidRDefault="00145519" w:rsidP="00145519">
      <w:pPr>
        <w:numPr>
          <w:ilvl w:val="0"/>
          <w:numId w:val="14"/>
        </w:numPr>
        <w:spacing w:line="276" w:lineRule="auto"/>
        <w:ind w:left="1440"/>
        <w:contextualSpacing/>
        <w:rPr>
          <w:color w:val="000000"/>
        </w:rPr>
      </w:pPr>
      <w:r w:rsidRPr="00386B05">
        <w:rPr>
          <w:color w:val="000000"/>
        </w:rPr>
        <w:t>The developing security situation in Lebanon that has resulted in limiting the access of the M&amp;E unit to certain sites</w:t>
      </w:r>
      <w:r>
        <w:rPr>
          <w:color w:val="000000"/>
        </w:rPr>
        <w:t>.</w:t>
      </w:r>
    </w:p>
    <w:p w:rsidR="00145519" w:rsidRPr="00386B05" w:rsidRDefault="00145519" w:rsidP="00145519">
      <w:pPr>
        <w:spacing w:line="276" w:lineRule="auto"/>
        <w:ind w:left="720"/>
        <w:contextualSpacing/>
        <w:rPr>
          <w:b/>
          <w:bCs/>
          <w:color w:val="000000"/>
          <w:u w:val="single"/>
        </w:rPr>
      </w:pPr>
    </w:p>
    <w:p w:rsidR="00145519" w:rsidRDefault="00145519" w:rsidP="00145519">
      <w:pPr>
        <w:spacing w:line="276" w:lineRule="auto"/>
        <w:ind w:left="720"/>
        <w:contextualSpacing/>
        <w:rPr>
          <w:b/>
          <w:bCs/>
          <w:color w:val="000000"/>
          <w:u w:val="single"/>
        </w:rPr>
      </w:pPr>
      <w:r w:rsidRPr="00386B05">
        <w:rPr>
          <w:b/>
          <w:bCs/>
          <w:color w:val="000000"/>
          <w:u w:val="single"/>
        </w:rPr>
        <w:t>Lessons Learned:</w:t>
      </w:r>
    </w:p>
    <w:p w:rsidR="00145519" w:rsidRPr="00386B05" w:rsidRDefault="00145519" w:rsidP="00145519">
      <w:pPr>
        <w:spacing w:line="276" w:lineRule="auto"/>
        <w:ind w:left="720"/>
        <w:contextualSpacing/>
        <w:rPr>
          <w:b/>
          <w:bCs/>
          <w:color w:val="000000"/>
          <w:u w:val="single"/>
        </w:rPr>
      </w:pP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To improve the quality of the LRF progress reports, the M&amp;E Unit is conducting individual meetings with the project/program managers to clarify the required info to be included in the progress reports in addition to the focus on the coordination terms between the implementing UN Agencies and the M&amp;E Unit vis-à-vis the visibility of the LRF .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Monthly reports were requested from the implementing UN Agencies to assess the progress made vis-à-vis the set work plans for projects receiving no-cost time extensions.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Participation in the LRF projects’ major events.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Close follow-up with the designated focal points of the MPTF, PAG and SC.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Meetings with the projects’ teams to assess the progress achieved and consider alternative work plans in light of the developing security situation in </w:t>
      </w:r>
      <w:r>
        <w:rPr>
          <w:color w:val="000000"/>
        </w:rPr>
        <w:t>the country</w:t>
      </w:r>
      <w:r w:rsidRPr="00386B05">
        <w:rPr>
          <w:color w:val="000000"/>
        </w:rPr>
        <w:t xml:space="preserve">. </w:t>
      </w:r>
    </w:p>
    <w:p w:rsidR="00C41F9C" w:rsidRPr="00386B05" w:rsidRDefault="00C41F9C" w:rsidP="00FA51FC">
      <w:pPr>
        <w:pStyle w:val="BodyText"/>
        <w:ind w:firstLine="360"/>
        <w:rPr>
          <w:rFonts w:ascii="Times New Roman" w:hAnsi="Times New Roman" w:cs="Times New Roman"/>
          <w:sz w:val="24"/>
        </w:rPr>
      </w:pPr>
    </w:p>
    <w:sectPr w:rsidR="00C41F9C" w:rsidRPr="00386B05" w:rsidSect="006F301D">
      <w:pgSz w:w="12240" w:h="15840" w:code="1"/>
      <w:pgMar w:top="806" w:right="806"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71" w:rsidRDefault="00535571">
      <w:r>
        <w:separator/>
      </w:r>
    </w:p>
  </w:endnote>
  <w:endnote w:type="continuationSeparator" w:id="0">
    <w:p w:rsidR="00535571" w:rsidRDefault="0053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sidR="00D65885">
      <w:rPr>
        <w:rFonts w:ascii="Arial" w:hAnsi="Arial" w:cs="Arial"/>
        <w:noProof/>
        <w:sz w:val="18"/>
        <w:szCs w:val="18"/>
      </w:rPr>
      <w:t>1</w:t>
    </w:r>
    <w:r w:rsidR="004053AA">
      <w:rPr>
        <w:rFonts w:ascii="Arial" w:hAnsi="Arial" w:cs="Arial"/>
        <w:sz w:val="18"/>
        <w:szCs w:val="18"/>
      </w:rPr>
      <w:fldChar w:fldCharType="end"/>
    </w:r>
    <w:r>
      <w:rPr>
        <w:rFonts w:ascii="Arial" w:hAnsi="Arial" w:cs="Arial"/>
        <w:sz w:val="18"/>
        <w:szCs w:val="18"/>
      </w:rPr>
      <w:t xml:space="preserve"> of </w:t>
    </w:r>
    <w:fldSimple w:instr=" NUMPAGES   \* MERGEFORMAT ">
      <w:r w:rsidR="00D65885" w:rsidRPr="00D65885">
        <w:rPr>
          <w:rFonts w:ascii="Arial" w:hAnsi="Arial" w:cs="Arial"/>
          <w:noProof/>
          <w:sz w:val="18"/>
          <w:szCs w:val="18"/>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Pr>
        <w:rFonts w:ascii="Arial" w:hAnsi="Arial" w:cs="Arial"/>
        <w:noProof/>
        <w:sz w:val="18"/>
        <w:szCs w:val="18"/>
      </w:rPr>
      <w:t>5</w:t>
    </w:r>
    <w:r w:rsidR="004053AA">
      <w:rPr>
        <w:rFonts w:ascii="Arial" w:hAnsi="Arial" w:cs="Arial"/>
        <w:sz w:val="18"/>
        <w:szCs w:val="18"/>
      </w:rPr>
      <w:fldChar w:fldCharType="end"/>
    </w:r>
    <w:r>
      <w:rPr>
        <w:rFonts w:ascii="Arial" w:hAnsi="Arial" w:cs="Arial"/>
        <w:sz w:val="18"/>
        <w:szCs w:val="18"/>
      </w:rPr>
      <w:t xml:space="preserve"> of </w:t>
    </w:r>
    <w:fldSimple w:instr=" NUMPAGES   \* MERGEFORMAT ">
      <w:r w:rsidR="00EC53DC" w:rsidRPr="00EC53DC">
        <w:rPr>
          <w:rFonts w:ascii="Arial" w:hAnsi="Arial" w:cs="Arial"/>
          <w:noProof/>
          <w:sz w:val="18"/>
          <w:szCs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71" w:rsidRDefault="00535571">
      <w:r>
        <w:separator/>
      </w:r>
    </w:p>
  </w:footnote>
  <w:footnote w:type="continuationSeparator" w:id="0">
    <w:p w:rsidR="00535571" w:rsidRDefault="00535571">
      <w:r>
        <w:continuationSeparator/>
      </w:r>
    </w:p>
  </w:footnote>
  <w:footnote w:id="1">
    <w:p w:rsidR="00875706" w:rsidRPr="00F83DC8" w:rsidRDefault="00875706"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875706" w:rsidRDefault="00875706"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as  “Project ID” on </w:t>
      </w:r>
      <w:r w:rsidR="00353CD0">
        <w:t xml:space="preserve">the project’s factsheet page </w:t>
      </w:r>
      <w:r>
        <w:t xml:space="preserve">the </w:t>
      </w:r>
      <w:hyperlink r:id="rId1" w:history="1">
        <w:r w:rsidRPr="00F80443">
          <w:rPr>
            <w:rStyle w:val="Hyperlink"/>
          </w:rPr>
          <w:t>MPTF Office GATEWAY</w:t>
        </w:r>
      </w:hyperlink>
    </w:p>
  </w:footnote>
  <w:footnote w:id="4">
    <w:p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875706" w:rsidRDefault="00875706" w:rsidP="00875706">
      <w:pPr>
        <w:pStyle w:val="FootnoteText"/>
      </w:pPr>
      <w:r>
        <w:rPr>
          <w:rStyle w:val="FootnoteReference"/>
        </w:rPr>
        <w:footnoteRef/>
      </w:r>
      <w:r>
        <w:t xml:space="preserve"> As per approval of the original project document by the relevant decision-making body/Steering Committee.</w:t>
      </w:r>
    </w:p>
  </w:footnote>
  <w:footnote w:id="7">
    <w:p w:rsidR="00875706" w:rsidRDefault="00875706"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w:t>
      </w:r>
      <w:r w:rsidR="00353CD0">
        <w:t>T</w:t>
      </w:r>
      <w:r>
        <w:t xml:space="preserve">he end date is the same as the operational closure date which is when all activities for which a Participating Organization is responsible under an approved MPTF / JP have been completed. </w:t>
      </w:r>
      <w:r w:rsidR="001114B2">
        <w:t>As per the MOU, a</w:t>
      </w:r>
      <w:r>
        <w:t xml:space="preserve">gencies </w:t>
      </w:r>
      <w:r w:rsidR="001114B2">
        <w:t xml:space="preserve">are </w:t>
      </w:r>
      <w:r>
        <w:t xml:space="preserve">to notify the MPTF Office when a programme completes its operational activities.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5pt;height:4.5pt" o:bullet="t">
        <v:imagedata r:id="rId1" o:title="bullet"/>
      </v:shape>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numPicBullet w:numPicBulletId="6">
    <w:pict>
      <v:shape id="_x0000_i1122" type="#_x0000_t75" style="width:3in;height:3in" o:bullet="t"/>
    </w:pict>
  </w:numPicBullet>
  <w:numPicBullet w:numPicBulletId="7">
    <w:pict>
      <v:shape id="_x0000_i1123" type="#_x0000_t75" style="width:3in;height:3in" o:bullet="t"/>
    </w:pict>
  </w:numPicBullet>
  <w:numPicBullet w:numPicBulletId="8">
    <w:pict>
      <v:shape id="_x0000_i1124" type="#_x0000_t75" style="width:3in;height:3in" o:bullet="t"/>
    </w:pict>
  </w:numPicBullet>
  <w:numPicBullet w:numPicBulletId="9">
    <w:pict>
      <v:shape id="_x0000_i1125" type="#_x0000_t75" style="width:3in;height:3in" o:bullet="t"/>
    </w:pict>
  </w:numPicBullet>
  <w:numPicBullet w:numPicBulletId="10">
    <w:pict>
      <v:shape id="_x0000_i1126" type="#_x0000_t75" style="width:3in;height:3in" o:bullet="t"/>
    </w:pict>
  </w:numPicBullet>
  <w:numPicBullet w:numPicBulletId="11">
    <w:pict>
      <v:shape id="_x0000_i1127" type="#_x0000_t75" style="width:3in;height:3in" o:bullet="t"/>
    </w:pict>
  </w:numPicBullet>
  <w:numPicBullet w:numPicBulletId="12">
    <w:pict>
      <v:shape id="_x0000_i1128" type="#_x0000_t75" style="width:3in;height:3in" o:bullet="t"/>
    </w:pict>
  </w:numPicBullet>
  <w:numPicBullet w:numPicBulletId="13">
    <w:pict>
      <v:shape id="_x0000_i1129" type="#_x0000_t75" style="width:3in;height:3in" o:bullet="t"/>
    </w:pict>
  </w:numPicBullet>
  <w:numPicBullet w:numPicBulletId="14">
    <w:pict>
      <v:shape id="_x0000_i1130" type="#_x0000_t75" style="width:3in;height:3in" o:bullet="t"/>
    </w:pict>
  </w:numPicBullet>
  <w:abstractNum w:abstractNumId="0">
    <w:nsid w:val="001128D9"/>
    <w:multiLevelType w:val="hybridMultilevel"/>
    <w:tmpl w:val="966059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nsid w:val="11F45FD2"/>
    <w:multiLevelType w:val="hybridMultilevel"/>
    <w:tmpl w:val="793A3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33868"/>
    <w:multiLevelType w:val="hybridMultilevel"/>
    <w:tmpl w:val="56187224"/>
    <w:lvl w:ilvl="0" w:tplc="04090001">
      <w:start w:val="1"/>
      <w:numFmt w:val="bullet"/>
      <w:lvlText w:val=""/>
      <w:lvlJc w:val="left"/>
      <w:pPr>
        <w:ind w:left="720" w:hanging="360"/>
      </w:pPr>
      <w:rPr>
        <w:rFonts w:ascii="Symbol" w:hAnsi="Symbol" w:hint="default"/>
      </w:rPr>
    </w:lvl>
    <w:lvl w:ilvl="1" w:tplc="6D92EF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B5B02"/>
    <w:multiLevelType w:val="hybridMultilevel"/>
    <w:tmpl w:val="4BA4218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21C5B"/>
    <w:multiLevelType w:val="hybridMultilevel"/>
    <w:tmpl w:val="77962EC6"/>
    <w:lvl w:ilvl="0" w:tplc="499EC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01FFC"/>
    <w:multiLevelType w:val="multilevel"/>
    <w:tmpl w:val="759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92964"/>
    <w:multiLevelType w:val="hybridMultilevel"/>
    <w:tmpl w:val="442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350EC"/>
    <w:multiLevelType w:val="hybridMultilevel"/>
    <w:tmpl w:val="F45CEE3A"/>
    <w:lvl w:ilvl="0" w:tplc="CF9C08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234FF"/>
    <w:multiLevelType w:val="hybridMultilevel"/>
    <w:tmpl w:val="BDA02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34BD4"/>
    <w:multiLevelType w:val="hybridMultilevel"/>
    <w:tmpl w:val="C86A3E72"/>
    <w:lvl w:ilvl="0" w:tplc="0409000F">
      <w:start w:val="1"/>
      <w:numFmt w:val="decimal"/>
      <w:lvlText w:val="%1."/>
      <w:lvlJc w:val="left"/>
      <w:pPr>
        <w:ind w:left="720" w:hanging="360"/>
      </w:pPr>
      <w:rPr>
        <w:rFonts w:hint="default"/>
      </w:rPr>
    </w:lvl>
    <w:lvl w:ilvl="1" w:tplc="0568CA1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1070A"/>
    <w:multiLevelType w:val="multilevel"/>
    <w:tmpl w:val="61B8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55044"/>
    <w:multiLevelType w:val="hybridMultilevel"/>
    <w:tmpl w:val="D5E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044A9"/>
    <w:multiLevelType w:val="hybridMultilevel"/>
    <w:tmpl w:val="4C7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8"/>
  </w:num>
  <w:num w:numId="5">
    <w:abstractNumId w:val="5"/>
  </w:num>
  <w:num w:numId="6">
    <w:abstractNumId w:val="8"/>
  </w:num>
  <w:num w:numId="7">
    <w:abstractNumId w:val="3"/>
  </w:num>
  <w:num w:numId="8">
    <w:abstractNumId w:val="17"/>
  </w:num>
  <w:num w:numId="9">
    <w:abstractNumId w:val="0"/>
  </w:num>
  <w:num w:numId="10">
    <w:abstractNumId w:val="13"/>
  </w:num>
  <w:num w:numId="11">
    <w:abstractNumId w:val="4"/>
  </w:num>
  <w:num w:numId="12">
    <w:abstractNumId w:val="15"/>
  </w:num>
  <w:num w:numId="13">
    <w:abstractNumId w:val="10"/>
  </w:num>
  <w:num w:numId="14">
    <w:abstractNumId w:val="6"/>
  </w:num>
  <w:num w:numId="15">
    <w:abstractNumId w:val="11"/>
  </w:num>
  <w:num w:numId="16">
    <w:abstractNumId w:val="12"/>
  </w:num>
  <w:num w:numId="17">
    <w:abstractNumId w:val="14"/>
  </w:num>
  <w:num w:numId="18">
    <w:abstractNumId w:val="9"/>
  </w:num>
  <w:num w:numId="19">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34CC"/>
    <w:rsid w:val="00015168"/>
    <w:rsid w:val="00016418"/>
    <w:rsid w:val="000221C7"/>
    <w:rsid w:val="00023183"/>
    <w:rsid w:val="00023835"/>
    <w:rsid w:val="00024F9B"/>
    <w:rsid w:val="000308D4"/>
    <w:rsid w:val="00031DC9"/>
    <w:rsid w:val="00041CB5"/>
    <w:rsid w:val="00043245"/>
    <w:rsid w:val="00050FA9"/>
    <w:rsid w:val="00052FF4"/>
    <w:rsid w:val="00064352"/>
    <w:rsid w:val="00066978"/>
    <w:rsid w:val="000803A0"/>
    <w:rsid w:val="00085C04"/>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5D2"/>
    <w:rsid w:val="000D498F"/>
    <w:rsid w:val="000D6D9C"/>
    <w:rsid w:val="000F23F3"/>
    <w:rsid w:val="000F65A4"/>
    <w:rsid w:val="00105897"/>
    <w:rsid w:val="00106A96"/>
    <w:rsid w:val="00107760"/>
    <w:rsid w:val="001114B2"/>
    <w:rsid w:val="0011469D"/>
    <w:rsid w:val="00114C7D"/>
    <w:rsid w:val="0011574D"/>
    <w:rsid w:val="0011699C"/>
    <w:rsid w:val="00122622"/>
    <w:rsid w:val="0012303A"/>
    <w:rsid w:val="00123EC0"/>
    <w:rsid w:val="00124B56"/>
    <w:rsid w:val="00124BF2"/>
    <w:rsid w:val="00124FA6"/>
    <w:rsid w:val="00126292"/>
    <w:rsid w:val="00132552"/>
    <w:rsid w:val="0013530A"/>
    <w:rsid w:val="0013612C"/>
    <w:rsid w:val="00136A69"/>
    <w:rsid w:val="00144ED5"/>
    <w:rsid w:val="0014549D"/>
    <w:rsid w:val="00145519"/>
    <w:rsid w:val="00145891"/>
    <w:rsid w:val="0015472D"/>
    <w:rsid w:val="0015763B"/>
    <w:rsid w:val="001602DF"/>
    <w:rsid w:val="00160579"/>
    <w:rsid w:val="001649DC"/>
    <w:rsid w:val="00165038"/>
    <w:rsid w:val="00170DD0"/>
    <w:rsid w:val="00171470"/>
    <w:rsid w:val="001737DA"/>
    <w:rsid w:val="001767EF"/>
    <w:rsid w:val="001854AB"/>
    <w:rsid w:val="00187F19"/>
    <w:rsid w:val="00193B41"/>
    <w:rsid w:val="001957DC"/>
    <w:rsid w:val="00197C6B"/>
    <w:rsid w:val="001A2C73"/>
    <w:rsid w:val="001A5801"/>
    <w:rsid w:val="001A6C5F"/>
    <w:rsid w:val="001C13AD"/>
    <w:rsid w:val="001C1E68"/>
    <w:rsid w:val="001C209F"/>
    <w:rsid w:val="001D242B"/>
    <w:rsid w:val="001D4CA5"/>
    <w:rsid w:val="001D4F94"/>
    <w:rsid w:val="001D757B"/>
    <w:rsid w:val="001E0681"/>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66C6"/>
    <w:rsid w:val="002179BB"/>
    <w:rsid w:val="00220D29"/>
    <w:rsid w:val="00222183"/>
    <w:rsid w:val="00233E28"/>
    <w:rsid w:val="0023529C"/>
    <w:rsid w:val="00241DAA"/>
    <w:rsid w:val="00243F99"/>
    <w:rsid w:val="002456F9"/>
    <w:rsid w:val="00251130"/>
    <w:rsid w:val="00255B0E"/>
    <w:rsid w:val="0025606E"/>
    <w:rsid w:val="00260F18"/>
    <w:rsid w:val="002637DC"/>
    <w:rsid w:val="0027001F"/>
    <w:rsid w:val="00270043"/>
    <w:rsid w:val="00274F02"/>
    <w:rsid w:val="00275A4A"/>
    <w:rsid w:val="002801C6"/>
    <w:rsid w:val="002805D4"/>
    <w:rsid w:val="00280FB9"/>
    <w:rsid w:val="00284411"/>
    <w:rsid w:val="00285140"/>
    <w:rsid w:val="00287714"/>
    <w:rsid w:val="002A02A4"/>
    <w:rsid w:val="002A3031"/>
    <w:rsid w:val="002A340B"/>
    <w:rsid w:val="002A5950"/>
    <w:rsid w:val="002A6952"/>
    <w:rsid w:val="002A7665"/>
    <w:rsid w:val="002B14C9"/>
    <w:rsid w:val="002B2B6B"/>
    <w:rsid w:val="002C126A"/>
    <w:rsid w:val="002C4A03"/>
    <w:rsid w:val="002C690B"/>
    <w:rsid w:val="002C6E2F"/>
    <w:rsid w:val="002C7713"/>
    <w:rsid w:val="002D5C59"/>
    <w:rsid w:val="002E2270"/>
    <w:rsid w:val="002E50CF"/>
    <w:rsid w:val="002E77D1"/>
    <w:rsid w:val="002F1156"/>
    <w:rsid w:val="002F27FB"/>
    <w:rsid w:val="002F3EFE"/>
    <w:rsid w:val="002F5953"/>
    <w:rsid w:val="002F5B85"/>
    <w:rsid w:val="0030509D"/>
    <w:rsid w:val="00310168"/>
    <w:rsid w:val="00310C19"/>
    <w:rsid w:val="00312685"/>
    <w:rsid w:val="00314A5F"/>
    <w:rsid w:val="003164EF"/>
    <w:rsid w:val="00320895"/>
    <w:rsid w:val="00330077"/>
    <w:rsid w:val="0033662C"/>
    <w:rsid w:val="003369D5"/>
    <w:rsid w:val="0034386B"/>
    <w:rsid w:val="00346939"/>
    <w:rsid w:val="00346CB7"/>
    <w:rsid w:val="00346FFE"/>
    <w:rsid w:val="00351A14"/>
    <w:rsid w:val="00353CD0"/>
    <w:rsid w:val="00356D08"/>
    <w:rsid w:val="00360255"/>
    <w:rsid w:val="00360431"/>
    <w:rsid w:val="00360501"/>
    <w:rsid w:val="00360945"/>
    <w:rsid w:val="00366BF8"/>
    <w:rsid w:val="0036774E"/>
    <w:rsid w:val="00375FFA"/>
    <w:rsid w:val="003806B4"/>
    <w:rsid w:val="003815EF"/>
    <w:rsid w:val="00382573"/>
    <w:rsid w:val="00386B05"/>
    <w:rsid w:val="003879DF"/>
    <w:rsid w:val="00390F98"/>
    <w:rsid w:val="00396D76"/>
    <w:rsid w:val="003A1AF5"/>
    <w:rsid w:val="003A77A2"/>
    <w:rsid w:val="003B0303"/>
    <w:rsid w:val="003B1DFF"/>
    <w:rsid w:val="003B454A"/>
    <w:rsid w:val="003C1A52"/>
    <w:rsid w:val="003C3941"/>
    <w:rsid w:val="003C3FC0"/>
    <w:rsid w:val="003C4D74"/>
    <w:rsid w:val="003C592F"/>
    <w:rsid w:val="003D13A8"/>
    <w:rsid w:val="003D210A"/>
    <w:rsid w:val="003D2385"/>
    <w:rsid w:val="003D3325"/>
    <w:rsid w:val="003D4331"/>
    <w:rsid w:val="003E51E4"/>
    <w:rsid w:val="003E62C0"/>
    <w:rsid w:val="003F446E"/>
    <w:rsid w:val="003F480D"/>
    <w:rsid w:val="003F5497"/>
    <w:rsid w:val="003F6918"/>
    <w:rsid w:val="003F6ABC"/>
    <w:rsid w:val="004053AA"/>
    <w:rsid w:val="00405A55"/>
    <w:rsid w:val="0041185F"/>
    <w:rsid w:val="004160BF"/>
    <w:rsid w:val="00417B11"/>
    <w:rsid w:val="00422D8B"/>
    <w:rsid w:val="00423E99"/>
    <w:rsid w:val="00427179"/>
    <w:rsid w:val="00432267"/>
    <w:rsid w:val="00435C09"/>
    <w:rsid w:val="00442C6B"/>
    <w:rsid w:val="00442F4C"/>
    <w:rsid w:val="0044405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3562"/>
    <w:rsid w:val="004863CF"/>
    <w:rsid w:val="00490F0E"/>
    <w:rsid w:val="0049327D"/>
    <w:rsid w:val="004A0A50"/>
    <w:rsid w:val="004A3824"/>
    <w:rsid w:val="004B3940"/>
    <w:rsid w:val="004B5AAB"/>
    <w:rsid w:val="004B7A2F"/>
    <w:rsid w:val="004C62BF"/>
    <w:rsid w:val="004C6C3B"/>
    <w:rsid w:val="004D1571"/>
    <w:rsid w:val="004D52B0"/>
    <w:rsid w:val="004E14C5"/>
    <w:rsid w:val="004E4B51"/>
    <w:rsid w:val="004E7392"/>
    <w:rsid w:val="004F5F38"/>
    <w:rsid w:val="004F6B31"/>
    <w:rsid w:val="004F71AC"/>
    <w:rsid w:val="005014CA"/>
    <w:rsid w:val="00510055"/>
    <w:rsid w:val="00510D98"/>
    <w:rsid w:val="00521F30"/>
    <w:rsid w:val="005223E2"/>
    <w:rsid w:val="0052663C"/>
    <w:rsid w:val="005268DC"/>
    <w:rsid w:val="0052760B"/>
    <w:rsid w:val="00532A92"/>
    <w:rsid w:val="00533177"/>
    <w:rsid w:val="0053545E"/>
    <w:rsid w:val="00535571"/>
    <w:rsid w:val="00537107"/>
    <w:rsid w:val="00537CAD"/>
    <w:rsid w:val="00540142"/>
    <w:rsid w:val="00540389"/>
    <w:rsid w:val="005473D7"/>
    <w:rsid w:val="00555A12"/>
    <w:rsid w:val="005578E7"/>
    <w:rsid w:val="00564BBD"/>
    <w:rsid w:val="00573DAD"/>
    <w:rsid w:val="00581F54"/>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A20"/>
    <w:rsid w:val="005D5D53"/>
    <w:rsid w:val="005D746B"/>
    <w:rsid w:val="005E4EDD"/>
    <w:rsid w:val="005F0467"/>
    <w:rsid w:val="006002EE"/>
    <w:rsid w:val="00601E0F"/>
    <w:rsid w:val="006020B1"/>
    <w:rsid w:val="006045B8"/>
    <w:rsid w:val="006053F9"/>
    <w:rsid w:val="006117B9"/>
    <w:rsid w:val="00615E8B"/>
    <w:rsid w:val="00617CFC"/>
    <w:rsid w:val="00620475"/>
    <w:rsid w:val="00636936"/>
    <w:rsid w:val="00641437"/>
    <w:rsid w:val="006447B1"/>
    <w:rsid w:val="00645E3A"/>
    <w:rsid w:val="00650E20"/>
    <w:rsid w:val="0065590C"/>
    <w:rsid w:val="00655D27"/>
    <w:rsid w:val="00656759"/>
    <w:rsid w:val="006602F1"/>
    <w:rsid w:val="006605B3"/>
    <w:rsid w:val="006620B7"/>
    <w:rsid w:val="00673516"/>
    <w:rsid w:val="00675934"/>
    <w:rsid w:val="0068496F"/>
    <w:rsid w:val="00685ABC"/>
    <w:rsid w:val="00693899"/>
    <w:rsid w:val="006A1378"/>
    <w:rsid w:val="006A58E8"/>
    <w:rsid w:val="006B42EB"/>
    <w:rsid w:val="006B7288"/>
    <w:rsid w:val="006C5D14"/>
    <w:rsid w:val="006D3D21"/>
    <w:rsid w:val="006E3927"/>
    <w:rsid w:val="006F0970"/>
    <w:rsid w:val="006F1D4C"/>
    <w:rsid w:val="006F301D"/>
    <w:rsid w:val="006F4639"/>
    <w:rsid w:val="006F4E81"/>
    <w:rsid w:val="006F7271"/>
    <w:rsid w:val="006F7F98"/>
    <w:rsid w:val="007029B0"/>
    <w:rsid w:val="0070378C"/>
    <w:rsid w:val="007041E5"/>
    <w:rsid w:val="0070460B"/>
    <w:rsid w:val="0070583F"/>
    <w:rsid w:val="0070645E"/>
    <w:rsid w:val="0071347B"/>
    <w:rsid w:val="0071507D"/>
    <w:rsid w:val="00717598"/>
    <w:rsid w:val="00717C7A"/>
    <w:rsid w:val="00725252"/>
    <w:rsid w:val="00730077"/>
    <w:rsid w:val="00733BB2"/>
    <w:rsid w:val="007416AC"/>
    <w:rsid w:val="00744618"/>
    <w:rsid w:val="00744903"/>
    <w:rsid w:val="00747763"/>
    <w:rsid w:val="007501B3"/>
    <w:rsid w:val="00751E22"/>
    <w:rsid w:val="00756E90"/>
    <w:rsid w:val="00760206"/>
    <w:rsid w:val="007626D9"/>
    <w:rsid w:val="00764769"/>
    <w:rsid w:val="00766AF4"/>
    <w:rsid w:val="00766B02"/>
    <w:rsid w:val="00771F7F"/>
    <w:rsid w:val="007723A7"/>
    <w:rsid w:val="0077310A"/>
    <w:rsid w:val="00782335"/>
    <w:rsid w:val="007B641A"/>
    <w:rsid w:val="007C14A5"/>
    <w:rsid w:val="007D144D"/>
    <w:rsid w:val="007D37BA"/>
    <w:rsid w:val="007D7136"/>
    <w:rsid w:val="007D76F9"/>
    <w:rsid w:val="007E464F"/>
    <w:rsid w:val="007E4FE2"/>
    <w:rsid w:val="007F1E32"/>
    <w:rsid w:val="007F5010"/>
    <w:rsid w:val="007F62DA"/>
    <w:rsid w:val="00802372"/>
    <w:rsid w:val="0080284B"/>
    <w:rsid w:val="00811DC6"/>
    <w:rsid w:val="00813AC1"/>
    <w:rsid w:val="00814B1B"/>
    <w:rsid w:val="0082670A"/>
    <w:rsid w:val="00826E75"/>
    <w:rsid w:val="00832740"/>
    <w:rsid w:val="0084010D"/>
    <w:rsid w:val="00843477"/>
    <w:rsid w:val="00847324"/>
    <w:rsid w:val="00850A62"/>
    <w:rsid w:val="008552F1"/>
    <w:rsid w:val="00857CFA"/>
    <w:rsid w:val="00861840"/>
    <w:rsid w:val="00862256"/>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95D"/>
    <w:rsid w:val="008B609E"/>
    <w:rsid w:val="008C1C25"/>
    <w:rsid w:val="008C224A"/>
    <w:rsid w:val="008C3A05"/>
    <w:rsid w:val="008C479C"/>
    <w:rsid w:val="008C493E"/>
    <w:rsid w:val="008C7B0B"/>
    <w:rsid w:val="008D05CD"/>
    <w:rsid w:val="008D4242"/>
    <w:rsid w:val="008D49CD"/>
    <w:rsid w:val="008D685F"/>
    <w:rsid w:val="008D7138"/>
    <w:rsid w:val="008D76B2"/>
    <w:rsid w:val="008E0959"/>
    <w:rsid w:val="008E5B7B"/>
    <w:rsid w:val="008E5BE7"/>
    <w:rsid w:val="008E650C"/>
    <w:rsid w:val="008F12AC"/>
    <w:rsid w:val="008F2AC2"/>
    <w:rsid w:val="008F2BCF"/>
    <w:rsid w:val="00903ED8"/>
    <w:rsid w:val="00906395"/>
    <w:rsid w:val="00910018"/>
    <w:rsid w:val="00916967"/>
    <w:rsid w:val="0092093C"/>
    <w:rsid w:val="00925EE6"/>
    <w:rsid w:val="009261CF"/>
    <w:rsid w:val="009329A4"/>
    <w:rsid w:val="00937093"/>
    <w:rsid w:val="00942A18"/>
    <w:rsid w:val="00953BFD"/>
    <w:rsid w:val="00954264"/>
    <w:rsid w:val="00954AD0"/>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96478"/>
    <w:rsid w:val="009A0A75"/>
    <w:rsid w:val="009B286A"/>
    <w:rsid w:val="009B3EC0"/>
    <w:rsid w:val="009C05C5"/>
    <w:rsid w:val="009C1C57"/>
    <w:rsid w:val="009C2AFF"/>
    <w:rsid w:val="009C5C27"/>
    <w:rsid w:val="009C7423"/>
    <w:rsid w:val="009D0955"/>
    <w:rsid w:val="009D1301"/>
    <w:rsid w:val="009D4FB1"/>
    <w:rsid w:val="009D5D55"/>
    <w:rsid w:val="009E1FDA"/>
    <w:rsid w:val="009E3952"/>
    <w:rsid w:val="009E7B3D"/>
    <w:rsid w:val="009F043F"/>
    <w:rsid w:val="009F3E07"/>
    <w:rsid w:val="009F5AF1"/>
    <w:rsid w:val="009F649C"/>
    <w:rsid w:val="009F7506"/>
    <w:rsid w:val="00A013D7"/>
    <w:rsid w:val="00A026AF"/>
    <w:rsid w:val="00A03233"/>
    <w:rsid w:val="00A06DA5"/>
    <w:rsid w:val="00A17B13"/>
    <w:rsid w:val="00A23616"/>
    <w:rsid w:val="00A24408"/>
    <w:rsid w:val="00A2458B"/>
    <w:rsid w:val="00A2667B"/>
    <w:rsid w:val="00A310A3"/>
    <w:rsid w:val="00A32FDA"/>
    <w:rsid w:val="00A33A02"/>
    <w:rsid w:val="00A359B9"/>
    <w:rsid w:val="00A42164"/>
    <w:rsid w:val="00A46E8F"/>
    <w:rsid w:val="00A53597"/>
    <w:rsid w:val="00A61216"/>
    <w:rsid w:val="00A65EFC"/>
    <w:rsid w:val="00A7197E"/>
    <w:rsid w:val="00A734CD"/>
    <w:rsid w:val="00A81AC4"/>
    <w:rsid w:val="00A81EEB"/>
    <w:rsid w:val="00A81EFE"/>
    <w:rsid w:val="00A82D0D"/>
    <w:rsid w:val="00A90528"/>
    <w:rsid w:val="00A9121A"/>
    <w:rsid w:val="00A91552"/>
    <w:rsid w:val="00A91A74"/>
    <w:rsid w:val="00A93049"/>
    <w:rsid w:val="00A96288"/>
    <w:rsid w:val="00AA4D9C"/>
    <w:rsid w:val="00AA51B2"/>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F6B"/>
    <w:rsid w:val="00AE3237"/>
    <w:rsid w:val="00AE3459"/>
    <w:rsid w:val="00AE4A17"/>
    <w:rsid w:val="00AF6095"/>
    <w:rsid w:val="00AF7B8F"/>
    <w:rsid w:val="00B03D46"/>
    <w:rsid w:val="00B11C4C"/>
    <w:rsid w:val="00B21C60"/>
    <w:rsid w:val="00B24CE1"/>
    <w:rsid w:val="00B26E7E"/>
    <w:rsid w:val="00B27172"/>
    <w:rsid w:val="00B30E23"/>
    <w:rsid w:val="00B36B8A"/>
    <w:rsid w:val="00B447C7"/>
    <w:rsid w:val="00B460A1"/>
    <w:rsid w:val="00B50BD2"/>
    <w:rsid w:val="00B516E4"/>
    <w:rsid w:val="00B54645"/>
    <w:rsid w:val="00B54704"/>
    <w:rsid w:val="00B67EEC"/>
    <w:rsid w:val="00B72C73"/>
    <w:rsid w:val="00B72F0B"/>
    <w:rsid w:val="00B734EC"/>
    <w:rsid w:val="00B7777C"/>
    <w:rsid w:val="00B77D38"/>
    <w:rsid w:val="00B84453"/>
    <w:rsid w:val="00B84BA4"/>
    <w:rsid w:val="00B912E2"/>
    <w:rsid w:val="00B97FBF"/>
    <w:rsid w:val="00BA3272"/>
    <w:rsid w:val="00BA3663"/>
    <w:rsid w:val="00BA5995"/>
    <w:rsid w:val="00BB0A3A"/>
    <w:rsid w:val="00BB0C79"/>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533A"/>
    <w:rsid w:val="00C26EC4"/>
    <w:rsid w:val="00C27FB4"/>
    <w:rsid w:val="00C30493"/>
    <w:rsid w:val="00C37214"/>
    <w:rsid w:val="00C416C0"/>
    <w:rsid w:val="00C41F9C"/>
    <w:rsid w:val="00C54B7D"/>
    <w:rsid w:val="00C557E8"/>
    <w:rsid w:val="00C5660F"/>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60A"/>
    <w:rsid w:val="00CC6E5F"/>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679"/>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369A"/>
    <w:rsid w:val="00D65885"/>
    <w:rsid w:val="00D658DF"/>
    <w:rsid w:val="00D72043"/>
    <w:rsid w:val="00D72415"/>
    <w:rsid w:val="00D72A60"/>
    <w:rsid w:val="00D7553F"/>
    <w:rsid w:val="00D86A12"/>
    <w:rsid w:val="00D9058B"/>
    <w:rsid w:val="00D92A87"/>
    <w:rsid w:val="00D94E6E"/>
    <w:rsid w:val="00D9756B"/>
    <w:rsid w:val="00DA3DCF"/>
    <w:rsid w:val="00DA6B4A"/>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F4"/>
    <w:rsid w:val="00DE6E89"/>
    <w:rsid w:val="00DF1FC2"/>
    <w:rsid w:val="00DF4C99"/>
    <w:rsid w:val="00E10174"/>
    <w:rsid w:val="00E17AB2"/>
    <w:rsid w:val="00E20C3E"/>
    <w:rsid w:val="00E24DE1"/>
    <w:rsid w:val="00E30984"/>
    <w:rsid w:val="00E314D3"/>
    <w:rsid w:val="00E35E16"/>
    <w:rsid w:val="00E364B9"/>
    <w:rsid w:val="00E40EFE"/>
    <w:rsid w:val="00E43310"/>
    <w:rsid w:val="00E52100"/>
    <w:rsid w:val="00E527F5"/>
    <w:rsid w:val="00E571C3"/>
    <w:rsid w:val="00E626BD"/>
    <w:rsid w:val="00E64927"/>
    <w:rsid w:val="00E7048D"/>
    <w:rsid w:val="00E72340"/>
    <w:rsid w:val="00E8097F"/>
    <w:rsid w:val="00EA3B64"/>
    <w:rsid w:val="00EA4366"/>
    <w:rsid w:val="00EA5797"/>
    <w:rsid w:val="00EA795A"/>
    <w:rsid w:val="00EB1471"/>
    <w:rsid w:val="00EB1A36"/>
    <w:rsid w:val="00EB42D7"/>
    <w:rsid w:val="00EB559E"/>
    <w:rsid w:val="00EB580A"/>
    <w:rsid w:val="00EB5ED0"/>
    <w:rsid w:val="00EC2E93"/>
    <w:rsid w:val="00EC53DC"/>
    <w:rsid w:val="00EC5B8E"/>
    <w:rsid w:val="00EC7307"/>
    <w:rsid w:val="00ED068F"/>
    <w:rsid w:val="00ED7D51"/>
    <w:rsid w:val="00EE031C"/>
    <w:rsid w:val="00EE0977"/>
    <w:rsid w:val="00EE1BD1"/>
    <w:rsid w:val="00EE6C4E"/>
    <w:rsid w:val="00EF024F"/>
    <w:rsid w:val="00EF101E"/>
    <w:rsid w:val="00EF5825"/>
    <w:rsid w:val="00EF6E14"/>
    <w:rsid w:val="00EF7C96"/>
    <w:rsid w:val="00F000D7"/>
    <w:rsid w:val="00F01182"/>
    <w:rsid w:val="00F0199B"/>
    <w:rsid w:val="00F06ED4"/>
    <w:rsid w:val="00F113CF"/>
    <w:rsid w:val="00F1764E"/>
    <w:rsid w:val="00F207F5"/>
    <w:rsid w:val="00F22A76"/>
    <w:rsid w:val="00F24B86"/>
    <w:rsid w:val="00F25119"/>
    <w:rsid w:val="00F26045"/>
    <w:rsid w:val="00F316CE"/>
    <w:rsid w:val="00F33E1A"/>
    <w:rsid w:val="00F41298"/>
    <w:rsid w:val="00F41837"/>
    <w:rsid w:val="00F418E8"/>
    <w:rsid w:val="00F46998"/>
    <w:rsid w:val="00F51A19"/>
    <w:rsid w:val="00F53DD2"/>
    <w:rsid w:val="00F61F6D"/>
    <w:rsid w:val="00F61F8D"/>
    <w:rsid w:val="00F65954"/>
    <w:rsid w:val="00F66338"/>
    <w:rsid w:val="00F66FD0"/>
    <w:rsid w:val="00F67817"/>
    <w:rsid w:val="00F70AB5"/>
    <w:rsid w:val="00F719EA"/>
    <w:rsid w:val="00F751A1"/>
    <w:rsid w:val="00F755E7"/>
    <w:rsid w:val="00F7637C"/>
    <w:rsid w:val="00F77B53"/>
    <w:rsid w:val="00F80140"/>
    <w:rsid w:val="00F80443"/>
    <w:rsid w:val="00F80D48"/>
    <w:rsid w:val="00F81681"/>
    <w:rsid w:val="00F849A9"/>
    <w:rsid w:val="00F87ACD"/>
    <w:rsid w:val="00F93AF2"/>
    <w:rsid w:val="00F971C2"/>
    <w:rsid w:val="00FA2EBE"/>
    <w:rsid w:val="00FA51FC"/>
    <w:rsid w:val="00FA6787"/>
    <w:rsid w:val="00FB7ECA"/>
    <w:rsid w:val="00FC2E22"/>
    <w:rsid w:val="00FC36F8"/>
    <w:rsid w:val="00FD032B"/>
    <w:rsid w:val="00FD506B"/>
    <w:rsid w:val="00FD5475"/>
    <w:rsid w:val="00FE0753"/>
    <w:rsid w:val="00FE092C"/>
    <w:rsid w:val="00FE3224"/>
    <w:rsid w:val="00FE53D0"/>
    <w:rsid w:val="00FE7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semiHidden/>
    <w:unhideWhenUsed/>
    <w:qFormat/>
    <w:rsid w:val="006F7F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ing3Char">
    <w:name w:val="Heading 3 Char"/>
    <w:basedOn w:val="DefaultParagraphFont"/>
    <w:link w:val="Heading3"/>
    <w:uiPriority w:val="9"/>
    <w:semiHidden/>
    <w:rsid w:val="006F7F98"/>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92856">
      <w:bodyDiv w:val="1"/>
      <w:marLeft w:val="0"/>
      <w:marRight w:val="0"/>
      <w:marTop w:val="0"/>
      <w:marBottom w:val="0"/>
      <w:divBdr>
        <w:top w:val="none" w:sz="0" w:space="0" w:color="auto"/>
        <w:left w:val="none" w:sz="0" w:space="0" w:color="auto"/>
        <w:bottom w:val="none" w:sz="0" w:space="0" w:color="auto"/>
        <w:right w:val="none" w:sz="0" w:space="0" w:color="auto"/>
      </w:divBdr>
    </w:div>
    <w:div w:id="17204067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54834108">
      <w:bodyDiv w:val="1"/>
      <w:marLeft w:val="0"/>
      <w:marRight w:val="0"/>
      <w:marTop w:val="0"/>
      <w:marBottom w:val="0"/>
      <w:divBdr>
        <w:top w:val="none" w:sz="0" w:space="0" w:color="auto"/>
        <w:left w:val="none" w:sz="0" w:space="0" w:color="auto"/>
        <w:bottom w:val="none" w:sz="0" w:space="0" w:color="auto"/>
        <w:right w:val="none" w:sz="0" w:space="0" w:color="auto"/>
      </w:divBdr>
    </w:div>
    <w:div w:id="650016400">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35844864">
      <w:bodyDiv w:val="1"/>
      <w:marLeft w:val="0"/>
      <w:marRight w:val="0"/>
      <w:marTop w:val="0"/>
      <w:marBottom w:val="0"/>
      <w:divBdr>
        <w:top w:val="none" w:sz="0" w:space="0" w:color="auto"/>
        <w:left w:val="none" w:sz="0" w:space="0" w:color="auto"/>
        <w:bottom w:val="none" w:sz="0" w:space="0" w:color="auto"/>
        <w:right w:val="none" w:sz="0" w:space="0" w:color="auto"/>
      </w:divBdr>
    </w:div>
    <w:div w:id="1416244920">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92376362">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l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edeon@economy.gov.lb" TargetMode="External"/><Relationship Id="rId5" Type="http://schemas.openxmlformats.org/officeDocument/2006/relationships/webSettings" Target="webSettings.xml"/><Relationship Id="rId15" Type="http://schemas.openxmlformats.org/officeDocument/2006/relationships/hyperlink" Target="http://mptf.undp.org/factsheet/fund/LRF00" TargetMode="Externa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dtf.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BEA9-5E29-4E65-87E1-832303C2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9</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15292</CharactersWithSpaces>
  <SharedDoc>false</SharedDoc>
  <HLinks>
    <vt:vector size="42" baseType="variant">
      <vt:variant>
        <vt:i4>5111898</vt:i4>
      </vt:variant>
      <vt:variant>
        <vt:i4>15</vt:i4>
      </vt:variant>
      <vt:variant>
        <vt:i4>0</vt:i4>
      </vt:variant>
      <vt:variant>
        <vt:i4>5</vt:i4>
      </vt:variant>
      <vt:variant>
        <vt:lpwstr>http://www.un.org.lb/</vt:lpwstr>
      </vt:variant>
      <vt:variant>
        <vt:lpwstr/>
      </vt:variant>
      <vt:variant>
        <vt:i4>524369</vt:i4>
      </vt:variant>
      <vt:variant>
        <vt:i4>12</vt:i4>
      </vt:variant>
      <vt:variant>
        <vt:i4>0</vt:i4>
      </vt:variant>
      <vt:variant>
        <vt:i4>5</vt:i4>
      </vt:variant>
      <vt:variant>
        <vt:lpwstr>http://mptf.undp.org/factsheet/fund/LRF00</vt:lpwstr>
      </vt:variant>
      <vt:variant>
        <vt:lpwstr/>
      </vt:variant>
      <vt:variant>
        <vt:i4>655430</vt:i4>
      </vt:variant>
      <vt:variant>
        <vt:i4>9</vt:i4>
      </vt:variant>
      <vt:variant>
        <vt:i4>0</vt:i4>
      </vt:variant>
      <vt:variant>
        <vt:i4>5</vt:i4>
      </vt:variant>
      <vt:variant>
        <vt:lpwstr>http://mdtf.undp.org/</vt:lpwstr>
      </vt:variant>
      <vt:variant>
        <vt:lpwstr/>
      </vt:variant>
      <vt:variant>
        <vt:i4>2031721</vt:i4>
      </vt:variant>
      <vt:variant>
        <vt:i4>6</vt:i4>
      </vt:variant>
      <vt:variant>
        <vt:i4>0</vt:i4>
      </vt:variant>
      <vt:variant>
        <vt:i4>5</vt:i4>
      </vt:variant>
      <vt:variant>
        <vt:lpwstr>mailto:rgedeon@economy.gov.lb</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Rony Gedeon</cp:lastModifiedBy>
  <cp:revision>3</cp:revision>
  <cp:lastPrinted>2012-11-28T14:52:00Z</cp:lastPrinted>
  <dcterms:created xsi:type="dcterms:W3CDTF">2014-04-03T13:30:00Z</dcterms:created>
  <dcterms:modified xsi:type="dcterms:W3CDTF">2014-04-04T06:40:00Z</dcterms:modified>
</cp:coreProperties>
</file>