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B6" w:rsidRDefault="006269B6" w:rsidP="0011498B">
      <w:pPr>
        <w:jc w:val="center"/>
        <w:outlineLvl w:val="0"/>
        <w:rPr>
          <w:b/>
          <w:szCs w:val="22"/>
        </w:rPr>
      </w:pPr>
    </w:p>
    <w:p w:rsidR="0011498B" w:rsidRPr="00147470" w:rsidRDefault="0011498B" w:rsidP="0011498B">
      <w:pPr>
        <w:jc w:val="center"/>
        <w:outlineLvl w:val="0"/>
        <w:rPr>
          <w:b/>
          <w:sz w:val="24"/>
          <w:szCs w:val="24"/>
        </w:rPr>
      </w:pPr>
      <w:r w:rsidRPr="00147470">
        <w:rPr>
          <w:b/>
          <w:sz w:val="24"/>
          <w:szCs w:val="24"/>
        </w:rPr>
        <w:t xml:space="preserve">United Nations Development Group </w:t>
      </w:r>
      <w:r>
        <w:rPr>
          <w:b/>
          <w:sz w:val="24"/>
          <w:szCs w:val="24"/>
        </w:rPr>
        <w:t>UNDAF Trust Fund</w:t>
      </w:r>
      <w:r w:rsidRPr="00147470">
        <w:rPr>
          <w:b/>
          <w:sz w:val="24"/>
          <w:szCs w:val="24"/>
        </w:rPr>
        <w:t xml:space="preserve"> </w:t>
      </w:r>
    </w:p>
    <w:p w:rsidR="0011498B" w:rsidRPr="00186CCC" w:rsidRDefault="0011498B" w:rsidP="0011498B">
      <w:pPr>
        <w:jc w:val="center"/>
        <w:outlineLvl w:val="0"/>
        <w:rPr>
          <w:b/>
          <w:sz w:val="24"/>
          <w:szCs w:val="24"/>
        </w:rPr>
      </w:pPr>
      <w:r w:rsidRPr="00186CCC">
        <w:rPr>
          <w:b/>
          <w:sz w:val="24"/>
          <w:szCs w:val="24"/>
        </w:rPr>
        <w:t>Project #:</w:t>
      </w:r>
      <w:r w:rsidRPr="00C677C5">
        <w:rPr>
          <w:b/>
          <w:sz w:val="24"/>
          <w:szCs w:val="24"/>
        </w:rPr>
        <w:t>819</w:t>
      </w:r>
      <w:r>
        <w:rPr>
          <w:b/>
          <w:sz w:val="24"/>
          <w:szCs w:val="24"/>
        </w:rPr>
        <w:t>6</w:t>
      </w:r>
      <w:r w:rsidRPr="00C677C5">
        <w:rPr>
          <w:b/>
          <w:sz w:val="24"/>
          <w:szCs w:val="24"/>
        </w:rPr>
        <w:t>7: P1-01</w:t>
      </w:r>
    </w:p>
    <w:p w:rsidR="0011498B" w:rsidRPr="00352309" w:rsidRDefault="0011498B" w:rsidP="001C10DD">
      <w:pPr>
        <w:jc w:val="center"/>
        <w:outlineLvl w:val="0"/>
        <w:rPr>
          <w:b/>
          <w:sz w:val="24"/>
          <w:szCs w:val="24"/>
        </w:rPr>
      </w:pPr>
      <w:r w:rsidRPr="00186CCC">
        <w:rPr>
          <w:b/>
          <w:sz w:val="24"/>
          <w:szCs w:val="24"/>
        </w:rPr>
        <w:t xml:space="preserve">Quarter Updated: </w:t>
      </w:r>
      <w:r w:rsidRPr="00352309">
        <w:rPr>
          <w:b/>
          <w:sz w:val="24"/>
          <w:szCs w:val="24"/>
        </w:rPr>
        <w:t>1</w:t>
      </w:r>
      <w:r w:rsidR="00F323F7" w:rsidRPr="00352309">
        <w:rPr>
          <w:b/>
          <w:sz w:val="24"/>
          <w:szCs w:val="24"/>
        </w:rPr>
        <w:t xml:space="preserve"> </w:t>
      </w:r>
      <w:r w:rsidR="001C10DD">
        <w:rPr>
          <w:b/>
          <w:sz w:val="24"/>
          <w:szCs w:val="24"/>
        </w:rPr>
        <w:t>October</w:t>
      </w:r>
      <w:r w:rsidR="00F323F7" w:rsidRPr="00352309">
        <w:rPr>
          <w:b/>
          <w:sz w:val="24"/>
          <w:szCs w:val="24"/>
        </w:rPr>
        <w:t>-</w:t>
      </w:r>
      <w:r w:rsidR="00F35DC9" w:rsidRPr="00352309">
        <w:rPr>
          <w:b/>
          <w:sz w:val="24"/>
          <w:szCs w:val="24"/>
        </w:rPr>
        <w:t>3</w:t>
      </w:r>
      <w:r w:rsidR="001C10DD">
        <w:rPr>
          <w:b/>
          <w:sz w:val="24"/>
          <w:szCs w:val="24"/>
        </w:rPr>
        <w:t>1</w:t>
      </w:r>
      <w:r w:rsidR="00F323F7" w:rsidRPr="00352309">
        <w:rPr>
          <w:b/>
          <w:sz w:val="24"/>
          <w:szCs w:val="24"/>
        </w:rPr>
        <w:t xml:space="preserve"> </w:t>
      </w:r>
      <w:r w:rsidR="001C10DD">
        <w:rPr>
          <w:b/>
          <w:sz w:val="24"/>
          <w:szCs w:val="24"/>
        </w:rPr>
        <w:t>December</w:t>
      </w:r>
      <w:r w:rsidR="00906D40" w:rsidRPr="00352309">
        <w:rPr>
          <w:b/>
          <w:sz w:val="24"/>
          <w:szCs w:val="24"/>
        </w:rPr>
        <w:t xml:space="preserve"> 2014</w:t>
      </w:r>
    </w:p>
    <w:p w:rsidR="0011498B" w:rsidRPr="00186CCC" w:rsidRDefault="001C10DD" w:rsidP="001C10DD">
      <w:pPr>
        <w:jc w:val="center"/>
        <w:outlineLvl w:val="0"/>
        <w:rPr>
          <w:b/>
          <w:sz w:val="24"/>
          <w:szCs w:val="24"/>
        </w:rPr>
      </w:pPr>
      <w:r>
        <w:rPr>
          <w:b/>
          <w:sz w:val="24"/>
          <w:szCs w:val="24"/>
        </w:rPr>
        <w:t>4th</w:t>
      </w:r>
      <w:r w:rsidR="0011498B" w:rsidRPr="00352309">
        <w:rPr>
          <w:b/>
          <w:sz w:val="24"/>
          <w:szCs w:val="24"/>
        </w:rPr>
        <w:t xml:space="preserve"> Quarter 201</w:t>
      </w:r>
      <w:r w:rsidR="00906D40" w:rsidRPr="00352309">
        <w:rPr>
          <w:b/>
          <w:sz w:val="24"/>
          <w:szCs w:val="24"/>
        </w:rPr>
        <w:t>4</w:t>
      </w:r>
    </w:p>
    <w:p w:rsidR="0011498B" w:rsidRDefault="0011498B" w:rsidP="0011498B">
      <w:pPr>
        <w:jc w:val="center"/>
        <w:outlineLvl w:val="0"/>
        <w:rPr>
          <w:b/>
          <w:sz w:val="24"/>
          <w:szCs w:val="24"/>
          <w:u w:val="single"/>
        </w:rPr>
      </w:pPr>
    </w:p>
    <w:tbl>
      <w:tblPr>
        <w:tblW w:w="10080" w:type="dxa"/>
        <w:tblInd w:w="-252" w:type="dxa"/>
        <w:shd w:val="clear" w:color="auto" w:fill="000099"/>
        <w:tblLook w:val="01E0" w:firstRow="1" w:lastRow="1" w:firstColumn="1" w:lastColumn="1" w:noHBand="0" w:noVBand="0"/>
      </w:tblPr>
      <w:tblGrid>
        <w:gridCol w:w="4860"/>
        <w:gridCol w:w="5220"/>
      </w:tblGrid>
      <w:tr w:rsidR="0011498B" w:rsidRPr="00BB4503">
        <w:tc>
          <w:tcPr>
            <w:tcW w:w="4860" w:type="dxa"/>
            <w:shd w:val="clear" w:color="auto" w:fill="000099"/>
          </w:tcPr>
          <w:p w:rsidR="0011498B" w:rsidRPr="00BB4503" w:rsidRDefault="0011498B" w:rsidP="0011498B">
            <w:pPr>
              <w:rPr>
                <w:szCs w:val="22"/>
              </w:rPr>
            </w:pPr>
            <w:r w:rsidRPr="00BB4503">
              <w:rPr>
                <w:b/>
                <w:szCs w:val="22"/>
              </w:rPr>
              <w:t>Participating UN Organisation</w:t>
            </w:r>
            <w:r w:rsidRPr="00BB4503">
              <w:rPr>
                <w:szCs w:val="22"/>
              </w:rPr>
              <w:t xml:space="preserve">:  </w:t>
            </w:r>
            <w:r>
              <w:rPr>
                <w:szCs w:val="22"/>
              </w:rPr>
              <w:t>UNDP Lead and UNOPS</w:t>
            </w:r>
          </w:p>
          <w:p w:rsidR="0011498B" w:rsidRPr="00BB4503" w:rsidRDefault="0011498B" w:rsidP="0011498B">
            <w:pPr>
              <w:rPr>
                <w:szCs w:val="22"/>
              </w:rPr>
            </w:pPr>
            <w:r>
              <w:rPr>
                <w:szCs w:val="22"/>
              </w:rPr>
              <w:t>UNDP Project 81917</w:t>
            </w:r>
          </w:p>
        </w:tc>
        <w:tc>
          <w:tcPr>
            <w:tcW w:w="5220" w:type="dxa"/>
            <w:shd w:val="clear" w:color="auto" w:fill="000099"/>
          </w:tcPr>
          <w:p w:rsidR="0011498B" w:rsidRPr="00BB4503" w:rsidRDefault="00B92196" w:rsidP="0011498B">
            <w:pPr>
              <w:rPr>
                <w:szCs w:val="22"/>
              </w:rPr>
            </w:pPr>
            <w:r>
              <w:rPr>
                <w:b/>
                <w:szCs w:val="22"/>
              </w:rPr>
              <w:t>PWG</w:t>
            </w:r>
            <w:r w:rsidR="0011498B" w:rsidRPr="00BB4503">
              <w:rPr>
                <w:b/>
                <w:szCs w:val="22"/>
              </w:rPr>
              <w:t xml:space="preserve">: </w:t>
            </w:r>
            <w:r w:rsidR="0011498B">
              <w:rPr>
                <w:b/>
                <w:szCs w:val="22"/>
              </w:rPr>
              <w:t>Governance</w:t>
            </w:r>
            <w:r>
              <w:rPr>
                <w:b/>
                <w:szCs w:val="22"/>
              </w:rPr>
              <w:t xml:space="preserve"> &amp; Human Rights</w:t>
            </w:r>
          </w:p>
        </w:tc>
      </w:tr>
      <w:tr w:rsidR="0011498B" w:rsidRPr="00BB4503">
        <w:tc>
          <w:tcPr>
            <w:tcW w:w="10080" w:type="dxa"/>
            <w:gridSpan w:val="2"/>
            <w:shd w:val="clear" w:color="auto" w:fill="000099"/>
          </w:tcPr>
          <w:p w:rsidR="0011498B" w:rsidRPr="00BB4503" w:rsidRDefault="0011498B" w:rsidP="0011498B">
            <w:pPr>
              <w:rPr>
                <w:b/>
                <w:szCs w:val="22"/>
              </w:rPr>
            </w:pPr>
            <w:r w:rsidRPr="00BB4503">
              <w:rPr>
                <w:b/>
                <w:szCs w:val="22"/>
              </w:rPr>
              <w:t xml:space="preserve">Government of Iraq – Responsible Line Ministry: </w:t>
            </w:r>
            <w:r w:rsidRPr="00BB4503">
              <w:rPr>
                <w:b/>
                <w:szCs w:val="22"/>
              </w:rPr>
              <w:tab/>
            </w:r>
            <w:r>
              <w:rPr>
                <w:b/>
                <w:szCs w:val="22"/>
              </w:rPr>
              <w:t>CSO Committee of the Council of Representatives</w:t>
            </w:r>
          </w:p>
          <w:p w:rsidR="0011498B" w:rsidRPr="00BB4503" w:rsidRDefault="0011498B" w:rsidP="0011498B">
            <w:pPr>
              <w:rPr>
                <w:szCs w:val="22"/>
              </w:rPr>
            </w:pPr>
            <w:r w:rsidRPr="00BB4503">
              <w:rPr>
                <w:b/>
                <w:szCs w:val="22"/>
              </w:rPr>
              <w:tab/>
            </w:r>
          </w:p>
        </w:tc>
      </w:tr>
    </w:tbl>
    <w:p w:rsidR="0011498B" w:rsidRDefault="0011498B" w:rsidP="0011498B">
      <w:pPr>
        <w:outlineLvl w:val="0"/>
        <w:rPr>
          <w:b/>
          <w:szCs w:val="22"/>
        </w:rPr>
      </w:pPr>
    </w:p>
    <w:p w:rsidR="0011498B" w:rsidRPr="00CF6944" w:rsidRDefault="0011498B" w:rsidP="0011498B">
      <w:pPr>
        <w:outlineLvl w:val="0"/>
        <w:rPr>
          <w:b/>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70"/>
        <w:gridCol w:w="1350"/>
        <w:gridCol w:w="1620"/>
        <w:gridCol w:w="1440"/>
        <w:gridCol w:w="1980"/>
      </w:tblGrid>
      <w:tr w:rsidR="0011498B" w:rsidRPr="00BB4503">
        <w:tc>
          <w:tcPr>
            <w:tcW w:w="1620" w:type="dxa"/>
            <w:shd w:val="clear" w:color="auto" w:fill="auto"/>
          </w:tcPr>
          <w:p w:rsidR="0011498B" w:rsidRPr="00BB4503" w:rsidRDefault="0011498B" w:rsidP="0011498B">
            <w:pPr>
              <w:rPr>
                <w:b/>
                <w:szCs w:val="22"/>
              </w:rPr>
            </w:pPr>
            <w:r w:rsidRPr="00BB4503">
              <w:rPr>
                <w:b/>
                <w:szCs w:val="22"/>
              </w:rPr>
              <w:t>Title</w:t>
            </w:r>
          </w:p>
        </w:tc>
        <w:tc>
          <w:tcPr>
            <w:tcW w:w="8460" w:type="dxa"/>
            <w:gridSpan w:val="5"/>
            <w:shd w:val="clear" w:color="auto" w:fill="auto"/>
          </w:tcPr>
          <w:p w:rsidR="0011498B" w:rsidRPr="00BB4503" w:rsidRDefault="0011498B" w:rsidP="0011498B">
            <w:pPr>
              <w:rPr>
                <w:szCs w:val="22"/>
              </w:rPr>
            </w:pPr>
            <w:r>
              <w:rPr>
                <w:szCs w:val="22"/>
              </w:rPr>
              <w:t>Empowering CSOs in Iraq</w:t>
            </w:r>
          </w:p>
        </w:tc>
      </w:tr>
      <w:tr w:rsidR="0011498B" w:rsidRPr="00BB4503">
        <w:tc>
          <w:tcPr>
            <w:tcW w:w="1620" w:type="dxa"/>
            <w:shd w:val="clear" w:color="auto" w:fill="auto"/>
          </w:tcPr>
          <w:p w:rsidR="0011498B" w:rsidRPr="00BB4503" w:rsidRDefault="0011498B" w:rsidP="0011498B">
            <w:pPr>
              <w:rPr>
                <w:b/>
                <w:szCs w:val="22"/>
              </w:rPr>
            </w:pPr>
            <w:r w:rsidRPr="00BB4503">
              <w:rPr>
                <w:b/>
                <w:szCs w:val="22"/>
              </w:rPr>
              <w:t>Geographic Location</w:t>
            </w:r>
          </w:p>
        </w:tc>
        <w:tc>
          <w:tcPr>
            <w:tcW w:w="8460" w:type="dxa"/>
            <w:gridSpan w:val="5"/>
            <w:shd w:val="clear" w:color="auto" w:fill="auto"/>
          </w:tcPr>
          <w:p w:rsidR="0011498B" w:rsidRDefault="0011498B" w:rsidP="0011498B">
            <w:pPr>
              <w:rPr>
                <w:szCs w:val="22"/>
              </w:rPr>
            </w:pPr>
            <w:r>
              <w:rPr>
                <w:szCs w:val="22"/>
              </w:rPr>
              <w:t>Nationwide for the capacity building of</w:t>
            </w:r>
            <w:r w:rsidR="00072CCE">
              <w:rPr>
                <w:szCs w:val="22"/>
              </w:rPr>
              <w:t xml:space="preserve"> Civil Society Organizations (</w:t>
            </w:r>
            <w:r>
              <w:rPr>
                <w:szCs w:val="22"/>
              </w:rPr>
              <w:t>CSOs</w:t>
            </w:r>
            <w:r w:rsidR="00072CCE">
              <w:rPr>
                <w:szCs w:val="22"/>
              </w:rPr>
              <w:t>)</w:t>
            </w:r>
            <w:r>
              <w:rPr>
                <w:szCs w:val="22"/>
              </w:rPr>
              <w:t xml:space="preserve"> under UNDP. </w:t>
            </w:r>
          </w:p>
          <w:p w:rsidR="0011498B" w:rsidRDefault="0011498B" w:rsidP="0011498B">
            <w:pPr>
              <w:rPr>
                <w:szCs w:val="22"/>
              </w:rPr>
            </w:pPr>
          </w:p>
          <w:p w:rsidR="0011498B" w:rsidRPr="00BB4503" w:rsidRDefault="0011498B" w:rsidP="0011498B">
            <w:pPr>
              <w:rPr>
                <w:szCs w:val="22"/>
              </w:rPr>
            </w:pPr>
            <w:r>
              <w:rPr>
                <w:szCs w:val="22"/>
              </w:rPr>
              <w:t>The KRG Compact work under UNOPS is only for KRG.</w:t>
            </w:r>
          </w:p>
        </w:tc>
      </w:tr>
      <w:tr w:rsidR="0011498B" w:rsidRPr="00BB4503">
        <w:tc>
          <w:tcPr>
            <w:tcW w:w="1620" w:type="dxa"/>
            <w:shd w:val="clear" w:color="auto" w:fill="auto"/>
          </w:tcPr>
          <w:p w:rsidR="0011498B" w:rsidRPr="00BB4503" w:rsidRDefault="0011498B" w:rsidP="0011498B">
            <w:pPr>
              <w:rPr>
                <w:b/>
                <w:szCs w:val="22"/>
              </w:rPr>
            </w:pPr>
            <w:r w:rsidRPr="00BB4503">
              <w:rPr>
                <w:b/>
                <w:szCs w:val="22"/>
              </w:rPr>
              <w:t>Project Cost</w:t>
            </w:r>
          </w:p>
        </w:tc>
        <w:tc>
          <w:tcPr>
            <w:tcW w:w="8460" w:type="dxa"/>
            <w:gridSpan w:val="5"/>
            <w:shd w:val="clear" w:color="auto" w:fill="auto"/>
          </w:tcPr>
          <w:p w:rsidR="0011498B" w:rsidRDefault="0011498B" w:rsidP="0011498B">
            <w:pPr>
              <w:rPr>
                <w:szCs w:val="22"/>
              </w:rPr>
            </w:pPr>
            <w:r>
              <w:rPr>
                <w:szCs w:val="22"/>
              </w:rPr>
              <w:t xml:space="preserve">Total Cost </w:t>
            </w:r>
            <w:r w:rsidRPr="00160051">
              <w:rPr>
                <w:szCs w:val="22"/>
              </w:rPr>
              <w:t>US</w:t>
            </w:r>
            <w:r>
              <w:rPr>
                <w:szCs w:val="22"/>
              </w:rPr>
              <w:t>D</w:t>
            </w:r>
            <w:r w:rsidRPr="00160051">
              <w:rPr>
                <w:szCs w:val="22"/>
              </w:rPr>
              <w:t xml:space="preserve"> 3,237,419</w:t>
            </w:r>
            <w:r>
              <w:rPr>
                <w:szCs w:val="22"/>
              </w:rPr>
              <w:t xml:space="preserve"> </w:t>
            </w:r>
          </w:p>
          <w:p w:rsidR="0011498B" w:rsidRDefault="0011498B" w:rsidP="0011498B">
            <w:pPr>
              <w:rPr>
                <w:b/>
              </w:rPr>
            </w:pPr>
            <w:r>
              <w:rPr>
                <w:szCs w:val="22"/>
              </w:rPr>
              <w:t xml:space="preserve"> </w:t>
            </w:r>
            <w:r w:rsidRPr="00C677C5">
              <w:rPr>
                <w:b/>
              </w:rPr>
              <w:t>US</w:t>
            </w:r>
            <w:r>
              <w:rPr>
                <w:b/>
              </w:rPr>
              <w:t>D</w:t>
            </w:r>
            <w:r w:rsidRPr="00C677C5">
              <w:rPr>
                <w:b/>
              </w:rPr>
              <w:t xml:space="preserve"> 2,221,818 from UNDAF Trust Fund</w:t>
            </w:r>
            <w:r>
              <w:rPr>
                <w:b/>
              </w:rPr>
              <w:t xml:space="preserve"> for UNDP component</w:t>
            </w:r>
          </w:p>
          <w:p w:rsidR="0011498B" w:rsidRDefault="0011498B" w:rsidP="0011498B">
            <w:r>
              <w:t xml:space="preserve"> USD 1,015,601 from DANIDA, for UNOPS component (please refer to note below) </w:t>
            </w:r>
          </w:p>
          <w:p w:rsidR="0011498B" w:rsidRPr="00BB4503" w:rsidRDefault="0011498B" w:rsidP="0011498B">
            <w:pPr>
              <w:rPr>
                <w:szCs w:val="22"/>
              </w:rPr>
            </w:pPr>
          </w:p>
        </w:tc>
      </w:tr>
      <w:tr w:rsidR="0011498B" w:rsidRPr="00BB4503">
        <w:tc>
          <w:tcPr>
            <w:tcW w:w="1620" w:type="dxa"/>
            <w:shd w:val="clear" w:color="auto" w:fill="auto"/>
          </w:tcPr>
          <w:p w:rsidR="0011498B" w:rsidRPr="00BB4503" w:rsidRDefault="0011498B" w:rsidP="0011498B">
            <w:pPr>
              <w:rPr>
                <w:b/>
                <w:szCs w:val="22"/>
              </w:rPr>
            </w:pPr>
            <w:r w:rsidRPr="00BB4503">
              <w:rPr>
                <w:b/>
                <w:szCs w:val="22"/>
              </w:rPr>
              <w:t>Duration</w:t>
            </w:r>
          </w:p>
        </w:tc>
        <w:tc>
          <w:tcPr>
            <w:tcW w:w="8460" w:type="dxa"/>
            <w:gridSpan w:val="5"/>
            <w:shd w:val="clear" w:color="auto" w:fill="auto"/>
          </w:tcPr>
          <w:p w:rsidR="0011498B" w:rsidRPr="00BB4503" w:rsidRDefault="0011498B" w:rsidP="0011498B">
            <w:pPr>
              <w:rPr>
                <w:szCs w:val="22"/>
              </w:rPr>
            </w:pPr>
            <w:r>
              <w:rPr>
                <w:szCs w:val="22"/>
              </w:rPr>
              <w:t>18 months</w:t>
            </w:r>
          </w:p>
        </w:tc>
      </w:tr>
      <w:tr w:rsidR="0011498B" w:rsidRPr="00BB4503">
        <w:tc>
          <w:tcPr>
            <w:tcW w:w="1620" w:type="dxa"/>
            <w:shd w:val="clear" w:color="auto" w:fill="auto"/>
          </w:tcPr>
          <w:p w:rsidR="0011498B" w:rsidRPr="00BB4503" w:rsidRDefault="0011498B" w:rsidP="0011498B">
            <w:pPr>
              <w:rPr>
                <w:b/>
                <w:szCs w:val="22"/>
              </w:rPr>
            </w:pPr>
            <w:r w:rsidRPr="00BB4503">
              <w:rPr>
                <w:b/>
                <w:szCs w:val="22"/>
              </w:rPr>
              <w:t>Approval  Date (SC)</w:t>
            </w:r>
          </w:p>
        </w:tc>
        <w:tc>
          <w:tcPr>
            <w:tcW w:w="2070" w:type="dxa"/>
            <w:shd w:val="clear" w:color="auto" w:fill="auto"/>
          </w:tcPr>
          <w:p w:rsidR="0011498B" w:rsidRPr="00BB4503" w:rsidRDefault="0011498B" w:rsidP="0011498B">
            <w:pPr>
              <w:rPr>
                <w:szCs w:val="22"/>
              </w:rPr>
            </w:pPr>
            <w:r>
              <w:rPr>
                <w:szCs w:val="22"/>
              </w:rPr>
              <w:t>18</w:t>
            </w:r>
            <w:r w:rsidRPr="00795959">
              <w:rPr>
                <w:szCs w:val="22"/>
                <w:vertAlign w:val="superscript"/>
              </w:rPr>
              <w:t>th</w:t>
            </w:r>
            <w:r>
              <w:rPr>
                <w:szCs w:val="22"/>
              </w:rPr>
              <w:t xml:space="preserve"> January 2012</w:t>
            </w:r>
          </w:p>
        </w:tc>
        <w:tc>
          <w:tcPr>
            <w:tcW w:w="1350" w:type="dxa"/>
            <w:shd w:val="clear" w:color="auto" w:fill="auto"/>
          </w:tcPr>
          <w:p w:rsidR="0011498B" w:rsidRPr="00BB4503" w:rsidRDefault="0011498B" w:rsidP="0011498B">
            <w:pPr>
              <w:rPr>
                <w:b/>
                <w:szCs w:val="22"/>
              </w:rPr>
            </w:pPr>
            <w:r w:rsidRPr="00BB4503">
              <w:rPr>
                <w:b/>
                <w:szCs w:val="22"/>
              </w:rPr>
              <w:t>Starting Date</w:t>
            </w:r>
          </w:p>
        </w:tc>
        <w:tc>
          <w:tcPr>
            <w:tcW w:w="1620" w:type="dxa"/>
          </w:tcPr>
          <w:p w:rsidR="0011498B" w:rsidRPr="00BB4503" w:rsidRDefault="0011498B" w:rsidP="0011498B">
            <w:pPr>
              <w:rPr>
                <w:bCs/>
                <w:szCs w:val="22"/>
              </w:rPr>
            </w:pPr>
            <w:r>
              <w:rPr>
                <w:szCs w:val="22"/>
              </w:rPr>
              <w:t>12</w:t>
            </w:r>
            <w:r w:rsidRPr="00CF6170">
              <w:rPr>
                <w:szCs w:val="22"/>
                <w:vertAlign w:val="superscript"/>
              </w:rPr>
              <w:t>th</w:t>
            </w:r>
            <w:r>
              <w:rPr>
                <w:szCs w:val="22"/>
              </w:rPr>
              <w:t xml:space="preserve"> March 2012</w:t>
            </w:r>
          </w:p>
        </w:tc>
        <w:tc>
          <w:tcPr>
            <w:tcW w:w="1440" w:type="dxa"/>
          </w:tcPr>
          <w:p w:rsidR="0011498B" w:rsidRPr="00BB4503" w:rsidRDefault="0011498B" w:rsidP="0011498B">
            <w:pPr>
              <w:rPr>
                <w:b/>
                <w:szCs w:val="22"/>
              </w:rPr>
            </w:pPr>
            <w:r w:rsidRPr="00BB4503">
              <w:rPr>
                <w:b/>
                <w:szCs w:val="22"/>
              </w:rPr>
              <w:t xml:space="preserve">Completion Date   </w:t>
            </w:r>
          </w:p>
        </w:tc>
        <w:tc>
          <w:tcPr>
            <w:tcW w:w="1980" w:type="dxa"/>
            <w:shd w:val="clear" w:color="auto" w:fill="auto"/>
          </w:tcPr>
          <w:p w:rsidR="0011498B" w:rsidRPr="00BB4503" w:rsidRDefault="00B92196" w:rsidP="001C10DD">
            <w:pPr>
              <w:rPr>
                <w:bCs/>
                <w:szCs w:val="22"/>
              </w:rPr>
            </w:pPr>
            <w:r>
              <w:rPr>
                <w:szCs w:val="22"/>
              </w:rPr>
              <w:t xml:space="preserve">12 Sep 2013, extended to </w:t>
            </w:r>
            <w:r w:rsidR="001C10DD">
              <w:rPr>
                <w:szCs w:val="22"/>
              </w:rPr>
              <w:t>30</w:t>
            </w:r>
            <w:r w:rsidR="001C10DD" w:rsidRPr="001C10DD">
              <w:rPr>
                <w:szCs w:val="22"/>
                <w:vertAlign w:val="superscript"/>
              </w:rPr>
              <w:t>th</w:t>
            </w:r>
            <w:r w:rsidR="001C10DD">
              <w:rPr>
                <w:szCs w:val="22"/>
              </w:rPr>
              <w:t xml:space="preserve"> </w:t>
            </w:r>
            <w:r w:rsidR="0011498B">
              <w:rPr>
                <w:szCs w:val="22"/>
              </w:rPr>
              <w:t xml:space="preserve"> </w:t>
            </w:r>
            <w:r w:rsidR="001C10DD">
              <w:rPr>
                <w:szCs w:val="22"/>
              </w:rPr>
              <w:t>June</w:t>
            </w:r>
            <w:r w:rsidR="0011498B">
              <w:rPr>
                <w:szCs w:val="22"/>
              </w:rPr>
              <w:t xml:space="preserve"> 201</w:t>
            </w:r>
            <w:r w:rsidR="001C10DD">
              <w:rPr>
                <w:szCs w:val="22"/>
              </w:rPr>
              <w:t>5</w:t>
            </w:r>
          </w:p>
        </w:tc>
      </w:tr>
      <w:tr w:rsidR="0011498B" w:rsidRPr="00BB4503">
        <w:tc>
          <w:tcPr>
            <w:tcW w:w="1620" w:type="dxa"/>
            <w:shd w:val="clear" w:color="auto" w:fill="auto"/>
          </w:tcPr>
          <w:p w:rsidR="0011498B" w:rsidRPr="00BB4503" w:rsidRDefault="0011498B" w:rsidP="0011498B">
            <w:pPr>
              <w:rPr>
                <w:b/>
                <w:szCs w:val="22"/>
              </w:rPr>
            </w:pPr>
            <w:r w:rsidRPr="00BB4503">
              <w:rPr>
                <w:b/>
                <w:szCs w:val="22"/>
              </w:rPr>
              <w:t>Project Description</w:t>
            </w:r>
          </w:p>
        </w:tc>
        <w:tc>
          <w:tcPr>
            <w:tcW w:w="8460" w:type="dxa"/>
            <w:gridSpan w:val="5"/>
            <w:shd w:val="clear" w:color="auto" w:fill="auto"/>
          </w:tcPr>
          <w:p w:rsidR="0011498B" w:rsidRDefault="0011498B" w:rsidP="0011498B">
            <w:pPr>
              <w:jc w:val="both"/>
              <w:rPr>
                <w:szCs w:val="22"/>
              </w:rPr>
            </w:pPr>
            <w:r w:rsidRPr="002D15D1">
              <w:rPr>
                <w:szCs w:val="22"/>
              </w:rPr>
              <w:t xml:space="preserve">UNDP and UNOPS </w:t>
            </w:r>
            <w:r>
              <w:rPr>
                <w:szCs w:val="22"/>
              </w:rPr>
              <w:t>will</w:t>
            </w:r>
            <w:r w:rsidRPr="002D15D1">
              <w:rPr>
                <w:szCs w:val="22"/>
              </w:rPr>
              <w:t xml:space="preserve"> support</w:t>
            </w:r>
            <w:r w:rsidR="00072CCE">
              <w:rPr>
                <w:szCs w:val="22"/>
              </w:rPr>
              <w:t xml:space="preserve"> Civil Society Organizations (</w:t>
            </w:r>
            <w:r w:rsidRPr="002D15D1">
              <w:rPr>
                <w:szCs w:val="22"/>
              </w:rPr>
              <w:t>CSOs</w:t>
            </w:r>
            <w:r w:rsidR="00072CCE">
              <w:rPr>
                <w:szCs w:val="22"/>
              </w:rPr>
              <w:t>)</w:t>
            </w:r>
            <w:r w:rsidRPr="002D15D1">
              <w:rPr>
                <w:szCs w:val="22"/>
              </w:rPr>
              <w:t xml:space="preserve"> to effectively monitor Government’s compliance with due process and transparency. UNDP </w:t>
            </w:r>
            <w:r>
              <w:rPr>
                <w:szCs w:val="22"/>
              </w:rPr>
              <w:t xml:space="preserve">through UNDAF Trust Fund </w:t>
            </w:r>
            <w:r w:rsidRPr="002D15D1">
              <w:rPr>
                <w:szCs w:val="22"/>
              </w:rPr>
              <w:t xml:space="preserve">will build the capacity of chosen CSOs to hold the Government accountable in the areas of Service Delivery, Corruption, Human Rights and Civil Rights. </w:t>
            </w:r>
            <w:r>
              <w:rPr>
                <w:szCs w:val="22"/>
              </w:rPr>
              <w:t>Through</w:t>
            </w:r>
            <w:r w:rsidRPr="002D15D1">
              <w:rPr>
                <w:szCs w:val="22"/>
              </w:rPr>
              <w:t xml:space="preserve"> encouraging CSOs to form consortia the project will transfer k</w:t>
            </w:r>
            <w:r>
              <w:rPr>
                <w:szCs w:val="22"/>
              </w:rPr>
              <w:t>now-</w:t>
            </w:r>
            <w:r w:rsidRPr="002D15D1">
              <w:rPr>
                <w:szCs w:val="22"/>
              </w:rPr>
              <w:t xml:space="preserve">how whilst working on concrete issues. The Project will contribute to opening up permanent and sustainable channels between CSOs and Government to interface and </w:t>
            </w:r>
            <w:r>
              <w:rPr>
                <w:szCs w:val="22"/>
              </w:rPr>
              <w:t>advocate</w:t>
            </w:r>
            <w:r w:rsidRPr="002D15D1">
              <w:rPr>
                <w:szCs w:val="22"/>
              </w:rPr>
              <w:t xml:space="preserve"> that the voices of </w:t>
            </w:r>
            <w:r>
              <w:rPr>
                <w:szCs w:val="22"/>
              </w:rPr>
              <w:t>c</w:t>
            </w:r>
            <w:r w:rsidRPr="002D15D1">
              <w:rPr>
                <w:szCs w:val="22"/>
              </w:rPr>
              <w:t xml:space="preserve">ivil </w:t>
            </w:r>
            <w:r>
              <w:rPr>
                <w:szCs w:val="22"/>
              </w:rPr>
              <w:t>s</w:t>
            </w:r>
            <w:r w:rsidRPr="002D15D1">
              <w:rPr>
                <w:szCs w:val="22"/>
              </w:rPr>
              <w:t>ociety are heard and taken into account in relation to public policymaking. The partnership with UNOPS will build on existing strong relationships with the KRG, Kurdistan Parliament and Kurdistan Region civil society</w:t>
            </w:r>
            <w:r>
              <w:rPr>
                <w:szCs w:val="22"/>
              </w:rPr>
              <w:t>.</w:t>
            </w:r>
          </w:p>
          <w:p w:rsidR="0011498B" w:rsidRPr="002D15D1" w:rsidRDefault="0011498B" w:rsidP="0011498B">
            <w:pPr>
              <w:jc w:val="both"/>
              <w:rPr>
                <w:szCs w:val="22"/>
              </w:rPr>
            </w:pPr>
          </w:p>
        </w:tc>
      </w:tr>
    </w:tbl>
    <w:p w:rsidR="0011498B" w:rsidRPr="00DE5006" w:rsidRDefault="0011498B" w:rsidP="0011498B">
      <w:pPr>
        <w:outlineLvl w:val="0"/>
        <w:rPr>
          <w:b/>
          <w:szCs w:val="22"/>
        </w:rPr>
      </w:pPr>
      <w:r w:rsidRPr="002D7E7B">
        <w:rPr>
          <w:b/>
          <w:szCs w:val="22"/>
          <w:u w:val="single"/>
        </w:rPr>
        <w:t>Note:</w:t>
      </w:r>
      <w:r w:rsidRPr="00C677C5">
        <w:rPr>
          <w:b/>
          <w:szCs w:val="22"/>
        </w:rPr>
        <w:t xml:space="preserve"> </w:t>
      </w:r>
      <w:r w:rsidRPr="00C677C5">
        <w:rPr>
          <w:szCs w:val="22"/>
        </w:rPr>
        <w:t>Th</w:t>
      </w:r>
      <w:r>
        <w:rPr>
          <w:szCs w:val="22"/>
        </w:rPr>
        <w:t>is</w:t>
      </w:r>
      <w:r w:rsidRPr="00C677C5">
        <w:rPr>
          <w:szCs w:val="22"/>
        </w:rPr>
        <w:t xml:space="preserve"> pro</w:t>
      </w:r>
      <w:r>
        <w:rPr>
          <w:szCs w:val="22"/>
        </w:rPr>
        <w:t>ject</w:t>
      </w:r>
      <w:r w:rsidRPr="00C677C5">
        <w:rPr>
          <w:szCs w:val="22"/>
        </w:rPr>
        <w:t xml:space="preserve"> is composed of two separate components. The UNDP component</w:t>
      </w:r>
      <w:r>
        <w:rPr>
          <w:szCs w:val="22"/>
        </w:rPr>
        <w:t>,</w:t>
      </w:r>
      <w:r w:rsidRPr="00C677C5">
        <w:rPr>
          <w:szCs w:val="22"/>
        </w:rPr>
        <w:t xml:space="preserve"> Output 2 is funded under the UNDAF Trust Fund. The UNOPS component</w:t>
      </w:r>
      <w:r>
        <w:rPr>
          <w:szCs w:val="22"/>
        </w:rPr>
        <w:t>,</w:t>
      </w:r>
      <w:r w:rsidRPr="00C677C5">
        <w:rPr>
          <w:szCs w:val="22"/>
        </w:rPr>
        <w:t xml:space="preserve"> Output 1 is </w:t>
      </w:r>
      <w:r>
        <w:rPr>
          <w:szCs w:val="22"/>
        </w:rPr>
        <w:t xml:space="preserve">bilaterally </w:t>
      </w:r>
      <w:r w:rsidRPr="00C677C5">
        <w:rPr>
          <w:szCs w:val="22"/>
        </w:rPr>
        <w:t>funded by D</w:t>
      </w:r>
      <w:r>
        <w:rPr>
          <w:szCs w:val="22"/>
        </w:rPr>
        <w:t>ANIDA</w:t>
      </w:r>
      <w:r w:rsidRPr="00C677C5">
        <w:rPr>
          <w:szCs w:val="22"/>
        </w:rPr>
        <w:t xml:space="preserve"> to UNOPS and </w:t>
      </w:r>
      <w:r>
        <w:rPr>
          <w:szCs w:val="22"/>
        </w:rPr>
        <w:t>respectively</w:t>
      </w:r>
      <w:r w:rsidRPr="00C677C5">
        <w:rPr>
          <w:szCs w:val="22"/>
        </w:rPr>
        <w:t xml:space="preserve"> UNOPS </w:t>
      </w:r>
      <w:r>
        <w:rPr>
          <w:szCs w:val="22"/>
        </w:rPr>
        <w:t xml:space="preserve">will </w:t>
      </w:r>
      <w:r w:rsidRPr="00C677C5">
        <w:rPr>
          <w:szCs w:val="22"/>
        </w:rPr>
        <w:t xml:space="preserve">report </w:t>
      </w:r>
      <w:r>
        <w:rPr>
          <w:szCs w:val="22"/>
        </w:rPr>
        <w:t>directly to DANIDA</w:t>
      </w:r>
      <w:r w:rsidRPr="00C677C5">
        <w:rPr>
          <w:szCs w:val="22"/>
        </w:rPr>
        <w:t xml:space="preserve">. </w:t>
      </w:r>
      <w:r w:rsidRPr="00C677C5">
        <w:rPr>
          <w:b/>
          <w:szCs w:val="22"/>
        </w:rPr>
        <w:t xml:space="preserve">This report therefore covers the UNDP portion Output 2 of the </w:t>
      </w:r>
      <w:r>
        <w:rPr>
          <w:b/>
          <w:szCs w:val="22"/>
        </w:rPr>
        <w:t>P</w:t>
      </w:r>
      <w:r w:rsidRPr="00C677C5">
        <w:rPr>
          <w:b/>
          <w:szCs w:val="22"/>
        </w:rPr>
        <w:t xml:space="preserve">roject </w:t>
      </w:r>
      <w:r>
        <w:rPr>
          <w:b/>
          <w:szCs w:val="22"/>
        </w:rPr>
        <w:t>D</w:t>
      </w:r>
      <w:r w:rsidRPr="00C677C5">
        <w:rPr>
          <w:b/>
          <w:szCs w:val="22"/>
        </w:rPr>
        <w:t>ocument.</w:t>
      </w:r>
    </w:p>
    <w:p w:rsidR="0011498B" w:rsidRDefault="0011498B" w:rsidP="0011498B">
      <w:pPr>
        <w:outlineLvl w:val="0"/>
        <w:rPr>
          <w:szCs w:val="22"/>
        </w:rPr>
      </w:pPr>
    </w:p>
    <w:p w:rsidR="0011498B" w:rsidRDefault="0011498B" w:rsidP="0011498B">
      <w:pPr>
        <w:outlineLvl w:val="0"/>
        <w:rPr>
          <w:szCs w:val="22"/>
        </w:rPr>
      </w:pPr>
    </w:p>
    <w:p w:rsidR="0011498B" w:rsidRPr="00CF6944" w:rsidRDefault="0011498B" w:rsidP="0011498B">
      <w:pPr>
        <w:outlineLvl w:val="0"/>
        <w:rPr>
          <w:szCs w:val="22"/>
        </w:rPr>
      </w:pPr>
      <w:r w:rsidRPr="00CF6944">
        <w:rPr>
          <w:b/>
          <w:szCs w:val="22"/>
        </w:rPr>
        <w:t>Development Goal and Immediate Objectives</w:t>
      </w:r>
    </w:p>
    <w:tbl>
      <w:tblPr>
        <w:tblW w:w="10080" w:type="dxa"/>
        <w:tblInd w:w="-252" w:type="dxa"/>
        <w:tblLook w:val="01E0" w:firstRow="1" w:lastRow="1" w:firstColumn="1" w:lastColumn="1" w:noHBand="0" w:noVBand="0"/>
      </w:tblPr>
      <w:tblGrid>
        <w:gridCol w:w="10080"/>
      </w:tblGrid>
      <w:tr w:rsidR="0011498B" w:rsidRPr="00BB4503">
        <w:trPr>
          <w:trHeight w:val="1403"/>
        </w:trPr>
        <w:tc>
          <w:tcPr>
            <w:tcW w:w="10080" w:type="dxa"/>
            <w:tcBorders>
              <w:top w:val="single" w:sz="4" w:space="0" w:color="auto"/>
              <w:left w:val="single" w:sz="4" w:space="0" w:color="auto"/>
              <w:bottom w:val="single" w:sz="4" w:space="0" w:color="auto"/>
              <w:right w:val="single" w:sz="4" w:space="0" w:color="auto"/>
            </w:tcBorders>
          </w:tcPr>
          <w:p w:rsidR="0011498B" w:rsidRDefault="0011498B" w:rsidP="0011498B">
            <w:pPr>
              <w:rPr>
                <w:szCs w:val="22"/>
                <w:lang w:val="en-US"/>
              </w:rPr>
            </w:pPr>
            <w:r w:rsidRPr="00505F6B">
              <w:rPr>
                <w:b/>
                <w:szCs w:val="22"/>
                <w:lang w:val="en-US"/>
              </w:rPr>
              <w:t>UNDAF Outcome 1.1:</w:t>
            </w:r>
            <w:r>
              <w:rPr>
                <w:szCs w:val="22"/>
                <w:lang w:val="en-US"/>
              </w:rPr>
              <w:t xml:space="preserve"> The Iraqi state has a more inclusive and participatory political process reflecting improved national dialogue.</w:t>
            </w:r>
          </w:p>
          <w:p w:rsidR="0011498B" w:rsidRDefault="0011498B" w:rsidP="0011498B">
            <w:pPr>
              <w:rPr>
                <w:szCs w:val="22"/>
                <w:lang w:val="en-US"/>
              </w:rPr>
            </w:pPr>
          </w:p>
          <w:p w:rsidR="0011498B" w:rsidRPr="00954256" w:rsidRDefault="0011498B" w:rsidP="0011498B">
            <w:pPr>
              <w:rPr>
                <w:szCs w:val="22"/>
                <w:lang w:val="en-US"/>
              </w:rPr>
            </w:pPr>
            <w:r>
              <w:rPr>
                <w:szCs w:val="22"/>
                <w:lang w:val="en-US"/>
              </w:rPr>
              <w:t xml:space="preserve">The Project contributes to the following </w:t>
            </w:r>
            <w:r w:rsidRPr="00505F6B">
              <w:rPr>
                <w:b/>
                <w:szCs w:val="22"/>
                <w:lang w:val="en-US"/>
              </w:rPr>
              <w:t>UNDAF priority areas</w:t>
            </w:r>
            <w:r>
              <w:rPr>
                <w:szCs w:val="22"/>
                <w:lang w:val="en-US"/>
              </w:rPr>
              <w:t>:</w:t>
            </w:r>
          </w:p>
          <w:p w:rsidR="0011498B" w:rsidRPr="003E45D9" w:rsidRDefault="0011498B" w:rsidP="0011498B">
            <w:pPr>
              <w:numPr>
                <w:ilvl w:val="0"/>
                <w:numId w:val="5"/>
              </w:numPr>
              <w:rPr>
                <w:szCs w:val="22"/>
                <w:lang w:val="en-US"/>
              </w:rPr>
            </w:pPr>
            <w:r w:rsidRPr="003E45D9">
              <w:rPr>
                <w:bCs/>
                <w:szCs w:val="22"/>
                <w:lang w:val="en-US"/>
              </w:rPr>
              <w:t>Priority 1: Improved governance, including protection of human rights</w:t>
            </w:r>
            <w:r w:rsidRPr="003E45D9">
              <w:rPr>
                <w:szCs w:val="22"/>
                <w:lang w:val="en-US"/>
              </w:rPr>
              <w:t>.</w:t>
            </w:r>
          </w:p>
          <w:p w:rsidR="0011498B" w:rsidRPr="003E45D9" w:rsidRDefault="0011498B" w:rsidP="0011498B">
            <w:pPr>
              <w:numPr>
                <w:ilvl w:val="0"/>
                <w:numId w:val="5"/>
              </w:numPr>
              <w:rPr>
                <w:szCs w:val="22"/>
                <w:lang w:val="en-US"/>
              </w:rPr>
            </w:pPr>
            <w:r w:rsidRPr="003E45D9">
              <w:rPr>
                <w:bCs/>
                <w:szCs w:val="22"/>
                <w:lang w:val="en-US"/>
              </w:rPr>
              <w:t>Priority 4: Increased access to quality essential services</w:t>
            </w:r>
            <w:r>
              <w:rPr>
                <w:bCs/>
                <w:szCs w:val="22"/>
                <w:lang w:val="en-US"/>
              </w:rPr>
              <w:t>.</w:t>
            </w:r>
          </w:p>
          <w:p w:rsidR="0011498B" w:rsidRDefault="0011498B" w:rsidP="0011498B">
            <w:pPr>
              <w:numPr>
                <w:ilvl w:val="0"/>
                <w:numId w:val="5"/>
              </w:numPr>
              <w:rPr>
                <w:bCs/>
                <w:szCs w:val="22"/>
                <w:lang w:val="en-US"/>
              </w:rPr>
            </w:pPr>
            <w:r w:rsidRPr="003E45D9">
              <w:rPr>
                <w:bCs/>
                <w:szCs w:val="22"/>
                <w:lang w:val="en-US"/>
              </w:rPr>
              <w:t>Priority 5: Investment in human capital and empowerment of women, youth and children</w:t>
            </w:r>
            <w:r>
              <w:rPr>
                <w:bCs/>
                <w:szCs w:val="22"/>
                <w:lang w:val="en-US"/>
              </w:rPr>
              <w:t>.</w:t>
            </w:r>
          </w:p>
          <w:p w:rsidR="0011498B" w:rsidRPr="003E45D9" w:rsidRDefault="0011498B" w:rsidP="0011498B">
            <w:pPr>
              <w:rPr>
                <w:bCs/>
                <w:szCs w:val="22"/>
                <w:lang w:val="en-US"/>
              </w:rPr>
            </w:pPr>
          </w:p>
          <w:p w:rsidR="0011498B" w:rsidRDefault="0011498B" w:rsidP="0011498B">
            <w:pPr>
              <w:rPr>
                <w:bCs/>
                <w:szCs w:val="22"/>
              </w:rPr>
            </w:pPr>
            <w:r>
              <w:rPr>
                <w:szCs w:val="22"/>
              </w:rPr>
              <w:t>T</w:t>
            </w:r>
            <w:r w:rsidRPr="003E45D9">
              <w:rPr>
                <w:szCs w:val="22"/>
              </w:rPr>
              <w:t xml:space="preserve">he </w:t>
            </w:r>
            <w:r>
              <w:rPr>
                <w:szCs w:val="22"/>
              </w:rPr>
              <w:t xml:space="preserve">Project contributes to </w:t>
            </w:r>
            <w:r w:rsidRPr="002D7E7B">
              <w:rPr>
                <w:b/>
                <w:szCs w:val="22"/>
              </w:rPr>
              <w:t>UNDP Iraq’s Country Programme</w:t>
            </w:r>
            <w:r w:rsidRPr="003E45D9">
              <w:rPr>
                <w:szCs w:val="22"/>
              </w:rPr>
              <w:t xml:space="preserve"> </w:t>
            </w:r>
            <w:r w:rsidRPr="00505F6B">
              <w:rPr>
                <w:b/>
                <w:szCs w:val="22"/>
              </w:rPr>
              <w:t>Outcome 1:</w:t>
            </w:r>
            <w:r>
              <w:rPr>
                <w:szCs w:val="22"/>
              </w:rPr>
              <w:t xml:space="preserve"> E</w:t>
            </w:r>
            <w:r w:rsidRPr="003E45D9">
              <w:rPr>
                <w:bCs/>
                <w:szCs w:val="22"/>
              </w:rPr>
              <w:t xml:space="preserve">nhanced rule of law, protection and respect for human rights in line with international standards. </w:t>
            </w:r>
          </w:p>
          <w:p w:rsidR="0011498B" w:rsidRDefault="0011498B" w:rsidP="0011498B">
            <w:pPr>
              <w:rPr>
                <w:bCs/>
                <w:szCs w:val="22"/>
              </w:rPr>
            </w:pPr>
          </w:p>
          <w:p w:rsidR="0011498B" w:rsidRPr="003E45D9" w:rsidRDefault="0011498B" w:rsidP="0011498B">
            <w:pPr>
              <w:rPr>
                <w:szCs w:val="22"/>
              </w:rPr>
            </w:pPr>
            <w:r w:rsidRPr="003E45D9">
              <w:rPr>
                <w:szCs w:val="22"/>
              </w:rPr>
              <w:t xml:space="preserve">The project </w:t>
            </w:r>
            <w:r>
              <w:rPr>
                <w:szCs w:val="22"/>
              </w:rPr>
              <w:t>is being</w:t>
            </w:r>
            <w:r w:rsidRPr="003E45D9">
              <w:rPr>
                <w:szCs w:val="22"/>
              </w:rPr>
              <w:t xml:space="preserve"> implemented in full alignment with work being done by other UN agencies as well as the Human Rights Office.</w:t>
            </w:r>
          </w:p>
        </w:tc>
      </w:tr>
    </w:tbl>
    <w:p w:rsidR="0011498B" w:rsidRDefault="0011498B" w:rsidP="0011498B">
      <w:pPr>
        <w:rPr>
          <w:szCs w:val="22"/>
        </w:rPr>
      </w:pPr>
    </w:p>
    <w:p w:rsidR="0011498B" w:rsidRDefault="0011498B" w:rsidP="0011498B">
      <w:pPr>
        <w:rPr>
          <w:szCs w:val="22"/>
        </w:rPr>
      </w:pPr>
    </w:p>
    <w:p w:rsidR="0011498B" w:rsidRPr="00CF6944" w:rsidRDefault="0011498B" w:rsidP="0011498B">
      <w:pPr>
        <w:rPr>
          <w:szCs w:val="22"/>
        </w:rPr>
      </w:pPr>
    </w:p>
    <w:p w:rsidR="0011498B" w:rsidRPr="00CF6944" w:rsidRDefault="0011498B" w:rsidP="0011498B">
      <w:pPr>
        <w:outlineLvl w:val="0"/>
        <w:rPr>
          <w:b/>
          <w:szCs w:val="22"/>
        </w:rPr>
      </w:pPr>
      <w:r w:rsidRPr="00CF6944">
        <w:rPr>
          <w:b/>
          <w:szCs w:val="22"/>
        </w:rPr>
        <w:t>Outputs, Key activities and Procurement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8265"/>
      </w:tblGrid>
      <w:tr w:rsidR="0011498B" w:rsidRPr="00BB4503">
        <w:tc>
          <w:tcPr>
            <w:tcW w:w="1815" w:type="dxa"/>
          </w:tcPr>
          <w:p w:rsidR="0011498B" w:rsidRPr="00BB4503" w:rsidRDefault="0011498B" w:rsidP="0011498B">
            <w:pPr>
              <w:rPr>
                <w:b/>
                <w:szCs w:val="22"/>
              </w:rPr>
            </w:pPr>
            <w:r w:rsidRPr="00BB4503">
              <w:rPr>
                <w:b/>
                <w:szCs w:val="22"/>
              </w:rPr>
              <w:t>Outputs</w:t>
            </w:r>
          </w:p>
        </w:tc>
        <w:tc>
          <w:tcPr>
            <w:tcW w:w="8265" w:type="dxa"/>
          </w:tcPr>
          <w:p w:rsidR="0011498B" w:rsidRPr="009B2FFF" w:rsidRDefault="0011498B" w:rsidP="0011498B">
            <w:pPr>
              <w:widowControl/>
              <w:ind w:left="58"/>
              <w:rPr>
                <w:szCs w:val="22"/>
              </w:rPr>
            </w:pPr>
            <w:r w:rsidRPr="003E45D9">
              <w:rPr>
                <w:szCs w:val="22"/>
              </w:rPr>
              <w:t xml:space="preserve">Output 1: </w:t>
            </w:r>
            <w:r>
              <w:rPr>
                <w:szCs w:val="22"/>
              </w:rPr>
              <w:t>Government is supported</w:t>
            </w:r>
            <w:r w:rsidRPr="003E45D9">
              <w:rPr>
                <w:szCs w:val="22"/>
              </w:rPr>
              <w:t xml:space="preserve"> </w:t>
            </w:r>
            <w:r>
              <w:rPr>
                <w:szCs w:val="22"/>
              </w:rPr>
              <w:t xml:space="preserve">to facilitate free engagement of CSOs in development and reconciliation processes. </w:t>
            </w:r>
            <w:r w:rsidRPr="002D7E7B">
              <w:rPr>
                <w:i/>
                <w:szCs w:val="22"/>
                <w:lang w:val="en-US"/>
              </w:rPr>
              <w:t>UNOPS reports bilaterally to DANIDA on this component.</w:t>
            </w:r>
          </w:p>
          <w:p w:rsidR="0011498B" w:rsidRDefault="0011498B" w:rsidP="0011498B">
            <w:pPr>
              <w:widowControl/>
              <w:ind w:left="58"/>
              <w:rPr>
                <w:szCs w:val="22"/>
              </w:rPr>
            </w:pPr>
          </w:p>
          <w:p w:rsidR="0011498B" w:rsidRPr="00BB4503" w:rsidRDefault="0011498B" w:rsidP="0011498B">
            <w:pPr>
              <w:widowControl/>
              <w:ind w:left="58"/>
              <w:rPr>
                <w:szCs w:val="22"/>
              </w:rPr>
            </w:pPr>
            <w:r w:rsidRPr="002D7E7B">
              <w:rPr>
                <w:b/>
                <w:szCs w:val="22"/>
              </w:rPr>
              <w:t>Output 2: CSOs have an enhanced capacity to promote citizen oversight mechanisms.</w:t>
            </w:r>
            <w:r w:rsidRPr="003E45D9">
              <w:rPr>
                <w:szCs w:val="22"/>
              </w:rPr>
              <w:t xml:space="preserve"> </w:t>
            </w:r>
            <w:r w:rsidRPr="00A844E4">
              <w:rPr>
                <w:i/>
                <w:szCs w:val="22"/>
              </w:rPr>
              <w:t>UNDP component</w:t>
            </w:r>
          </w:p>
        </w:tc>
      </w:tr>
      <w:tr w:rsidR="0011498B" w:rsidRPr="00BB4503">
        <w:tc>
          <w:tcPr>
            <w:tcW w:w="1815" w:type="dxa"/>
          </w:tcPr>
          <w:p w:rsidR="0011498B" w:rsidRPr="00BB4503" w:rsidRDefault="0011498B" w:rsidP="0011498B">
            <w:pPr>
              <w:rPr>
                <w:b/>
                <w:szCs w:val="22"/>
              </w:rPr>
            </w:pPr>
            <w:r>
              <w:rPr>
                <w:b/>
                <w:szCs w:val="22"/>
              </w:rPr>
              <w:t>Output</w:t>
            </w:r>
          </w:p>
        </w:tc>
        <w:tc>
          <w:tcPr>
            <w:tcW w:w="8265" w:type="dxa"/>
          </w:tcPr>
          <w:p w:rsidR="0011498B" w:rsidRDefault="0011498B" w:rsidP="0011498B">
            <w:pPr>
              <w:widowControl/>
              <w:rPr>
                <w:b/>
                <w:szCs w:val="22"/>
              </w:rPr>
            </w:pPr>
            <w:r w:rsidRPr="00BB4503">
              <w:rPr>
                <w:b/>
                <w:szCs w:val="22"/>
              </w:rPr>
              <w:t>Activities</w:t>
            </w:r>
          </w:p>
        </w:tc>
      </w:tr>
      <w:tr w:rsidR="0011498B" w:rsidRPr="00BB4503">
        <w:tc>
          <w:tcPr>
            <w:tcW w:w="1815" w:type="dxa"/>
          </w:tcPr>
          <w:p w:rsidR="0011498B" w:rsidRDefault="0011498B" w:rsidP="0011498B">
            <w:pPr>
              <w:rPr>
                <w:b/>
                <w:szCs w:val="22"/>
              </w:rPr>
            </w:pPr>
            <w:r w:rsidRPr="00B17D54">
              <w:rPr>
                <w:b/>
                <w:szCs w:val="22"/>
              </w:rPr>
              <w:t xml:space="preserve">Output 2: </w:t>
            </w:r>
          </w:p>
          <w:p w:rsidR="0011498B" w:rsidRPr="00BB4503" w:rsidDel="009B2FFF" w:rsidRDefault="0011498B" w:rsidP="0011498B">
            <w:pPr>
              <w:rPr>
                <w:b/>
                <w:szCs w:val="22"/>
              </w:rPr>
            </w:pPr>
            <w:r w:rsidRPr="00B17D54">
              <w:rPr>
                <w:b/>
                <w:szCs w:val="22"/>
              </w:rPr>
              <w:t>CSOs have an enhanced capacity to promote citizen oversight mechanisms</w:t>
            </w:r>
          </w:p>
        </w:tc>
        <w:tc>
          <w:tcPr>
            <w:tcW w:w="8265" w:type="dxa"/>
          </w:tcPr>
          <w:p w:rsidR="0011498B" w:rsidRPr="00467587" w:rsidRDefault="0011498B" w:rsidP="0011498B">
            <w:pPr>
              <w:widowControl/>
              <w:rPr>
                <w:b/>
                <w:szCs w:val="22"/>
              </w:rPr>
            </w:pPr>
            <w:r w:rsidRPr="00467587">
              <w:rPr>
                <w:b/>
                <w:szCs w:val="22"/>
              </w:rPr>
              <w:t>UNDP Component</w:t>
            </w:r>
            <w:r>
              <w:rPr>
                <w:b/>
                <w:szCs w:val="22"/>
              </w:rPr>
              <w:t xml:space="preserve">: Output 2 which is reflected in this report </w:t>
            </w:r>
          </w:p>
          <w:p w:rsidR="0011498B" w:rsidRPr="00A844E4" w:rsidRDefault="0011498B" w:rsidP="0011498B">
            <w:pPr>
              <w:rPr>
                <w:bCs/>
                <w:szCs w:val="22"/>
              </w:rPr>
            </w:pPr>
            <w:r w:rsidRPr="00B04BCD">
              <w:rPr>
                <w:bCs/>
                <w:szCs w:val="22"/>
              </w:rPr>
              <w:t xml:space="preserve">2.1        </w:t>
            </w:r>
            <w:r w:rsidRPr="00A844E4">
              <w:rPr>
                <w:bCs/>
                <w:szCs w:val="22"/>
              </w:rPr>
              <w:t>CSO Mapping</w:t>
            </w:r>
          </w:p>
          <w:p w:rsidR="0011498B" w:rsidRPr="00A844E4" w:rsidRDefault="0011498B" w:rsidP="0011498B">
            <w:pPr>
              <w:rPr>
                <w:bCs/>
                <w:szCs w:val="22"/>
              </w:rPr>
            </w:pPr>
            <w:r w:rsidRPr="00A844E4">
              <w:rPr>
                <w:bCs/>
                <w:szCs w:val="22"/>
              </w:rPr>
              <w:t>2.2</w:t>
            </w:r>
            <w:r w:rsidRPr="00A844E4">
              <w:rPr>
                <w:bCs/>
                <w:szCs w:val="22"/>
              </w:rPr>
              <w:tab/>
              <w:t>Preparatory Workshop with CSOs on the Call for Proposals process</w:t>
            </w:r>
          </w:p>
          <w:p w:rsidR="0011498B" w:rsidRPr="00A844E4" w:rsidRDefault="0011498B" w:rsidP="0011498B">
            <w:pPr>
              <w:rPr>
                <w:bCs/>
                <w:szCs w:val="22"/>
              </w:rPr>
            </w:pPr>
            <w:r w:rsidRPr="00A844E4">
              <w:rPr>
                <w:bCs/>
                <w:szCs w:val="22"/>
              </w:rPr>
              <w:t>2.3</w:t>
            </w:r>
            <w:r w:rsidRPr="00A844E4">
              <w:rPr>
                <w:bCs/>
                <w:szCs w:val="22"/>
              </w:rPr>
              <w:tab/>
              <w:t>Drafting of Calls for Proposals Guidelines</w:t>
            </w:r>
          </w:p>
          <w:p w:rsidR="0011498B" w:rsidRPr="00A844E4" w:rsidRDefault="0011498B" w:rsidP="0011498B">
            <w:pPr>
              <w:rPr>
                <w:bCs/>
                <w:szCs w:val="22"/>
              </w:rPr>
            </w:pPr>
            <w:r w:rsidRPr="00A844E4">
              <w:rPr>
                <w:bCs/>
                <w:szCs w:val="22"/>
              </w:rPr>
              <w:t>2.4</w:t>
            </w:r>
            <w:r w:rsidRPr="00A844E4">
              <w:rPr>
                <w:bCs/>
                <w:szCs w:val="22"/>
              </w:rPr>
              <w:tab/>
              <w:t>Establishing the Evaluation Committee</w:t>
            </w:r>
          </w:p>
          <w:p w:rsidR="0011498B" w:rsidRPr="00A844E4" w:rsidRDefault="0011498B" w:rsidP="0011498B">
            <w:pPr>
              <w:rPr>
                <w:bCs/>
                <w:szCs w:val="22"/>
              </w:rPr>
            </w:pPr>
            <w:r w:rsidRPr="00A844E4">
              <w:rPr>
                <w:bCs/>
                <w:szCs w:val="22"/>
              </w:rPr>
              <w:t>2.5</w:t>
            </w:r>
            <w:r w:rsidRPr="00A844E4">
              <w:rPr>
                <w:bCs/>
                <w:szCs w:val="22"/>
              </w:rPr>
              <w:tab/>
              <w:t>Eligibility check of applicants</w:t>
            </w:r>
          </w:p>
          <w:p w:rsidR="0011498B" w:rsidRPr="00A844E4" w:rsidRDefault="0011498B" w:rsidP="0011498B">
            <w:pPr>
              <w:rPr>
                <w:bCs/>
                <w:szCs w:val="22"/>
              </w:rPr>
            </w:pPr>
            <w:r w:rsidRPr="00A844E4">
              <w:rPr>
                <w:bCs/>
                <w:szCs w:val="22"/>
              </w:rPr>
              <w:t>2.6</w:t>
            </w:r>
            <w:r w:rsidRPr="00A844E4">
              <w:rPr>
                <w:bCs/>
                <w:szCs w:val="22"/>
              </w:rPr>
              <w:tab/>
              <w:t>Evaluation of Concept notes</w:t>
            </w:r>
          </w:p>
          <w:p w:rsidR="0011498B" w:rsidRPr="00A844E4" w:rsidRDefault="0011498B" w:rsidP="0011498B">
            <w:pPr>
              <w:rPr>
                <w:bCs/>
                <w:szCs w:val="22"/>
              </w:rPr>
            </w:pPr>
            <w:r w:rsidRPr="00A844E4">
              <w:rPr>
                <w:bCs/>
                <w:szCs w:val="22"/>
              </w:rPr>
              <w:t>2.7</w:t>
            </w:r>
            <w:r w:rsidRPr="00A844E4">
              <w:rPr>
                <w:bCs/>
                <w:szCs w:val="22"/>
              </w:rPr>
              <w:tab/>
              <w:t>Discussion with successful applicants for the development of the full proposal</w:t>
            </w:r>
          </w:p>
          <w:p w:rsidR="0011498B" w:rsidRPr="00A844E4" w:rsidRDefault="0011498B" w:rsidP="0011498B">
            <w:pPr>
              <w:rPr>
                <w:bCs/>
                <w:szCs w:val="22"/>
              </w:rPr>
            </w:pPr>
            <w:r w:rsidRPr="00A844E4">
              <w:rPr>
                <w:bCs/>
                <w:szCs w:val="22"/>
              </w:rPr>
              <w:t>2.8</w:t>
            </w:r>
            <w:r w:rsidRPr="00A844E4">
              <w:rPr>
                <w:bCs/>
                <w:szCs w:val="22"/>
              </w:rPr>
              <w:tab/>
              <w:t>Evaluation of full proposals</w:t>
            </w:r>
          </w:p>
          <w:p w:rsidR="0011498B" w:rsidRPr="00A844E4" w:rsidRDefault="0011498B" w:rsidP="0011498B">
            <w:pPr>
              <w:rPr>
                <w:bCs/>
                <w:szCs w:val="22"/>
              </w:rPr>
            </w:pPr>
            <w:r w:rsidRPr="00A844E4">
              <w:rPr>
                <w:bCs/>
                <w:szCs w:val="22"/>
              </w:rPr>
              <w:t>2.9</w:t>
            </w:r>
            <w:r w:rsidRPr="00A844E4">
              <w:rPr>
                <w:bCs/>
                <w:szCs w:val="22"/>
              </w:rPr>
              <w:tab/>
              <w:t>Contract negotiation and contracting</w:t>
            </w:r>
          </w:p>
          <w:p w:rsidR="0011498B" w:rsidRPr="00A844E4" w:rsidRDefault="0011498B" w:rsidP="0011498B">
            <w:pPr>
              <w:rPr>
                <w:bCs/>
                <w:szCs w:val="22"/>
              </w:rPr>
            </w:pPr>
            <w:r w:rsidRPr="00A844E4">
              <w:rPr>
                <w:bCs/>
                <w:szCs w:val="22"/>
              </w:rPr>
              <w:t>2.10</w:t>
            </w:r>
            <w:r w:rsidRPr="00A844E4">
              <w:rPr>
                <w:bCs/>
                <w:szCs w:val="22"/>
              </w:rPr>
              <w:tab/>
              <w:t>Establish an online community of practice</w:t>
            </w:r>
          </w:p>
          <w:p w:rsidR="0011498B" w:rsidRPr="00A844E4" w:rsidRDefault="0011498B" w:rsidP="0011498B">
            <w:pPr>
              <w:rPr>
                <w:bCs/>
                <w:szCs w:val="22"/>
              </w:rPr>
            </w:pPr>
            <w:r w:rsidRPr="00A844E4">
              <w:rPr>
                <w:bCs/>
                <w:szCs w:val="22"/>
              </w:rPr>
              <w:t>2.11</w:t>
            </w:r>
            <w:r w:rsidRPr="00A844E4">
              <w:rPr>
                <w:bCs/>
                <w:szCs w:val="22"/>
              </w:rPr>
              <w:tab/>
              <w:t>Arrange for Community of practice live workshop half way through project cycle.</w:t>
            </w:r>
          </w:p>
          <w:p w:rsidR="0011498B" w:rsidRDefault="0011498B" w:rsidP="0011498B">
            <w:pPr>
              <w:rPr>
                <w:bCs/>
                <w:szCs w:val="22"/>
              </w:rPr>
            </w:pPr>
            <w:r w:rsidRPr="00A844E4">
              <w:rPr>
                <w:bCs/>
                <w:szCs w:val="22"/>
              </w:rPr>
              <w:t>2.12</w:t>
            </w:r>
            <w:r w:rsidRPr="00A844E4">
              <w:rPr>
                <w:bCs/>
                <w:szCs w:val="22"/>
              </w:rPr>
              <w:tab/>
              <w:t>Monitoring and Evaluation</w:t>
            </w:r>
          </w:p>
          <w:p w:rsidR="0011498B" w:rsidRPr="003E45D9" w:rsidRDefault="0011498B" w:rsidP="0011498B">
            <w:pPr>
              <w:rPr>
                <w:bCs/>
                <w:szCs w:val="22"/>
              </w:rPr>
            </w:pPr>
            <w:r>
              <w:rPr>
                <w:bCs/>
                <w:szCs w:val="22"/>
              </w:rPr>
              <w:t>2.13      Programme Evaluation</w:t>
            </w:r>
          </w:p>
          <w:p w:rsidR="0011498B" w:rsidRDefault="0011498B" w:rsidP="0011498B">
            <w:pPr>
              <w:widowControl/>
              <w:rPr>
                <w:b/>
                <w:szCs w:val="22"/>
              </w:rPr>
            </w:pPr>
          </w:p>
        </w:tc>
      </w:tr>
      <w:tr w:rsidR="0011498B" w:rsidRPr="00BB4503">
        <w:tc>
          <w:tcPr>
            <w:tcW w:w="1815" w:type="dxa"/>
          </w:tcPr>
          <w:p w:rsidR="0011498B" w:rsidRPr="00BB4503" w:rsidRDefault="0011498B" w:rsidP="0011498B">
            <w:pPr>
              <w:widowControl/>
              <w:ind w:left="58"/>
              <w:rPr>
                <w:b/>
                <w:szCs w:val="22"/>
              </w:rPr>
            </w:pPr>
            <w:r w:rsidRPr="003E45D9">
              <w:rPr>
                <w:szCs w:val="22"/>
              </w:rPr>
              <w:t xml:space="preserve">Output 1: </w:t>
            </w:r>
            <w:r>
              <w:rPr>
                <w:szCs w:val="22"/>
              </w:rPr>
              <w:t>Government is supported</w:t>
            </w:r>
            <w:r w:rsidRPr="003E45D9">
              <w:rPr>
                <w:szCs w:val="22"/>
              </w:rPr>
              <w:t xml:space="preserve"> </w:t>
            </w:r>
            <w:r>
              <w:rPr>
                <w:szCs w:val="22"/>
              </w:rPr>
              <w:t xml:space="preserve">to facilitate free engagement of CSOs in development and reconciliation processes. </w:t>
            </w:r>
          </w:p>
        </w:tc>
        <w:tc>
          <w:tcPr>
            <w:tcW w:w="8265" w:type="dxa"/>
          </w:tcPr>
          <w:p w:rsidR="0011498B" w:rsidRPr="002D7E7B" w:rsidRDefault="0011498B" w:rsidP="0011498B">
            <w:pPr>
              <w:widowControl/>
              <w:rPr>
                <w:szCs w:val="22"/>
              </w:rPr>
            </w:pPr>
            <w:r w:rsidRPr="002D7E7B">
              <w:rPr>
                <w:szCs w:val="22"/>
              </w:rPr>
              <w:t>Bilaterally reported to DANIDA</w:t>
            </w:r>
          </w:p>
          <w:p w:rsidR="0011498B" w:rsidRDefault="0011498B" w:rsidP="0011498B">
            <w:pPr>
              <w:widowControl/>
              <w:rPr>
                <w:b/>
                <w:szCs w:val="22"/>
              </w:rPr>
            </w:pPr>
          </w:p>
          <w:p w:rsidR="0011498B" w:rsidRDefault="0011498B" w:rsidP="0011498B">
            <w:pPr>
              <w:widowControl/>
              <w:rPr>
                <w:b/>
                <w:szCs w:val="22"/>
              </w:rPr>
            </w:pPr>
            <w:r w:rsidRPr="00467587">
              <w:rPr>
                <w:b/>
                <w:szCs w:val="22"/>
              </w:rPr>
              <w:t>UNOPS Component</w:t>
            </w:r>
            <w:r>
              <w:rPr>
                <w:b/>
                <w:szCs w:val="22"/>
              </w:rPr>
              <w:t>: Output 1</w:t>
            </w:r>
          </w:p>
          <w:p w:rsidR="0011498B" w:rsidRDefault="0011498B" w:rsidP="0011498B">
            <w:pPr>
              <w:numPr>
                <w:ilvl w:val="1"/>
                <w:numId w:val="11"/>
              </w:numPr>
              <w:ind w:left="705" w:hanging="705"/>
              <w:rPr>
                <w:bCs/>
                <w:szCs w:val="22"/>
              </w:rPr>
            </w:pPr>
            <w:r w:rsidRPr="00467587">
              <w:rPr>
                <w:bCs/>
                <w:szCs w:val="22"/>
              </w:rPr>
              <w:t>Conduct awareness activities targeting representatives of public authorities and civil society</w:t>
            </w:r>
          </w:p>
          <w:p w:rsidR="0011498B" w:rsidRDefault="0011498B" w:rsidP="0011498B">
            <w:pPr>
              <w:numPr>
                <w:ilvl w:val="1"/>
                <w:numId w:val="11"/>
              </w:numPr>
              <w:ind w:left="705" w:hanging="705"/>
              <w:rPr>
                <w:bCs/>
                <w:szCs w:val="22"/>
              </w:rPr>
            </w:pPr>
            <w:r w:rsidRPr="00467587">
              <w:rPr>
                <w:bCs/>
                <w:szCs w:val="22"/>
              </w:rPr>
              <w:t>Drafting of the base policy Compact document by technical experts at the start of the programme</w:t>
            </w:r>
          </w:p>
          <w:p w:rsidR="0011498B" w:rsidRDefault="0011498B" w:rsidP="0011498B">
            <w:pPr>
              <w:numPr>
                <w:ilvl w:val="1"/>
                <w:numId w:val="11"/>
              </w:numPr>
              <w:ind w:left="705" w:hanging="705"/>
              <w:rPr>
                <w:bCs/>
                <w:szCs w:val="22"/>
              </w:rPr>
            </w:pPr>
            <w:r w:rsidRPr="00467587">
              <w:rPr>
                <w:bCs/>
                <w:szCs w:val="22"/>
              </w:rPr>
              <w:t>Planning/strategy meeting between representatives of the KR</w:t>
            </w:r>
            <w:r>
              <w:rPr>
                <w:bCs/>
                <w:szCs w:val="22"/>
              </w:rPr>
              <w:t>G authorities and civil society</w:t>
            </w:r>
          </w:p>
          <w:p w:rsidR="0011498B" w:rsidRDefault="0011498B" w:rsidP="0011498B">
            <w:pPr>
              <w:numPr>
                <w:ilvl w:val="1"/>
                <w:numId w:val="11"/>
              </w:numPr>
              <w:ind w:left="705" w:hanging="705"/>
              <w:rPr>
                <w:bCs/>
                <w:szCs w:val="22"/>
              </w:rPr>
            </w:pPr>
            <w:r w:rsidRPr="00467587">
              <w:rPr>
                <w:bCs/>
                <w:szCs w:val="22"/>
              </w:rPr>
              <w:t xml:space="preserve">Papers prepared and disseminated among various stakeholders on the relevant topic and how they can </w:t>
            </w:r>
            <w:r>
              <w:rPr>
                <w:bCs/>
                <w:szCs w:val="22"/>
              </w:rPr>
              <w:t>relate to the situation in Iraq</w:t>
            </w:r>
          </w:p>
          <w:p w:rsidR="0011498B" w:rsidRDefault="0011498B" w:rsidP="0011498B">
            <w:pPr>
              <w:numPr>
                <w:ilvl w:val="1"/>
                <w:numId w:val="11"/>
              </w:numPr>
              <w:ind w:left="705" w:hanging="705"/>
              <w:rPr>
                <w:bCs/>
                <w:szCs w:val="22"/>
              </w:rPr>
            </w:pPr>
            <w:r w:rsidRPr="00467587">
              <w:rPr>
                <w:bCs/>
                <w:szCs w:val="22"/>
              </w:rPr>
              <w:t>Study tour takes place</w:t>
            </w:r>
          </w:p>
          <w:p w:rsidR="0011498B" w:rsidRDefault="0011498B" w:rsidP="0011498B">
            <w:pPr>
              <w:numPr>
                <w:ilvl w:val="1"/>
                <w:numId w:val="11"/>
              </w:numPr>
              <w:ind w:left="705" w:hanging="705"/>
              <w:rPr>
                <w:bCs/>
                <w:szCs w:val="22"/>
              </w:rPr>
            </w:pPr>
            <w:r w:rsidRPr="00467587">
              <w:rPr>
                <w:bCs/>
                <w:szCs w:val="22"/>
              </w:rPr>
              <w:t>Conduct training of trainers for civil society activists and representatives of the KRG parliaments a</w:t>
            </w:r>
            <w:r>
              <w:rPr>
                <w:bCs/>
                <w:szCs w:val="22"/>
              </w:rPr>
              <w:t>nd subsequent cascade trainings</w:t>
            </w:r>
          </w:p>
          <w:p w:rsidR="0011498B" w:rsidRDefault="0011498B" w:rsidP="0011498B">
            <w:pPr>
              <w:numPr>
                <w:ilvl w:val="1"/>
                <w:numId w:val="11"/>
              </w:numPr>
              <w:ind w:left="705" w:hanging="705"/>
              <w:rPr>
                <w:bCs/>
                <w:szCs w:val="22"/>
              </w:rPr>
            </w:pPr>
            <w:r w:rsidRPr="00467587">
              <w:rPr>
                <w:bCs/>
                <w:szCs w:val="22"/>
              </w:rPr>
              <w:t>Consultations of the draft document among civil society organizations in the KRG Iraq carried out through meetings and media.</w:t>
            </w:r>
          </w:p>
          <w:p w:rsidR="0011498B" w:rsidRDefault="0011498B" w:rsidP="0011498B">
            <w:pPr>
              <w:numPr>
                <w:ilvl w:val="1"/>
                <w:numId w:val="11"/>
              </w:numPr>
              <w:ind w:left="705" w:hanging="705"/>
              <w:rPr>
                <w:bCs/>
                <w:szCs w:val="22"/>
              </w:rPr>
            </w:pPr>
            <w:r w:rsidRPr="00467587">
              <w:rPr>
                <w:bCs/>
                <w:szCs w:val="22"/>
              </w:rPr>
              <w:t>Conduct consultations of the draft document between representatives of Civil Society and KRG parliamen</w:t>
            </w:r>
            <w:r>
              <w:rPr>
                <w:bCs/>
                <w:szCs w:val="22"/>
              </w:rPr>
              <w:t>t</w:t>
            </w:r>
          </w:p>
          <w:p w:rsidR="0011498B" w:rsidRDefault="0011498B" w:rsidP="0011498B">
            <w:pPr>
              <w:numPr>
                <w:ilvl w:val="1"/>
                <w:numId w:val="11"/>
              </w:numPr>
              <w:ind w:left="705" w:hanging="705"/>
              <w:rPr>
                <w:bCs/>
                <w:szCs w:val="22"/>
              </w:rPr>
            </w:pPr>
            <w:r w:rsidRPr="00467587">
              <w:rPr>
                <w:bCs/>
                <w:szCs w:val="22"/>
              </w:rPr>
              <w:t>Adoption of the policy agreement between the KRG parliament and civil society</w:t>
            </w:r>
          </w:p>
          <w:p w:rsidR="0011498B" w:rsidRPr="00693528" w:rsidRDefault="0011498B" w:rsidP="0011498B">
            <w:pPr>
              <w:widowControl/>
              <w:numPr>
                <w:ilvl w:val="1"/>
                <w:numId w:val="11"/>
              </w:numPr>
              <w:ind w:left="705" w:hanging="705"/>
              <w:rPr>
                <w:szCs w:val="22"/>
              </w:rPr>
            </w:pPr>
            <w:r w:rsidRPr="00693528">
              <w:rPr>
                <w:bCs/>
                <w:szCs w:val="22"/>
              </w:rPr>
              <w:t>Final conference announcing adoption of the document, preferably organized at the KRG parliament</w:t>
            </w:r>
          </w:p>
          <w:p w:rsidR="0011498B" w:rsidRPr="00BB4503" w:rsidRDefault="0011498B" w:rsidP="0011498B">
            <w:pPr>
              <w:rPr>
                <w:szCs w:val="22"/>
              </w:rPr>
            </w:pPr>
          </w:p>
        </w:tc>
      </w:tr>
      <w:tr w:rsidR="0011498B" w:rsidRPr="00BB4503">
        <w:tc>
          <w:tcPr>
            <w:tcW w:w="1815" w:type="dxa"/>
          </w:tcPr>
          <w:p w:rsidR="0011498B" w:rsidRPr="00BB4503" w:rsidRDefault="0011498B" w:rsidP="0011498B">
            <w:pPr>
              <w:rPr>
                <w:b/>
                <w:szCs w:val="22"/>
              </w:rPr>
            </w:pPr>
            <w:r w:rsidRPr="00BB4503">
              <w:rPr>
                <w:b/>
                <w:szCs w:val="22"/>
              </w:rPr>
              <w:t>Procurement</w:t>
            </w:r>
          </w:p>
          <w:p w:rsidR="0011498B" w:rsidRPr="00BB4503" w:rsidRDefault="0011498B" w:rsidP="0011498B">
            <w:pPr>
              <w:rPr>
                <w:b/>
                <w:szCs w:val="22"/>
              </w:rPr>
            </w:pPr>
            <w:r w:rsidRPr="00BB4503">
              <w:rPr>
                <w:b/>
                <w:szCs w:val="22"/>
              </w:rPr>
              <w:t xml:space="preserve">(major items) </w:t>
            </w:r>
          </w:p>
        </w:tc>
        <w:tc>
          <w:tcPr>
            <w:tcW w:w="8265" w:type="dxa"/>
          </w:tcPr>
          <w:p w:rsidR="0011498B" w:rsidRDefault="0011498B" w:rsidP="0011498B">
            <w:pPr>
              <w:numPr>
                <w:ilvl w:val="0"/>
                <w:numId w:val="7"/>
              </w:numPr>
              <w:rPr>
                <w:szCs w:val="22"/>
              </w:rPr>
            </w:pPr>
            <w:r>
              <w:rPr>
                <w:szCs w:val="22"/>
              </w:rPr>
              <w:t>Technical support entities</w:t>
            </w:r>
          </w:p>
          <w:p w:rsidR="0011498B" w:rsidRDefault="0011498B" w:rsidP="0011498B">
            <w:pPr>
              <w:numPr>
                <w:ilvl w:val="0"/>
                <w:numId w:val="7"/>
              </w:numPr>
              <w:rPr>
                <w:szCs w:val="22"/>
              </w:rPr>
            </w:pPr>
            <w:r>
              <w:rPr>
                <w:szCs w:val="22"/>
              </w:rPr>
              <w:t>Trainers and facilitators</w:t>
            </w:r>
          </w:p>
          <w:p w:rsidR="0011498B" w:rsidRPr="00BB4503" w:rsidRDefault="0011498B" w:rsidP="0011498B">
            <w:pPr>
              <w:numPr>
                <w:ilvl w:val="0"/>
                <w:numId w:val="7"/>
              </w:numPr>
              <w:rPr>
                <w:szCs w:val="22"/>
              </w:rPr>
            </w:pPr>
            <w:r>
              <w:rPr>
                <w:szCs w:val="22"/>
              </w:rPr>
              <w:t>CSO grants (for non-credit related activities)</w:t>
            </w:r>
          </w:p>
        </w:tc>
      </w:tr>
    </w:tbl>
    <w:p w:rsidR="0011498B" w:rsidRPr="00CF6944" w:rsidRDefault="0011498B" w:rsidP="0011498B">
      <w:pPr>
        <w:ind w:left="1440" w:firstLine="720"/>
        <w:outlineLvl w:val="0"/>
        <w:rPr>
          <w:b/>
          <w:szCs w:val="22"/>
        </w:rPr>
      </w:pPr>
      <w:r>
        <w:rPr>
          <w:b/>
          <w:szCs w:val="22"/>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06"/>
        <w:gridCol w:w="1671"/>
        <w:gridCol w:w="1103"/>
      </w:tblGrid>
      <w:tr w:rsidR="0011498B" w:rsidRPr="00BB4503" w:rsidTr="00411EBD">
        <w:tc>
          <w:tcPr>
            <w:tcW w:w="2700" w:type="dxa"/>
          </w:tcPr>
          <w:p w:rsidR="0011498B" w:rsidRPr="00505F6B" w:rsidRDefault="0011498B" w:rsidP="0011498B">
            <w:pPr>
              <w:rPr>
                <w:b/>
                <w:szCs w:val="22"/>
              </w:rPr>
            </w:pPr>
            <w:r w:rsidRPr="00505F6B">
              <w:rPr>
                <w:b/>
                <w:szCs w:val="22"/>
              </w:rPr>
              <w:t xml:space="preserve">Funds Committed </w:t>
            </w:r>
          </w:p>
        </w:tc>
        <w:tc>
          <w:tcPr>
            <w:tcW w:w="4606" w:type="dxa"/>
          </w:tcPr>
          <w:p w:rsidR="00EF7A4D" w:rsidRPr="00352309" w:rsidRDefault="0011498B" w:rsidP="00BC22D6">
            <w:pPr>
              <w:jc w:val="right"/>
              <w:rPr>
                <w:rFonts w:ascii="Times" w:hAnsi="Times"/>
                <w:snapToGrid/>
                <w:sz w:val="20"/>
                <w:lang w:val="en-US" w:eastAsia="es-ES"/>
              </w:rPr>
            </w:pPr>
            <w:r w:rsidRPr="00352309">
              <w:rPr>
                <w:szCs w:val="22"/>
              </w:rPr>
              <w:t xml:space="preserve">                       USD </w:t>
            </w:r>
            <w:r w:rsidR="003D2E64" w:rsidRPr="00352309">
              <w:rPr>
                <w:szCs w:val="22"/>
              </w:rPr>
              <w:t xml:space="preserve"> </w:t>
            </w:r>
            <w:r w:rsidR="00F35DC9" w:rsidRPr="00352309">
              <w:rPr>
                <w:szCs w:val="22"/>
              </w:rPr>
              <w:t xml:space="preserve"> </w:t>
            </w:r>
            <w:r w:rsidR="00C6010B" w:rsidRPr="00C6010B">
              <w:rPr>
                <w:szCs w:val="22"/>
              </w:rPr>
              <w:t>2,023,352.43</w:t>
            </w:r>
          </w:p>
          <w:p w:rsidR="00A42209" w:rsidRPr="00352309" w:rsidRDefault="00A42209" w:rsidP="00BC22D6">
            <w:pPr>
              <w:rPr>
                <w:szCs w:val="22"/>
              </w:rPr>
            </w:pPr>
          </w:p>
          <w:p w:rsidR="0011498B" w:rsidRPr="00352309" w:rsidRDefault="00A42209" w:rsidP="006D42DF">
            <w:pPr>
              <w:ind w:left="72"/>
              <w:rPr>
                <w:szCs w:val="22"/>
              </w:rPr>
            </w:pPr>
            <w:r w:rsidRPr="00352309">
              <w:rPr>
                <w:sz w:val="18"/>
                <w:szCs w:val="18"/>
              </w:rPr>
              <w:t>*</w:t>
            </w:r>
            <w:r w:rsidR="006D42DF" w:rsidRPr="00352309">
              <w:rPr>
                <w:sz w:val="18"/>
                <w:szCs w:val="18"/>
              </w:rPr>
              <w:t xml:space="preserve"> The commitment calculation formula has been adjusted this quarter to reflect a better project commitment reality. </w:t>
            </w:r>
            <w:r w:rsidRPr="00352309">
              <w:rPr>
                <w:sz w:val="18"/>
                <w:szCs w:val="18"/>
              </w:rPr>
              <w:t>This</w:t>
            </w:r>
            <w:r w:rsidR="006D42DF" w:rsidRPr="00352309">
              <w:rPr>
                <w:sz w:val="18"/>
                <w:szCs w:val="18"/>
              </w:rPr>
              <w:t xml:space="preserve"> figure </w:t>
            </w:r>
            <w:r w:rsidR="001F6383" w:rsidRPr="00352309">
              <w:rPr>
                <w:sz w:val="18"/>
                <w:szCs w:val="18"/>
              </w:rPr>
              <w:t>include</w:t>
            </w:r>
            <w:r w:rsidRPr="00352309">
              <w:rPr>
                <w:sz w:val="18"/>
                <w:szCs w:val="18"/>
              </w:rPr>
              <w:t>s</w:t>
            </w:r>
            <w:r w:rsidR="001F6383" w:rsidRPr="00352309">
              <w:rPr>
                <w:sz w:val="18"/>
                <w:szCs w:val="18"/>
              </w:rPr>
              <w:t xml:space="preserve"> </w:t>
            </w:r>
            <w:r w:rsidR="00EF7A4D" w:rsidRPr="00352309">
              <w:rPr>
                <w:sz w:val="18"/>
                <w:szCs w:val="18"/>
              </w:rPr>
              <w:t xml:space="preserve">all </w:t>
            </w:r>
            <w:r w:rsidR="006D42DF" w:rsidRPr="00352309">
              <w:rPr>
                <w:sz w:val="18"/>
                <w:szCs w:val="18"/>
              </w:rPr>
              <w:t xml:space="preserve">PO expenditure incurred, </w:t>
            </w:r>
            <w:r w:rsidR="001F6383" w:rsidRPr="00352309">
              <w:rPr>
                <w:sz w:val="18"/>
                <w:szCs w:val="18"/>
              </w:rPr>
              <w:t>all</w:t>
            </w:r>
            <w:r w:rsidRPr="00352309">
              <w:rPr>
                <w:sz w:val="18"/>
                <w:szCs w:val="18"/>
              </w:rPr>
              <w:t xml:space="preserve"> committed</w:t>
            </w:r>
            <w:r w:rsidR="001F6383" w:rsidRPr="00352309">
              <w:rPr>
                <w:sz w:val="18"/>
                <w:szCs w:val="18"/>
              </w:rPr>
              <w:t xml:space="preserve"> CSO grant</w:t>
            </w:r>
            <w:r w:rsidRPr="00352309">
              <w:rPr>
                <w:sz w:val="18"/>
                <w:szCs w:val="18"/>
              </w:rPr>
              <w:t>s</w:t>
            </w:r>
            <w:r w:rsidR="00EF7A4D" w:rsidRPr="00352309">
              <w:rPr>
                <w:sz w:val="18"/>
                <w:szCs w:val="18"/>
              </w:rPr>
              <w:t xml:space="preserve"> paid and due</w:t>
            </w:r>
            <w:r w:rsidR="001F6383" w:rsidRPr="00352309">
              <w:rPr>
                <w:sz w:val="18"/>
                <w:szCs w:val="18"/>
              </w:rPr>
              <w:t xml:space="preserve">, </w:t>
            </w:r>
            <w:r w:rsidRPr="00352309">
              <w:rPr>
                <w:sz w:val="18"/>
                <w:szCs w:val="18"/>
              </w:rPr>
              <w:t>salaries of all staff</w:t>
            </w:r>
            <w:r w:rsidR="00EF7A4D" w:rsidRPr="00352309">
              <w:rPr>
                <w:sz w:val="18"/>
                <w:szCs w:val="18"/>
              </w:rPr>
              <w:t xml:space="preserve"> paid and due</w:t>
            </w:r>
            <w:r w:rsidRPr="00352309">
              <w:rPr>
                <w:sz w:val="18"/>
                <w:szCs w:val="18"/>
              </w:rPr>
              <w:t>, open contracts with consultancy companies</w:t>
            </w:r>
            <w:r w:rsidR="00BC22D6" w:rsidRPr="00352309">
              <w:rPr>
                <w:sz w:val="18"/>
                <w:szCs w:val="18"/>
              </w:rPr>
              <w:t xml:space="preserve"> paid and due</w:t>
            </w:r>
            <w:r w:rsidR="006D42DF" w:rsidRPr="00352309">
              <w:rPr>
                <w:sz w:val="18"/>
                <w:szCs w:val="18"/>
              </w:rPr>
              <w:t>, the total GMS for the funds received</w:t>
            </w:r>
            <w:r w:rsidRPr="00352309">
              <w:rPr>
                <w:sz w:val="18"/>
                <w:szCs w:val="18"/>
              </w:rPr>
              <w:t xml:space="preserve"> and other open commitments for the project covering the whole </w:t>
            </w:r>
            <w:r w:rsidRPr="00352309">
              <w:rPr>
                <w:sz w:val="18"/>
                <w:szCs w:val="18"/>
              </w:rPr>
              <w:lastRenderedPageBreak/>
              <w:t>implementation period</w:t>
            </w:r>
            <w:r w:rsidR="00650C72" w:rsidRPr="00352309">
              <w:rPr>
                <w:sz w:val="18"/>
                <w:szCs w:val="18"/>
              </w:rPr>
              <w:t>.</w:t>
            </w:r>
            <w:r w:rsidR="006D42DF" w:rsidRPr="00352309">
              <w:rPr>
                <w:sz w:val="18"/>
                <w:szCs w:val="18"/>
              </w:rPr>
              <w:t xml:space="preserve"> </w:t>
            </w:r>
          </w:p>
        </w:tc>
        <w:tc>
          <w:tcPr>
            <w:tcW w:w="1671" w:type="dxa"/>
          </w:tcPr>
          <w:p w:rsidR="0011498B" w:rsidRPr="00352309" w:rsidRDefault="0011498B" w:rsidP="0011498B">
            <w:pPr>
              <w:rPr>
                <w:b/>
                <w:szCs w:val="22"/>
              </w:rPr>
            </w:pPr>
            <w:r w:rsidRPr="00352309">
              <w:rPr>
                <w:b/>
                <w:szCs w:val="22"/>
              </w:rPr>
              <w:lastRenderedPageBreak/>
              <w:t>% of approved budget</w:t>
            </w:r>
          </w:p>
          <w:p w:rsidR="0011498B" w:rsidRPr="00352309" w:rsidRDefault="00650C72" w:rsidP="00650C72">
            <w:pPr>
              <w:rPr>
                <w:b/>
                <w:szCs w:val="22"/>
              </w:rPr>
            </w:pPr>
            <w:r w:rsidRPr="00352309">
              <w:rPr>
                <w:b/>
                <w:szCs w:val="22"/>
              </w:rPr>
              <w:t>(100</w:t>
            </w:r>
            <w:r w:rsidR="0011498B" w:rsidRPr="00352309">
              <w:rPr>
                <w:b/>
                <w:szCs w:val="22"/>
              </w:rPr>
              <w:t xml:space="preserve">% of </w:t>
            </w:r>
            <w:r w:rsidRPr="00352309">
              <w:rPr>
                <w:b/>
                <w:szCs w:val="22"/>
              </w:rPr>
              <w:t xml:space="preserve">funds </w:t>
            </w:r>
            <w:r w:rsidR="0011498B" w:rsidRPr="00352309">
              <w:rPr>
                <w:b/>
                <w:szCs w:val="22"/>
              </w:rPr>
              <w:t>received</w:t>
            </w:r>
            <w:r w:rsidRPr="00352309">
              <w:rPr>
                <w:b/>
                <w:szCs w:val="22"/>
              </w:rPr>
              <w:t>)</w:t>
            </w:r>
          </w:p>
        </w:tc>
        <w:tc>
          <w:tcPr>
            <w:tcW w:w="1103" w:type="dxa"/>
          </w:tcPr>
          <w:p w:rsidR="0011498B" w:rsidRPr="00352309" w:rsidRDefault="00C6010B" w:rsidP="00C6010B">
            <w:pPr>
              <w:rPr>
                <w:szCs w:val="22"/>
              </w:rPr>
            </w:pPr>
            <w:r>
              <w:rPr>
                <w:szCs w:val="22"/>
              </w:rPr>
              <w:t>91</w:t>
            </w:r>
            <w:r w:rsidR="00F35DC9" w:rsidRPr="00352309">
              <w:rPr>
                <w:szCs w:val="22"/>
              </w:rPr>
              <w:t>.</w:t>
            </w:r>
            <w:r>
              <w:rPr>
                <w:szCs w:val="22"/>
              </w:rPr>
              <w:t>07</w:t>
            </w:r>
            <w:r w:rsidR="005A06A3" w:rsidRPr="00352309">
              <w:rPr>
                <w:szCs w:val="22"/>
              </w:rPr>
              <w:t>%</w:t>
            </w:r>
          </w:p>
          <w:p w:rsidR="0011498B" w:rsidRPr="00352309" w:rsidRDefault="0011498B" w:rsidP="0011498B">
            <w:pPr>
              <w:rPr>
                <w:szCs w:val="22"/>
              </w:rPr>
            </w:pPr>
          </w:p>
        </w:tc>
      </w:tr>
      <w:tr w:rsidR="0011498B" w:rsidRPr="00BB4503" w:rsidTr="00411EBD">
        <w:tc>
          <w:tcPr>
            <w:tcW w:w="2700" w:type="dxa"/>
          </w:tcPr>
          <w:p w:rsidR="0011498B" w:rsidRPr="00505F6B" w:rsidRDefault="0011498B" w:rsidP="0011498B">
            <w:pPr>
              <w:rPr>
                <w:b/>
                <w:szCs w:val="22"/>
              </w:rPr>
            </w:pPr>
            <w:r w:rsidRPr="00505F6B">
              <w:rPr>
                <w:b/>
                <w:szCs w:val="22"/>
              </w:rPr>
              <w:lastRenderedPageBreak/>
              <w:t>Funds Disbursed</w:t>
            </w:r>
          </w:p>
        </w:tc>
        <w:tc>
          <w:tcPr>
            <w:tcW w:w="4606" w:type="dxa"/>
          </w:tcPr>
          <w:p w:rsidR="00EF7A4D" w:rsidRPr="00352309" w:rsidRDefault="0011498B" w:rsidP="00BC22D6">
            <w:pPr>
              <w:jc w:val="right"/>
              <w:rPr>
                <w:rFonts w:ascii="Times" w:hAnsi="Times"/>
                <w:snapToGrid/>
                <w:sz w:val="20"/>
                <w:lang w:val="en-US" w:eastAsia="es-ES"/>
              </w:rPr>
            </w:pPr>
            <w:r w:rsidRPr="00352309">
              <w:rPr>
                <w:bCs/>
                <w:szCs w:val="22"/>
              </w:rPr>
              <w:t xml:space="preserve">   USD </w:t>
            </w:r>
            <w:r w:rsidR="003D2E64" w:rsidRPr="00352309">
              <w:rPr>
                <w:bCs/>
                <w:szCs w:val="22"/>
              </w:rPr>
              <w:t xml:space="preserve"> </w:t>
            </w:r>
            <w:r w:rsidR="00F35DC9" w:rsidRPr="00352309">
              <w:rPr>
                <w:bCs/>
                <w:szCs w:val="22"/>
              </w:rPr>
              <w:t xml:space="preserve"> </w:t>
            </w:r>
            <w:r w:rsidR="00C6010B" w:rsidRPr="00C6010B">
              <w:rPr>
                <w:bCs/>
                <w:szCs w:val="22"/>
              </w:rPr>
              <w:t xml:space="preserve"> 1,950,509.93</w:t>
            </w:r>
          </w:p>
          <w:p w:rsidR="0011498B" w:rsidRPr="00352309" w:rsidRDefault="0011498B" w:rsidP="00650C72">
            <w:pPr>
              <w:widowControl/>
              <w:tabs>
                <w:tab w:val="left" w:pos="1413"/>
              </w:tabs>
              <w:jc w:val="right"/>
              <w:rPr>
                <w:bCs/>
                <w:szCs w:val="22"/>
              </w:rPr>
            </w:pPr>
          </w:p>
          <w:p w:rsidR="0011498B" w:rsidRPr="00352309" w:rsidRDefault="0011498B" w:rsidP="0011498B">
            <w:pPr>
              <w:rPr>
                <w:szCs w:val="22"/>
              </w:rPr>
            </w:pPr>
          </w:p>
        </w:tc>
        <w:tc>
          <w:tcPr>
            <w:tcW w:w="1671" w:type="dxa"/>
          </w:tcPr>
          <w:p w:rsidR="0011498B" w:rsidRPr="00352309" w:rsidRDefault="0011498B" w:rsidP="0011498B">
            <w:pPr>
              <w:rPr>
                <w:b/>
                <w:szCs w:val="22"/>
              </w:rPr>
            </w:pPr>
            <w:r w:rsidRPr="00352309">
              <w:rPr>
                <w:b/>
                <w:szCs w:val="22"/>
              </w:rPr>
              <w:t>% of approved budget</w:t>
            </w:r>
          </w:p>
          <w:p w:rsidR="0011498B" w:rsidRPr="00352309" w:rsidRDefault="00650C72" w:rsidP="00650C72">
            <w:pPr>
              <w:rPr>
                <w:szCs w:val="22"/>
              </w:rPr>
            </w:pPr>
            <w:r w:rsidRPr="00352309">
              <w:rPr>
                <w:b/>
                <w:szCs w:val="22"/>
              </w:rPr>
              <w:t>(100% of funds received)</w:t>
            </w:r>
          </w:p>
        </w:tc>
        <w:tc>
          <w:tcPr>
            <w:tcW w:w="1103" w:type="dxa"/>
          </w:tcPr>
          <w:p w:rsidR="0011498B" w:rsidRPr="00352309" w:rsidRDefault="00F35DC9" w:rsidP="00C6010B">
            <w:pPr>
              <w:rPr>
                <w:szCs w:val="22"/>
              </w:rPr>
            </w:pPr>
            <w:r w:rsidRPr="00352309">
              <w:rPr>
                <w:szCs w:val="22"/>
              </w:rPr>
              <w:t>8</w:t>
            </w:r>
            <w:r w:rsidR="00C6010B">
              <w:rPr>
                <w:szCs w:val="22"/>
              </w:rPr>
              <w:t>7</w:t>
            </w:r>
            <w:r w:rsidR="003D2E64" w:rsidRPr="00352309">
              <w:rPr>
                <w:szCs w:val="22"/>
              </w:rPr>
              <w:t>.</w:t>
            </w:r>
            <w:r w:rsidRPr="00352309">
              <w:rPr>
                <w:szCs w:val="22"/>
              </w:rPr>
              <w:t>7</w:t>
            </w:r>
            <w:r w:rsidR="00C6010B">
              <w:rPr>
                <w:szCs w:val="22"/>
              </w:rPr>
              <w:t>8</w:t>
            </w:r>
            <w:r w:rsidR="003D2E64" w:rsidRPr="00352309">
              <w:rPr>
                <w:szCs w:val="22"/>
              </w:rPr>
              <w:t>%</w:t>
            </w:r>
          </w:p>
          <w:p w:rsidR="0011498B" w:rsidRPr="00352309" w:rsidRDefault="0011498B" w:rsidP="0011498B">
            <w:pPr>
              <w:rPr>
                <w:szCs w:val="22"/>
              </w:rPr>
            </w:pPr>
          </w:p>
        </w:tc>
      </w:tr>
      <w:tr w:rsidR="0011498B" w:rsidRPr="00BB4503" w:rsidTr="00411EBD">
        <w:tc>
          <w:tcPr>
            <w:tcW w:w="2700" w:type="dxa"/>
          </w:tcPr>
          <w:p w:rsidR="0011498B" w:rsidRPr="00954256" w:rsidRDefault="0011498B" w:rsidP="0011498B">
            <w:pPr>
              <w:rPr>
                <w:b/>
                <w:szCs w:val="22"/>
                <w:highlight w:val="yellow"/>
              </w:rPr>
            </w:pPr>
            <w:r w:rsidRPr="00505F6B">
              <w:rPr>
                <w:b/>
                <w:szCs w:val="22"/>
              </w:rPr>
              <w:t xml:space="preserve">Forecast final date </w:t>
            </w:r>
          </w:p>
        </w:tc>
        <w:tc>
          <w:tcPr>
            <w:tcW w:w="4606" w:type="dxa"/>
          </w:tcPr>
          <w:p w:rsidR="0011498B" w:rsidRPr="00CA74BA" w:rsidRDefault="00C6010B" w:rsidP="00C6010B">
            <w:pPr>
              <w:rPr>
                <w:szCs w:val="22"/>
              </w:rPr>
            </w:pPr>
            <w:r>
              <w:rPr>
                <w:szCs w:val="22"/>
              </w:rPr>
              <w:t>June</w:t>
            </w:r>
            <w:r w:rsidR="0011498B" w:rsidRPr="00CA74BA">
              <w:rPr>
                <w:szCs w:val="22"/>
              </w:rPr>
              <w:t xml:space="preserve"> 201</w:t>
            </w:r>
            <w:r>
              <w:rPr>
                <w:szCs w:val="22"/>
              </w:rPr>
              <w:t>5</w:t>
            </w:r>
          </w:p>
        </w:tc>
        <w:tc>
          <w:tcPr>
            <w:tcW w:w="1671" w:type="dxa"/>
          </w:tcPr>
          <w:p w:rsidR="0011498B" w:rsidRPr="00CA74BA" w:rsidRDefault="0011498B" w:rsidP="0011498B">
            <w:pPr>
              <w:rPr>
                <w:b/>
                <w:szCs w:val="22"/>
              </w:rPr>
            </w:pPr>
            <w:r w:rsidRPr="00CA74BA">
              <w:rPr>
                <w:b/>
                <w:szCs w:val="22"/>
              </w:rPr>
              <w:t>Delay (months)</w:t>
            </w:r>
          </w:p>
        </w:tc>
        <w:tc>
          <w:tcPr>
            <w:tcW w:w="1103" w:type="dxa"/>
          </w:tcPr>
          <w:p w:rsidR="0011498B" w:rsidRPr="00CA74BA" w:rsidRDefault="00906D40" w:rsidP="0011498B">
            <w:pPr>
              <w:rPr>
                <w:szCs w:val="22"/>
              </w:rPr>
            </w:pPr>
            <w:r>
              <w:rPr>
                <w:szCs w:val="22"/>
              </w:rPr>
              <w:t>6</w:t>
            </w:r>
          </w:p>
        </w:tc>
      </w:tr>
    </w:tbl>
    <w:p w:rsidR="0011498B" w:rsidRPr="00CF6944" w:rsidRDefault="0011498B" w:rsidP="0011498B">
      <w:pPr>
        <w:rPr>
          <w:szCs w:val="22"/>
        </w:rPr>
      </w:pPr>
    </w:p>
    <w:p w:rsidR="0011498B" w:rsidRDefault="0011498B" w:rsidP="0011498B">
      <w:pPr>
        <w:outlineLvl w:val="0"/>
        <w:rPr>
          <w:b/>
          <w:szCs w:val="22"/>
        </w:rPr>
      </w:pPr>
    </w:p>
    <w:p w:rsidR="0011498B" w:rsidRPr="00C677C5" w:rsidRDefault="0011498B" w:rsidP="0011498B">
      <w:pPr>
        <w:outlineLvl w:val="0"/>
        <w:rPr>
          <w:b/>
          <w:szCs w:val="22"/>
        </w:rPr>
      </w:pPr>
      <w:r w:rsidRPr="00C677C5">
        <w:rPr>
          <w:b/>
          <w:szCs w:val="22"/>
        </w:rPr>
        <w:t xml:space="preserve">Quantitative achievements against objectives and results </w:t>
      </w:r>
    </w:p>
    <w:tbl>
      <w:tblPr>
        <w:tblW w:w="100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00"/>
        <w:gridCol w:w="1769"/>
        <w:gridCol w:w="1106"/>
      </w:tblGrid>
      <w:tr w:rsidR="0011498B" w:rsidRPr="00C677C5" w:rsidTr="00E06000">
        <w:trPr>
          <w:trHeight w:val="4652"/>
        </w:trPr>
        <w:tc>
          <w:tcPr>
            <w:tcW w:w="2700" w:type="dxa"/>
          </w:tcPr>
          <w:p w:rsidR="0011498B" w:rsidRDefault="0011498B" w:rsidP="0011498B">
            <w:pPr>
              <w:rPr>
                <w:szCs w:val="22"/>
              </w:rPr>
            </w:pPr>
            <w:r w:rsidRPr="00C677C5">
              <w:rPr>
                <w:b/>
                <w:szCs w:val="22"/>
              </w:rPr>
              <w:t>Output 2:</w:t>
            </w:r>
            <w:r w:rsidRPr="00C677C5">
              <w:rPr>
                <w:szCs w:val="22"/>
              </w:rPr>
              <w:t xml:space="preserve"> </w:t>
            </w:r>
          </w:p>
          <w:p w:rsidR="0011498B" w:rsidRPr="00C677C5" w:rsidRDefault="0011498B" w:rsidP="0011498B">
            <w:pPr>
              <w:rPr>
                <w:szCs w:val="22"/>
              </w:rPr>
            </w:pPr>
            <w:r w:rsidRPr="00C677C5">
              <w:rPr>
                <w:szCs w:val="22"/>
              </w:rPr>
              <w:t>CSOs have an enhanced capacity to promote citizen oversight mechanisms.</w:t>
            </w:r>
          </w:p>
        </w:tc>
        <w:tc>
          <w:tcPr>
            <w:tcW w:w="4500" w:type="dxa"/>
          </w:tcPr>
          <w:p w:rsidR="00DB1C52" w:rsidRPr="003E45D9" w:rsidRDefault="00DB1C52" w:rsidP="004E09B3">
            <w:pPr>
              <w:rPr>
                <w:bCs/>
                <w:szCs w:val="22"/>
              </w:rPr>
            </w:pPr>
            <w:r>
              <w:rPr>
                <w:bCs/>
                <w:szCs w:val="22"/>
              </w:rPr>
              <w:t>- Providing Technical Support to the NGOs Directorate</w:t>
            </w:r>
            <w:r w:rsidR="000D1A83">
              <w:rPr>
                <w:bCs/>
                <w:szCs w:val="22"/>
              </w:rPr>
              <w:t xml:space="preserve"> through </w:t>
            </w:r>
            <w:r w:rsidR="004E09B3">
              <w:rPr>
                <w:bCs/>
                <w:szCs w:val="22"/>
              </w:rPr>
              <w:t>recruitment of an international expert to support NGO Directorate capacity building.</w:t>
            </w:r>
          </w:p>
          <w:p w:rsidR="00DB1C52" w:rsidRPr="00352309" w:rsidRDefault="00DB1C52" w:rsidP="00CE11D7">
            <w:pPr>
              <w:rPr>
                <w:bCs/>
                <w:szCs w:val="22"/>
              </w:rPr>
            </w:pPr>
          </w:p>
          <w:p w:rsidR="00D5539B" w:rsidRPr="00352309" w:rsidRDefault="00D5539B" w:rsidP="003B40B9">
            <w:pPr>
              <w:rPr>
                <w:bCs/>
                <w:szCs w:val="22"/>
              </w:rPr>
            </w:pPr>
          </w:p>
        </w:tc>
        <w:tc>
          <w:tcPr>
            <w:tcW w:w="1769" w:type="dxa"/>
          </w:tcPr>
          <w:p w:rsidR="0011498B" w:rsidRPr="00352309" w:rsidRDefault="0011498B" w:rsidP="0011498B">
            <w:pPr>
              <w:rPr>
                <w:szCs w:val="22"/>
              </w:rPr>
            </w:pPr>
            <w:r w:rsidRPr="00352309">
              <w:rPr>
                <w:b/>
                <w:szCs w:val="22"/>
              </w:rPr>
              <w:t>% of planned</w:t>
            </w:r>
          </w:p>
        </w:tc>
        <w:tc>
          <w:tcPr>
            <w:tcW w:w="1106" w:type="dxa"/>
          </w:tcPr>
          <w:p w:rsidR="0011498B" w:rsidRPr="00352309" w:rsidRDefault="00D22BFD" w:rsidP="0011498B">
            <w:pPr>
              <w:rPr>
                <w:szCs w:val="22"/>
              </w:rPr>
            </w:pPr>
            <w:r w:rsidRPr="00352309">
              <w:rPr>
                <w:szCs w:val="22"/>
              </w:rPr>
              <w:t>95</w:t>
            </w:r>
            <w:r w:rsidR="0011498B" w:rsidRPr="00352309">
              <w:rPr>
                <w:szCs w:val="22"/>
              </w:rPr>
              <w:t>%</w:t>
            </w:r>
          </w:p>
          <w:p w:rsidR="0011498B" w:rsidRPr="00352309" w:rsidRDefault="0011498B" w:rsidP="000B114C">
            <w:pPr>
              <w:rPr>
                <w:szCs w:val="22"/>
              </w:rPr>
            </w:pPr>
          </w:p>
        </w:tc>
      </w:tr>
    </w:tbl>
    <w:p w:rsidR="0011498B" w:rsidRPr="00C677C5" w:rsidRDefault="0011498B" w:rsidP="0011498B">
      <w:pPr>
        <w:rPr>
          <w:szCs w:val="22"/>
        </w:rPr>
      </w:pPr>
    </w:p>
    <w:p w:rsidR="0011498B" w:rsidRPr="00C677C5" w:rsidRDefault="0011498B" w:rsidP="0011498B">
      <w:pPr>
        <w:rPr>
          <w:szCs w:val="22"/>
        </w:rPr>
      </w:pPr>
    </w:p>
    <w:p w:rsidR="0011498B" w:rsidRPr="00C677C5" w:rsidRDefault="0011498B" w:rsidP="0011498B">
      <w:pPr>
        <w:outlineLvl w:val="0"/>
        <w:rPr>
          <w:b/>
          <w:szCs w:val="22"/>
        </w:rPr>
      </w:pPr>
      <w:r w:rsidRPr="00C677C5">
        <w:rPr>
          <w:b/>
          <w:szCs w:val="22"/>
        </w:rPr>
        <w:t>Qualitative achievements against objectives and re</w:t>
      </w:r>
      <w:bookmarkStart w:id="0" w:name="_GoBack"/>
      <w:bookmarkEnd w:id="0"/>
      <w:r w:rsidRPr="00C677C5">
        <w:rPr>
          <w:b/>
          <w:szCs w:val="22"/>
        </w:rPr>
        <w:t xml:space="preserve">sults </w:t>
      </w: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11498B" w:rsidRPr="00BB4503" w:rsidTr="00FD4907">
        <w:trPr>
          <w:jc w:val="center"/>
        </w:trPr>
        <w:tc>
          <w:tcPr>
            <w:tcW w:w="10080" w:type="dxa"/>
          </w:tcPr>
          <w:p w:rsidR="0011498B" w:rsidRPr="006A5539" w:rsidRDefault="0011498B" w:rsidP="0011498B">
            <w:pPr>
              <w:jc w:val="both"/>
              <w:rPr>
                <w:szCs w:val="22"/>
              </w:rPr>
            </w:pPr>
            <w:r w:rsidRPr="006A5539">
              <w:rPr>
                <w:szCs w:val="22"/>
              </w:rPr>
              <w:t>UNDP UNDAF Trust Fund component</w:t>
            </w:r>
          </w:p>
          <w:p w:rsidR="0011498B" w:rsidRPr="006A5539" w:rsidRDefault="0011498B" w:rsidP="0011498B">
            <w:pPr>
              <w:jc w:val="both"/>
              <w:rPr>
                <w:szCs w:val="22"/>
              </w:rPr>
            </w:pPr>
          </w:p>
          <w:p w:rsidR="0011498B" w:rsidRPr="0018157D" w:rsidRDefault="0011498B" w:rsidP="0011498B">
            <w:pPr>
              <w:jc w:val="both"/>
              <w:rPr>
                <w:b/>
                <w:sz w:val="24"/>
                <w:szCs w:val="24"/>
              </w:rPr>
            </w:pPr>
            <w:r w:rsidRPr="0018157D">
              <w:rPr>
                <w:b/>
                <w:sz w:val="24"/>
                <w:szCs w:val="24"/>
              </w:rPr>
              <w:t>Output 2:</w:t>
            </w:r>
            <w:r w:rsidRPr="0018157D">
              <w:rPr>
                <w:sz w:val="24"/>
                <w:szCs w:val="24"/>
              </w:rPr>
              <w:t xml:space="preserve"> </w:t>
            </w:r>
            <w:r w:rsidRPr="0018157D">
              <w:rPr>
                <w:b/>
                <w:sz w:val="24"/>
                <w:szCs w:val="24"/>
              </w:rPr>
              <w:t xml:space="preserve">CSOs have an enhanced capacity to promote citizen oversight mechanisms. </w:t>
            </w:r>
          </w:p>
          <w:p w:rsidR="0011498B" w:rsidRPr="0018157D" w:rsidRDefault="0011498B" w:rsidP="0011498B">
            <w:pPr>
              <w:jc w:val="both"/>
              <w:rPr>
                <w:b/>
                <w:sz w:val="24"/>
                <w:szCs w:val="24"/>
              </w:rPr>
            </w:pPr>
          </w:p>
          <w:p w:rsidR="000D1A83" w:rsidRDefault="004E09B3" w:rsidP="000D1A83">
            <w:pPr>
              <w:numPr>
                <w:ilvl w:val="0"/>
                <w:numId w:val="7"/>
              </w:numPr>
              <w:autoSpaceDN w:val="0"/>
              <w:spacing w:after="120"/>
              <w:jc w:val="both"/>
              <w:rPr>
                <w:color w:val="000000"/>
                <w:sz w:val="24"/>
                <w:szCs w:val="24"/>
              </w:rPr>
            </w:pPr>
            <w:r>
              <w:rPr>
                <w:color w:val="000000"/>
                <w:sz w:val="24"/>
                <w:szCs w:val="24"/>
              </w:rPr>
              <w:t xml:space="preserve">UNDP continued </w:t>
            </w:r>
            <w:r w:rsidR="000D1A83">
              <w:rPr>
                <w:color w:val="000000"/>
                <w:sz w:val="24"/>
                <w:szCs w:val="24"/>
              </w:rPr>
              <w:t xml:space="preserve">providing technical support to </w:t>
            </w:r>
            <w:r>
              <w:rPr>
                <w:color w:val="000000"/>
                <w:sz w:val="24"/>
                <w:szCs w:val="24"/>
              </w:rPr>
              <w:t>the NGOs D</w:t>
            </w:r>
            <w:r w:rsidR="000D1A83">
              <w:rPr>
                <w:color w:val="000000"/>
                <w:sz w:val="24"/>
                <w:szCs w:val="24"/>
              </w:rPr>
              <w:t xml:space="preserve">irectorate. UNDP worked during this reporting period on the </w:t>
            </w:r>
            <w:r>
              <w:rPr>
                <w:color w:val="000000"/>
                <w:sz w:val="24"/>
                <w:szCs w:val="24"/>
              </w:rPr>
              <w:t>recruitment preparation and coordination for</w:t>
            </w:r>
            <w:r w:rsidR="000D1A83">
              <w:rPr>
                <w:color w:val="000000"/>
                <w:sz w:val="24"/>
                <w:szCs w:val="24"/>
              </w:rPr>
              <w:t xml:space="preserve"> hiring an international expert </w:t>
            </w:r>
            <w:r>
              <w:rPr>
                <w:color w:val="000000"/>
                <w:sz w:val="24"/>
                <w:szCs w:val="24"/>
              </w:rPr>
              <w:t xml:space="preserve">who </w:t>
            </w:r>
            <w:r w:rsidR="000D1A83">
              <w:rPr>
                <w:color w:val="000000"/>
                <w:sz w:val="24"/>
                <w:szCs w:val="24"/>
              </w:rPr>
              <w:t>will</w:t>
            </w:r>
            <w:r>
              <w:rPr>
                <w:color w:val="000000"/>
                <w:sz w:val="24"/>
                <w:szCs w:val="24"/>
              </w:rPr>
              <w:t xml:space="preserve"> work</w:t>
            </w:r>
            <w:r w:rsidR="000D1A83">
              <w:rPr>
                <w:color w:val="000000"/>
                <w:sz w:val="24"/>
                <w:szCs w:val="24"/>
              </w:rPr>
              <w:t xml:space="preserve"> on enhancing the capacity building of the staff of the capacity build</w:t>
            </w:r>
            <w:r>
              <w:rPr>
                <w:color w:val="000000"/>
                <w:sz w:val="24"/>
                <w:szCs w:val="24"/>
              </w:rPr>
              <w:t>ing department inside the NGOs D</w:t>
            </w:r>
            <w:r w:rsidR="000D1A83">
              <w:rPr>
                <w:color w:val="000000"/>
                <w:sz w:val="24"/>
                <w:szCs w:val="24"/>
              </w:rPr>
              <w:t>irectorate, a first draft of</w:t>
            </w:r>
            <w:r w:rsidR="00C027DB">
              <w:rPr>
                <w:color w:val="000000"/>
                <w:sz w:val="24"/>
                <w:szCs w:val="24"/>
              </w:rPr>
              <w:t xml:space="preserve"> the </w:t>
            </w:r>
            <w:proofErr w:type="spellStart"/>
            <w:r w:rsidR="00C027DB">
              <w:rPr>
                <w:color w:val="000000"/>
                <w:sz w:val="24"/>
                <w:szCs w:val="24"/>
              </w:rPr>
              <w:t>ToR</w:t>
            </w:r>
            <w:proofErr w:type="spellEnd"/>
            <w:r w:rsidR="00C027DB">
              <w:rPr>
                <w:color w:val="000000"/>
                <w:sz w:val="24"/>
                <w:szCs w:val="24"/>
              </w:rPr>
              <w:t xml:space="preserve"> has been submitted. </w:t>
            </w:r>
          </w:p>
          <w:p w:rsidR="002878D6" w:rsidRPr="008227B2" w:rsidRDefault="00C027DB" w:rsidP="004E09B3">
            <w:pPr>
              <w:autoSpaceDN w:val="0"/>
              <w:spacing w:after="120"/>
              <w:ind w:left="777"/>
              <w:jc w:val="both"/>
              <w:rPr>
                <w:color w:val="000000"/>
                <w:sz w:val="24"/>
                <w:szCs w:val="24"/>
              </w:rPr>
            </w:pPr>
            <w:r>
              <w:rPr>
                <w:color w:val="000000"/>
                <w:sz w:val="24"/>
                <w:szCs w:val="24"/>
              </w:rPr>
              <w:t xml:space="preserve">This activity </w:t>
            </w:r>
            <w:r w:rsidR="004E09B3">
              <w:rPr>
                <w:color w:val="000000"/>
                <w:sz w:val="24"/>
                <w:szCs w:val="24"/>
              </w:rPr>
              <w:t xml:space="preserve">was </w:t>
            </w:r>
            <w:r>
              <w:rPr>
                <w:color w:val="000000"/>
                <w:sz w:val="24"/>
                <w:szCs w:val="24"/>
              </w:rPr>
              <w:t xml:space="preserve">planned to be fully achieved during this reporting period but </w:t>
            </w:r>
            <w:r w:rsidR="004E09B3">
              <w:rPr>
                <w:color w:val="000000"/>
                <w:sz w:val="24"/>
                <w:szCs w:val="24"/>
              </w:rPr>
              <w:t xml:space="preserve">due to </w:t>
            </w:r>
            <w:r>
              <w:rPr>
                <w:color w:val="000000"/>
                <w:sz w:val="24"/>
                <w:szCs w:val="24"/>
              </w:rPr>
              <w:t xml:space="preserve">the </w:t>
            </w:r>
            <w:r w:rsidRPr="00901372">
              <w:rPr>
                <w:color w:val="000000"/>
                <w:sz w:val="24"/>
                <w:szCs w:val="24"/>
              </w:rPr>
              <w:t>deterioration</w:t>
            </w:r>
            <w:r>
              <w:rPr>
                <w:color w:val="000000"/>
                <w:sz w:val="24"/>
                <w:szCs w:val="24"/>
              </w:rPr>
              <w:t xml:space="preserve"> of security situation in most of Iraq</w:t>
            </w:r>
            <w:r w:rsidR="004E09B3">
              <w:rPr>
                <w:color w:val="000000"/>
                <w:sz w:val="24"/>
                <w:szCs w:val="24"/>
              </w:rPr>
              <w:t>, the project was unable to implement</w:t>
            </w:r>
            <w:r>
              <w:rPr>
                <w:color w:val="000000"/>
                <w:sz w:val="24"/>
                <w:szCs w:val="24"/>
              </w:rPr>
              <w:t xml:space="preserve"> this activity due to the lack of the available experts </w:t>
            </w:r>
            <w:r w:rsidR="008227B2">
              <w:rPr>
                <w:color w:val="000000"/>
                <w:sz w:val="24"/>
                <w:szCs w:val="24"/>
              </w:rPr>
              <w:t xml:space="preserve">willing to work inside Iraq (red zone). For </w:t>
            </w:r>
            <w:r w:rsidR="004E09B3">
              <w:rPr>
                <w:color w:val="000000"/>
                <w:sz w:val="24"/>
                <w:szCs w:val="24"/>
              </w:rPr>
              <w:t>, a no cost extension w</w:t>
            </w:r>
            <w:r w:rsidR="008227B2">
              <w:rPr>
                <w:color w:val="000000"/>
                <w:sz w:val="24"/>
                <w:szCs w:val="24"/>
              </w:rPr>
              <w:t>as been requested and approved for 6 months to fulfil this activity as well as the monitoring and evaluation of the whole project.</w:t>
            </w:r>
          </w:p>
          <w:p w:rsidR="004E3B1E" w:rsidRDefault="004E3B1E" w:rsidP="004E3B1E">
            <w:pPr>
              <w:ind w:left="146"/>
              <w:jc w:val="both"/>
              <w:rPr>
                <w:szCs w:val="22"/>
              </w:rPr>
            </w:pPr>
          </w:p>
          <w:p w:rsidR="00094B72" w:rsidRPr="006A5539" w:rsidRDefault="00094B72" w:rsidP="004E3B1E">
            <w:pPr>
              <w:ind w:left="146"/>
              <w:jc w:val="both"/>
              <w:rPr>
                <w:szCs w:val="22"/>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0"/>
            </w:tblGrid>
            <w:tr w:rsidR="00FD4907" w:rsidRPr="003F123C" w:rsidTr="004E09B3">
              <w:trPr>
                <w:trHeight w:val="281"/>
              </w:trPr>
              <w:tc>
                <w:tcPr>
                  <w:tcW w:w="10860" w:type="dxa"/>
                  <w:shd w:val="clear" w:color="auto" w:fill="auto"/>
                </w:tcPr>
                <w:p w:rsidR="00FD4907" w:rsidRPr="00840DAA" w:rsidRDefault="00FD4907" w:rsidP="00A56CD4">
                  <w:pPr>
                    <w:rPr>
                      <w:rFonts w:ascii="Calibri" w:hAnsi="Calibri"/>
                      <w:b/>
                    </w:rPr>
                  </w:pPr>
                  <w:r w:rsidRPr="00840DAA">
                    <w:rPr>
                      <w:rFonts w:ascii="Calibri" w:hAnsi="Calibri"/>
                      <w:b/>
                    </w:rPr>
                    <w:t xml:space="preserve">Main implementation constraints &amp; challenges </w:t>
                  </w:r>
                </w:p>
              </w:tc>
            </w:tr>
            <w:tr w:rsidR="00FD4907" w:rsidRPr="003F123C" w:rsidTr="004E09B3">
              <w:trPr>
                <w:trHeight w:val="1407"/>
              </w:trPr>
              <w:tc>
                <w:tcPr>
                  <w:tcW w:w="10860" w:type="dxa"/>
                  <w:shd w:val="clear" w:color="auto" w:fill="auto"/>
                </w:tcPr>
                <w:p w:rsidR="00094B72" w:rsidRDefault="00094B72" w:rsidP="00901372">
                  <w:pPr>
                    <w:jc w:val="both"/>
                    <w:rPr>
                      <w:sz w:val="24"/>
                      <w:szCs w:val="24"/>
                    </w:rPr>
                  </w:pPr>
                  <w:r w:rsidRPr="00352309">
                    <w:rPr>
                      <w:sz w:val="24"/>
                      <w:szCs w:val="24"/>
                    </w:rPr>
                    <w:t xml:space="preserve">The security crises in </w:t>
                  </w:r>
                  <w:r w:rsidR="00901372">
                    <w:rPr>
                      <w:sz w:val="24"/>
                      <w:szCs w:val="24"/>
                    </w:rPr>
                    <w:t>most</w:t>
                  </w:r>
                  <w:r w:rsidRPr="00352309">
                    <w:rPr>
                      <w:sz w:val="24"/>
                      <w:szCs w:val="24"/>
                    </w:rPr>
                    <w:t xml:space="preserve"> </w:t>
                  </w:r>
                  <w:r w:rsidR="00901372">
                    <w:rPr>
                      <w:sz w:val="24"/>
                      <w:szCs w:val="24"/>
                    </w:rPr>
                    <w:t>of</w:t>
                  </w:r>
                  <w:r w:rsidRPr="00352309">
                    <w:rPr>
                      <w:sz w:val="24"/>
                      <w:szCs w:val="24"/>
                    </w:rPr>
                    <w:t xml:space="preserve"> </w:t>
                  </w:r>
                  <w:r w:rsidR="00901372">
                    <w:rPr>
                      <w:sz w:val="24"/>
                      <w:szCs w:val="24"/>
                    </w:rPr>
                    <w:t>areas</w:t>
                  </w:r>
                  <w:r w:rsidRPr="00352309">
                    <w:rPr>
                      <w:sz w:val="24"/>
                      <w:szCs w:val="24"/>
                    </w:rPr>
                    <w:t xml:space="preserve"> of Iraq </w:t>
                  </w:r>
                  <w:r w:rsidR="00901372">
                    <w:rPr>
                      <w:sz w:val="24"/>
                      <w:szCs w:val="24"/>
                    </w:rPr>
                    <w:t xml:space="preserve">lead </w:t>
                  </w:r>
                  <w:r w:rsidRPr="00352309">
                    <w:rPr>
                      <w:sz w:val="24"/>
                      <w:szCs w:val="24"/>
                    </w:rPr>
                    <w:t xml:space="preserve">to </w:t>
                  </w:r>
                  <w:r w:rsidR="00901372" w:rsidRPr="00352309">
                    <w:rPr>
                      <w:sz w:val="24"/>
                      <w:szCs w:val="24"/>
                    </w:rPr>
                    <w:t xml:space="preserve">slow the process </w:t>
                  </w:r>
                  <w:r w:rsidR="00901372">
                    <w:rPr>
                      <w:sz w:val="24"/>
                      <w:szCs w:val="24"/>
                    </w:rPr>
                    <w:t>of</w:t>
                  </w:r>
                  <w:r w:rsidRPr="00352309">
                    <w:rPr>
                      <w:sz w:val="24"/>
                      <w:szCs w:val="24"/>
                    </w:rPr>
                    <w:t xml:space="preserve"> the implement</w:t>
                  </w:r>
                  <w:r w:rsidR="00901372">
                    <w:rPr>
                      <w:sz w:val="24"/>
                      <w:szCs w:val="24"/>
                    </w:rPr>
                    <w:t xml:space="preserve">ation of the project activities, </w:t>
                  </w:r>
                  <w:r w:rsidRPr="00352309">
                    <w:rPr>
                      <w:sz w:val="24"/>
                      <w:szCs w:val="24"/>
                    </w:rPr>
                    <w:t xml:space="preserve">as most of the counterparts and NGOs </w:t>
                  </w:r>
                  <w:r w:rsidR="00CE11D7" w:rsidRPr="00352309">
                    <w:rPr>
                      <w:sz w:val="24"/>
                      <w:szCs w:val="24"/>
                    </w:rPr>
                    <w:t>concerned with</w:t>
                  </w:r>
                  <w:r w:rsidRPr="00352309">
                    <w:rPr>
                      <w:sz w:val="24"/>
                      <w:szCs w:val="24"/>
                    </w:rPr>
                    <w:t xml:space="preserve"> the </w:t>
                  </w:r>
                  <w:r w:rsidR="00CE11D7" w:rsidRPr="00352309">
                    <w:rPr>
                      <w:sz w:val="24"/>
                      <w:szCs w:val="24"/>
                    </w:rPr>
                    <w:t xml:space="preserve">humanitarian </w:t>
                  </w:r>
                  <w:r w:rsidRPr="00352309">
                    <w:rPr>
                      <w:sz w:val="24"/>
                      <w:szCs w:val="24"/>
                    </w:rPr>
                    <w:t>crises</w:t>
                  </w:r>
                  <w:r w:rsidR="00CE11D7" w:rsidRPr="00352309">
                    <w:rPr>
                      <w:sz w:val="24"/>
                      <w:szCs w:val="24"/>
                    </w:rPr>
                    <w:t>.</w:t>
                  </w:r>
                  <w:r w:rsidRPr="00352309">
                    <w:rPr>
                      <w:sz w:val="24"/>
                      <w:szCs w:val="24"/>
                    </w:rPr>
                    <w:t xml:space="preserve"> </w:t>
                  </w:r>
                </w:p>
                <w:p w:rsidR="00094B72" w:rsidRDefault="00094B72" w:rsidP="00BB1101">
                  <w:pPr>
                    <w:ind w:left="146"/>
                    <w:jc w:val="both"/>
                    <w:rPr>
                      <w:sz w:val="24"/>
                      <w:szCs w:val="24"/>
                    </w:rPr>
                  </w:pPr>
                </w:p>
                <w:p w:rsidR="00FD4907" w:rsidRDefault="00FD4907" w:rsidP="00CE11D7">
                  <w:pPr>
                    <w:ind w:left="146"/>
                    <w:jc w:val="both"/>
                    <w:rPr>
                      <w:sz w:val="24"/>
                      <w:szCs w:val="24"/>
                    </w:rPr>
                  </w:pPr>
                </w:p>
                <w:p w:rsidR="00AA1989" w:rsidRDefault="00AA1989" w:rsidP="00CE11D7">
                  <w:pPr>
                    <w:ind w:left="146"/>
                    <w:jc w:val="both"/>
                    <w:rPr>
                      <w:sz w:val="24"/>
                      <w:szCs w:val="24"/>
                    </w:rPr>
                  </w:pPr>
                </w:p>
                <w:p w:rsidR="00AA1989" w:rsidRPr="00840DAA" w:rsidRDefault="00AA1989" w:rsidP="00CE11D7">
                  <w:pPr>
                    <w:ind w:left="146"/>
                    <w:jc w:val="both"/>
                    <w:rPr>
                      <w:sz w:val="24"/>
                      <w:szCs w:val="24"/>
                    </w:rPr>
                  </w:pPr>
                </w:p>
              </w:tc>
            </w:tr>
            <w:tr w:rsidR="00FD4907" w:rsidRPr="003F123C" w:rsidTr="004E09B3">
              <w:trPr>
                <w:trHeight w:val="281"/>
              </w:trPr>
              <w:tc>
                <w:tcPr>
                  <w:tcW w:w="10860" w:type="dxa"/>
                  <w:shd w:val="clear" w:color="auto" w:fill="0070C0"/>
                </w:tcPr>
                <w:p w:rsidR="00FD4907" w:rsidRPr="008F2603" w:rsidRDefault="00FD4907" w:rsidP="00A56CD4">
                  <w:pPr>
                    <w:rPr>
                      <w:sz w:val="24"/>
                      <w:szCs w:val="24"/>
                    </w:rPr>
                  </w:pPr>
                </w:p>
              </w:tc>
            </w:tr>
            <w:tr w:rsidR="00FD4907" w:rsidRPr="00BB4503" w:rsidTr="004E09B3">
              <w:tblPrEx>
                <w:tblLook w:val="01E0" w:firstRow="1" w:lastRow="1" w:firstColumn="1" w:lastColumn="1" w:noHBand="0" w:noVBand="0"/>
              </w:tblPrEx>
              <w:trPr>
                <w:trHeight w:val="266"/>
              </w:trPr>
              <w:tc>
                <w:tcPr>
                  <w:tcW w:w="10860" w:type="dxa"/>
                  <w:shd w:val="clear" w:color="auto" w:fill="000099"/>
                </w:tcPr>
                <w:p w:rsidR="00FD4907" w:rsidRPr="006A5539" w:rsidRDefault="00FD4907" w:rsidP="00A56CD4">
                  <w:pPr>
                    <w:rPr>
                      <w:color w:val="000000"/>
                      <w:szCs w:val="22"/>
                    </w:rPr>
                  </w:pPr>
                </w:p>
              </w:tc>
            </w:tr>
          </w:tbl>
          <w:p w:rsidR="003446D3" w:rsidRDefault="003446D3" w:rsidP="00EF7A4D">
            <w:pPr>
              <w:rPr>
                <w:b/>
                <w:bCs/>
                <w:i/>
                <w:iCs/>
                <w:szCs w:val="22"/>
                <w:u w:val="single"/>
              </w:rPr>
            </w:pPr>
          </w:p>
          <w:p w:rsidR="001146BA" w:rsidRDefault="001146BA" w:rsidP="00D814CE">
            <w:pPr>
              <w:ind w:left="146"/>
              <w:jc w:val="center"/>
              <w:rPr>
                <w:b/>
                <w:bCs/>
                <w:i/>
                <w:iCs/>
                <w:snapToGrid/>
                <w:szCs w:val="22"/>
                <w:u w:val="single"/>
              </w:rPr>
            </w:pPr>
            <w:r>
              <w:rPr>
                <w:b/>
                <w:bCs/>
                <w:i/>
                <w:iCs/>
                <w:szCs w:val="22"/>
                <w:u w:val="single"/>
              </w:rPr>
              <w:lastRenderedPageBreak/>
              <w:t>ANNEXES</w:t>
            </w:r>
          </w:p>
          <w:p w:rsidR="001146BA" w:rsidRDefault="001146BA" w:rsidP="00D814CE">
            <w:pPr>
              <w:ind w:left="146"/>
              <w:jc w:val="center"/>
              <w:rPr>
                <w:b/>
                <w:bCs/>
                <w:i/>
                <w:iCs/>
                <w:snapToGrid/>
                <w:szCs w:val="22"/>
                <w:u w:val="single"/>
              </w:rPr>
            </w:pPr>
          </w:p>
          <w:p w:rsidR="009624F7" w:rsidRPr="006A5539" w:rsidRDefault="009624F7" w:rsidP="0011498B">
            <w:pPr>
              <w:ind w:left="146"/>
              <w:jc w:val="both"/>
              <w:rPr>
                <w:b/>
                <w:bCs/>
                <w:i/>
                <w:iCs/>
                <w:szCs w:val="22"/>
                <w:u w:val="single"/>
              </w:rPr>
            </w:pPr>
            <w:r w:rsidRPr="006A5539">
              <w:rPr>
                <w:b/>
                <w:bCs/>
                <w:i/>
                <w:iCs/>
                <w:szCs w:val="22"/>
                <w:u w:val="single"/>
              </w:rPr>
              <w:t>Annex 1: List of 8 CSO consortia (31 CSOs) selected for project grants and capacity development</w:t>
            </w:r>
          </w:p>
          <w:p w:rsidR="009624F7" w:rsidRPr="006A5539" w:rsidRDefault="009624F7" w:rsidP="0011498B">
            <w:pPr>
              <w:ind w:left="146"/>
              <w:jc w:val="both"/>
              <w:rPr>
                <w:szCs w:val="22"/>
              </w:rPr>
            </w:pPr>
          </w:p>
          <w:tbl>
            <w:tblPr>
              <w:tblW w:w="8160" w:type="dxa"/>
              <w:jc w:val="center"/>
              <w:tblLook w:val="04A0" w:firstRow="1" w:lastRow="0" w:firstColumn="1" w:lastColumn="0" w:noHBand="0" w:noVBand="1"/>
            </w:tblPr>
            <w:tblGrid>
              <w:gridCol w:w="4500"/>
              <w:gridCol w:w="1060"/>
              <w:gridCol w:w="940"/>
              <w:gridCol w:w="1660"/>
            </w:tblGrid>
            <w:tr w:rsidR="009624F7" w:rsidRPr="009624F7" w:rsidTr="009624F7">
              <w:trPr>
                <w:trHeight w:val="702"/>
                <w:jc w:val="center"/>
              </w:trPr>
              <w:tc>
                <w:tcPr>
                  <w:tcW w:w="450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9624F7" w:rsidRPr="009624F7" w:rsidRDefault="00F323F7" w:rsidP="009624F7">
                  <w:pPr>
                    <w:widowControl/>
                    <w:jc w:val="center"/>
                    <w:rPr>
                      <w:b/>
                      <w:bCs/>
                      <w:snapToGrid/>
                      <w:color w:val="FFFFFF"/>
                      <w:szCs w:val="22"/>
                      <w:lang w:val="en-US"/>
                    </w:rPr>
                  </w:pPr>
                  <w:r>
                    <w:rPr>
                      <w:b/>
                      <w:bCs/>
                      <w:snapToGrid/>
                      <w:color w:val="FFFFFF"/>
                      <w:szCs w:val="22"/>
                      <w:lang w:val="en-US"/>
                    </w:rPr>
                    <w:t xml:space="preserve">CSO </w:t>
                  </w:r>
                  <w:r w:rsidR="009624F7" w:rsidRPr="009624F7">
                    <w:rPr>
                      <w:b/>
                      <w:bCs/>
                      <w:snapToGrid/>
                      <w:color w:val="FFFFFF"/>
                      <w:szCs w:val="22"/>
                      <w:lang w:val="en-US"/>
                    </w:rPr>
                    <w:t>Name</w:t>
                  </w:r>
                </w:p>
              </w:tc>
              <w:tc>
                <w:tcPr>
                  <w:tcW w:w="1060" w:type="dxa"/>
                  <w:tcBorders>
                    <w:top w:val="single" w:sz="4" w:space="0" w:color="auto"/>
                    <w:left w:val="nil"/>
                    <w:bottom w:val="single" w:sz="4" w:space="0" w:color="auto"/>
                    <w:right w:val="single" w:sz="4" w:space="0" w:color="auto"/>
                  </w:tcBorders>
                  <w:shd w:val="clear" w:color="000000" w:fill="4F81BD"/>
                  <w:vAlign w:val="center"/>
                  <w:hideMark/>
                </w:tcPr>
                <w:p w:rsidR="009624F7" w:rsidRPr="009624F7" w:rsidRDefault="00F323F7" w:rsidP="009624F7">
                  <w:pPr>
                    <w:widowControl/>
                    <w:jc w:val="center"/>
                    <w:rPr>
                      <w:b/>
                      <w:bCs/>
                      <w:snapToGrid/>
                      <w:color w:val="FFFFFF"/>
                      <w:szCs w:val="22"/>
                      <w:lang w:val="en-US"/>
                    </w:rPr>
                  </w:pPr>
                  <w:r>
                    <w:rPr>
                      <w:b/>
                      <w:bCs/>
                      <w:snapToGrid/>
                      <w:color w:val="FFFFFF"/>
                      <w:szCs w:val="22"/>
                      <w:lang w:val="en-US"/>
                    </w:rPr>
                    <w:t>Role</w:t>
                  </w:r>
                </w:p>
              </w:tc>
              <w:tc>
                <w:tcPr>
                  <w:tcW w:w="940" w:type="dxa"/>
                  <w:tcBorders>
                    <w:top w:val="single" w:sz="4" w:space="0" w:color="auto"/>
                    <w:left w:val="nil"/>
                    <w:bottom w:val="single" w:sz="4" w:space="0" w:color="auto"/>
                    <w:right w:val="single" w:sz="4" w:space="0" w:color="auto"/>
                  </w:tcBorders>
                  <w:shd w:val="clear" w:color="000000" w:fill="4F81BD"/>
                  <w:vAlign w:val="center"/>
                  <w:hideMark/>
                </w:tcPr>
                <w:p w:rsidR="009624F7" w:rsidRPr="009624F7" w:rsidRDefault="009624F7" w:rsidP="009624F7">
                  <w:pPr>
                    <w:widowControl/>
                    <w:jc w:val="center"/>
                    <w:rPr>
                      <w:b/>
                      <w:bCs/>
                      <w:snapToGrid/>
                      <w:color w:val="FFFFFF"/>
                      <w:szCs w:val="22"/>
                      <w:lang w:val="en-US"/>
                    </w:rPr>
                  </w:pPr>
                  <w:r w:rsidRPr="009624F7">
                    <w:rPr>
                      <w:b/>
                      <w:bCs/>
                      <w:snapToGrid/>
                      <w:color w:val="FFFFFF"/>
                      <w:szCs w:val="22"/>
                      <w:lang w:val="en-US"/>
                    </w:rPr>
                    <w:t>CSO</w:t>
                  </w:r>
                  <w:r w:rsidR="00F323F7">
                    <w:rPr>
                      <w:b/>
                      <w:bCs/>
                      <w:snapToGrid/>
                      <w:color w:val="FFFFFF"/>
                      <w:szCs w:val="22"/>
                      <w:lang w:val="en-US"/>
                    </w:rPr>
                    <w:t xml:space="preserve"> Code</w:t>
                  </w:r>
                </w:p>
              </w:tc>
              <w:tc>
                <w:tcPr>
                  <w:tcW w:w="1660" w:type="dxa"/>
                  <w:tcBorders>
                    <w:top w:val="single" w:sz="4" w:space="0" w:color="auto"/>
                    <w:left w:val="nil"/>
                    <w:bottom w:val="single" w:sz="4" w:space="0" w:color="auto"/>
                    <w:right w:val="single" w:sz="4" w:space="0" w:color="auto"/>
                  </w:tcBorders>
                  <w:shd w:val="clear" w:color="000000" w:fill="4F81BD"/>
                  <w:vAlign w:val="center"/>
                  <w:hideMark/>
                </w:tcPr>
                <w:p w:rsidR="009624F7" w:rsidRPr="009624F7" w:rsidRDefault="009624F7" w:rsidP="009624F7">
                  <w:pPr>
                    <w:widowControl/>
                    <w:jc w:val="center"/>
                    <w:rPr>
                      <w:b/>
                      <w:bCs/>
                      <w:snapToGrid/>
                      <w:color w:val="FFFFFF"/>
                      <w:szCs w:val="22"/>
                      <w:lang w:val="en-US"/>
                    </w:rPr>
                  </w:pPr>
                  <w:r w:rsidRPr="009624F7">
                    <w:rPr>
                      <w:b/>
                      <w:bCs/>
                      <w:snapToGrid/>
                      <w:color w:val="FFFFFF"/>
                      <w:szCs w:val="22"/>
                      <w:lang w:val="en-US"/>
                    </w:rPr>
                    <w:t>Governorate</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Insan</w:t>
                  </w:r>
                  <w:proofErr w:type="spellEnd"/>
                  <w:r w:rsidRPr="009624F7">
                    <w:rPr>
                      <w:snapToGrid/>
                      <w:szCs w:val="22"/>
                      <w:lang w:val="en-US"/>
                    </w:rPr>
                    <w:t xml:space="preserve"> Iraqi Society for Relief and Development</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CSO1</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Kirkuk</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National Institute for Human Rights</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CSO1.1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Kirkuk</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Humanitarian Relief Association for  Iraqi Turkmen Women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CSO1.2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Kirkuk</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Iraqi Institute for Development (IID)</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CSO2</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A42209" w:rsidP="009624F7">
                  <w:pPr>
                    <w:widowControl/>
                    <w:jc w:val="center"/>
                    <w:rPr>
                      <w:snapToGrid/>
                      <w:szCs w:val="22"/>
                      <w:lang w:val="en-US"/>
                    </w:rPr>
                  </w:pPr>
                  <w:r>
                    <w:rPr>
                      <w:snapToGrid/>
                      <w:szCs w:val="22"/>
                      <w:lang w:val="en-US"/>
                    </w:rPr>
                    <w:t>Mosul</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Organization of Iraqi Family</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CSO2.1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Tikreet</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Harraa</w:t>
                  </w:r>
                  <w:proofErr w:type="spellEnd"/>
                  <w:r w:rsidRPr="009624F7">
                    <w:rPr>
                      <w:snapToGrid/>
                      <w:szCs w:val="22"/>
                      <w:lang w:val="en-US"/>
                    </w:rPr>
                    <w:t xml:space="preserve"> Humanitarian Organization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CSO2.2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Kurdistan Reconstruction and Development Organization (KURDO)</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CSO3</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A42209">
                  <w:pPr>
                    <w:widowControl/>
                    <w:jc w:val="center"/>
                    <w:rPr>
                      <w:snapToGrid/>
                      <w:szCs w:val="22"/>
                      <w:lang w:val="en-US"/>
                    </w:rPr>
                  </w:pPr>
                  <w:proofErr w:type="spellStart"/>
                  <w:r w:rsidRPr="009624F7">
                    <w:rPr>
                      <w:snapToGrid/>
                      <w:szCs w:val="22"/>
                      <w:lang w:val="en-US"/>
                    </w:rPr>
                    <w:t>Sula</w:t>
                  </w:r>
                  <w:r w:rsidR="00A42209">
                    <w:rPr>
                      <w:snapToGrid/>
                      <w:szCs w:val="22"/>
                      <w:lang w:val="en-US"/>
                    </w:rPr>
                    <w:t>ymaniyah</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Youth Activity Organization (YAO)</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CSO3.1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A42209" w:rsidP="009624F7">
                  <w:pPr>
                    <w:widowControl/>
                    <w:jc w:val="center"/>
                    <w:rPr>
                      <w:snapToGrid/>
                      <w:szCs w:val="22"/>
                      <w:lang w:val="en-US"/>
                    </w:rPr>
                  </w:pPr>
                  <w:proofErr w:type="spellStart"/>
                  <w:r w:rsidRPr="009624F7">
                    <w:rPr>
                      <w:snapToGrid/>
                      <w:szCs w:val="22"/>
                      <w:lang w:val="en-US"/>
                    </w:rPr>
                    <w:t>Sula</w:t>
                  </w:r>
                  <w:r>
                    <w:rPr>
                      <w:snapToGrid/>
                      <w:szCs w:val="22"/>
                      <w:lang w:val="en-US"/>
                    </w:rPr>
                    <w:t>ymaniyah</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Kurdistan Economic Development Organization (KEDO)</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CSO3.2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A42209" w:rsidP="009624F7">
                  <w:pPr>
                    <w:widowControl/>
                    <w:jc w:val="center"/>
                    <w:rPr>
                      <w:snapToGrid/>
                      <w:szCs w:val="22"/>
                      <w:lang w:val="en-US"/>
                    </w:rPr>
                  </w:pPr>
                  <w:proofErr w:type="spellStart"/>
                  <w:r w:rsidRPr="009624F7">
                    <w:rPr>
                      <w:snapToGrid/>
                      <w:szCs w:val="22"/>
                      <w:lang w:val="en-US"/>
                    </w:rPr>
                    <w:t>Sula</w:t>
                  </w:r>
                  <w:r>
                    <w:rPr>
                      <w:snapToGrid/>
                      <w:szCs w:val="22"/>
                      <w:lang w:val="en-US"/>
                    </w:rPr>
                    <w:t>ymaniyah</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 xml:space="preserve">Al </w:t>
                  </w:r>
                  <w:proofErr w:type="spellStart"/>
                  <w:r w:rsidRPr="009624F7">
                    <w:rPr>
                      <w:snapToGrid/>
                      <w:szCs w:val="22"/>
                      <w:lang w:val="en-US"/>
                    </w:rPr>
                    <w:t>Khair</w:t>
                  </w:r>
                  <w:proofErr w:type="spellEnd"/>
                  <w:r w:rsidRPr="009624F7">
                    <w:rPr>
                      <w:snapToGrid/>
                      <w:szCs w:val="22"/>
                      <w:lang w:val="en-US"/>
                    </w:rPr>
                    <w:t xml:space="preserve"> Organization</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CSO4</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 xml:space="preserve">Al </w:t>
                  </w:r>
                  <w:proofErr w:type="spellStart"/>
                  <w:r w:rsidRPr="009624F7">
                    <w:rPr>
                      <w:snapToGrid/>
                      <w:szCs w:val="22"/>
                      <w:lang w:val="en-US"/>
                    </w:rPr>
                    <w:t>Ahrar</w:t>
                  </w:r>
                  <w:proofErr w:type="spellEnd"/>
                  <w:r w:rsidRPr="009624F7">
                    <w:rPr>
                      <w:snapToGrid/>
                      <w:szCs w:val="22"/>
                      <w:lang w:val="en-US"/>
                    </w:rPr>
                    <w:t xml:space="preserve"> Organization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CSO4.1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Iraqi women Foundation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CSO4.2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 xml:space="preserve">Al </w:t>
                  </w:r>
                  <w:proofErr w:type="spellStart"/>
                  <w:r w:rsidRPr="009624F7">
                    <w:rPr>
                      <w:snapToGrid/>
                      <w:szCs w:val="22"/>
                      <w:lang w:val="en-US"/>
                    </w:rPr>
                    <w:t>Amel</w:t>
                  </w:r>
                  <w:proofErr w:type="spellEnd"/>
                  <w:r w:rsidRPr="009624F7">
                    <w:rPr>
                      <w:snapToGrid/>
                      <w:szCs w:val="22"/>
                      <w:lang w:val="en-US"/>
                    </w:rPr>
                    <w:t xml:space="preserve"> Association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CSO4.3</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Journalists Youth  Organization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CSO4.4</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Al Rafidain Women Organization</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CSO5</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Muthanna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Al Huda Institution for Strategic Studies</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CSO5.1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Missan</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Al-</w:t>
                  </w:r>
                  <w:proofErr w:type="spellStart"/>
                  <w:r w:rsidRPr="009624F7">
                    <w:rPr>
                      <w:snapToGrid/>
                      <w:szCs w:val="22"/>
                      <w:lang w:val="en-US"/>
                    </w:rPr>
                    <w:t>Ekha'a</w:t>
                  </w:r>
                  <w:proofErr w:type="spellEnd"/>
                  <w:r w:rsidRPr="009624F7">
                    <w:rPr>
                      <w:snapToGrid/>
                      <w:szCs w:val="22"/>
                      <w:lang w:val="en-US"/>
                    </w:rPr>
                    <w:t xml:space="preserve"> Organization for Democracy and Peace</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CSO5.2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Basra</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Iraq Flower for Democratic Organization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CSO5.3</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Thi</w:t>
                  </w:r>
                  <w:proofErr w:type="spellEnd"/>
                  <w:r w:rsidRPr="009624F7">
                    <w:rPr>
                      <w:snapToGrid/>
                      <w:szCs w:val="22"/>
                      <w:lang w:val="en-US"/>
                    </w:rPr>
                    <w:t xml:space="preserve"> </w:t>
                  </w:r>
                  <w:proofErr w:type="spellStart"/>
                  <w:r w:rsidRPr="009624F7">
                    <w:rPr>
                      <w:snapToGrid/>
                      <w:szCs w:val="22"/>
                      <w:lang w:val="en-US"/>
                    </w:rPr>
                    <w:t>Qar</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lastRenderedPageBreak/>
                    <w:t>Salam Al Rafidain Organization</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CSO6</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Baghdad</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 xml:space="preserve">Al </w:t>
                  </w:r>
                  <w:proofErr w:type="spellStart"/>
                  <w:r w:rsidRPr="009624F7">
                    <w:rPr>
                      <w:snapToGrid/>
                      <w:szCs w:val="22"/>
                      <w:lang w:val="en-US"/>
                    </w:rPr>
                    <w:t>Mahaba</w:t>
                  </w:r>
                  <w:proofErr w:type="spellEnd"/>
                  <w:r w:rsidRPr="009624F7">
                    <w:rPr>
                      <w:snapToGrid/>
                      <w:szCs w:val="22"/>
                      <w:lang w:val="en-US"/>
                    </w:rPr>
                    <w:t xml:space="preserve"> Forum</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CSO6.2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Anbar</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Association for Woman And Children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CSO6.1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Baghdad</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Bunyan Foundation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CSO6.3</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A42209">
                  <w:pPr>
                    <w:widowControl/>
                    <w:jc w:val="center"/>
                    <w:rPr>
                      <w:snapToGrid/>
                      <w:szCs w:val="22"/>
                      <w:lang w:val="en-US"/>
                    </w:rPr>
                  </w:pPr>
                  <w:r w:rsidRPr="009624F7">
                    <w:rPr>
                      <w:snapToGrid/>
                      <w:szCs w:val="22"/>
                      <w:lang w:val="en-US"/>
                    </w:rPr>
                    <w:t>M</w:t>
                  </w:r>
                  <w:r w:rsidR="00A42209">
                    <w:rPr>
                      <w:snapToGrid/>
                      <w:szCs w:val="22"/>
                      <w:lang w:val="en-US"/>
                    </w:rPr>
                    <w:t>osul</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Ajial</w:t>
                  </w:r>
                  <w:proofErr w:type="spellEnd"/>
                  <w:r w:rsidRPr="009624F7">
                    <w:rPr>
                      <w:snapToGrid/>
                      <w:szCs w:val="22"/>
                      <w:lang w:val="en-US"/>
                    </w:rPr>
                    <w:t xml:space="preserve"> Association for Intelligence and Creation Development</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CSO8</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Taawn</w:t>
                  </w:r>
                  <w:proofErr w:type="spellEnd"/>
                  <w:r w:rsidRPr="009624F7">
                    <w:rPr>
                      <w:snapToGrid/>
                      <w:szCs w:val="22"/>
                      <w:lang w:val="en-US"/>
                    </w:rPr>
                    <w:t xml:space="preserve"> Association for Consumer Protection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CSO8.1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Hawaa</w:t>
                  </w:r>
                  <w:proofErr w:type="spellEnd"/>
                  <w:r w:rsidRPr="009624F7">
                    <w:rPr>
                      <w:snapToGrid/>
                      <w:szCs w:val="22"/>
                      <w:lang w:val="en-US"/>
                    </w:rPr>
                    <w:t xml:space="preserve"> Organization for Relief and Development</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CSO8.2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Youth Forum for Peace</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CSO8.3</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Al Noor Universal Foundation (NUF)</w:t>
                  </w:r>
                </w:p>
              </w:tc>
              <w:tc>
                <w:tcPr>
                  <w:tcW w:w="10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Lead</w:t>
                  </w:r>
                </w:p>
              </w:tc>
              <w:tc>
                <w:tcPr>
                  <w:tcW w:w="94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r w:rsidRPr="009624F7">
                    <w:rPr>
                      <w:snapToGrid/>
                      <w:szCs w:val="22"/>
                      <w:lang w:val="en-US"/>
                    </w:rPr>
                    <w:t>CSO9</w:t>
                  </w:r>
                </w:p>
              </w:tc>
              <w:tc>
                <w:tcPr>
                  <w:tcW w:w="1660" w:type="dxa"/>
                  <w:tcBorders>
                    <w:top w:val="nil"/>
                    <w:left w:val="nil"/>
                    <w:bottom w:val="single" w:sz="4" w:space="0" w:color="auto"/>
                    <w:right w:val="single" w:sz="4" w:space="0" w:color="auto"/>
                  </w:tcBorders>
                  <w:shd w:val="clear" w:color="000000" w:fill="B8CCE4"/>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Diyala</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Shaoob</w:t>
                  </w:r>
                  <w:proofErr w:type="spellEnd"/>
                  <w:r w:rsidRPr="009624F7">
                    <w:rPr>
                      <w:snapToGrid/>
                      <w:szCs w:val="22"/>
                      <w:lang w:val="en-US"/>
                    </w:rPr>
                    <w:t xml:space="preserve"> for Democracy Support</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CSO9.1</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Baghdad</w:t>
                  </w:r>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Hamurabi</w:t>
                  </w:r>
                  <w:proofErr w:type="spellEnd"/>
                  <w:r w:rsidRPr="009624F7">
                    <w:rPr>
                      <w:snapToGrid/>
                      <w:szCs w:val="22"/>
                      <w:lang w:val="en-US"/>
                    </w:rPr>
                    <w:t xml:space="preserve"> Organization</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CSO9.2</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Tikreet</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Iraqi Civic Action Network</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CSO9.3</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proofErr w:type="spellStart"/>
                  <w:r w:rsidRPr="009624F7">
                    <w:rPr>
                      <w:snapToGrid/>
                      <w:szCs w:val="22"/>
                      <w:lang w:val="en-US"/>
                    </w:rPr>
                    <w:t>Babil</w:t>
                  </w:r>
                  <w:proofErr w:type="spellEnd"/>
                </w:p>
              </w:tc>
            </w:tr>
            <w:tr w:rsidR="009624F7" w:rsidRPr="009624F7" w:rsidTr="009624F7">
              <w:trPr>
                <w:trHeight w:val="702"/>
                <w:jc w:val="center"/>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Iraqi Social Education Team</w:t>
                  </w:r>
                </w:p>
              </w:tc>
              <w:tc>
                <w:tcPr>
                  <w:tcW w:w="10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Member</w:t>
                  </w:r>
                </w:p>
              </w:tc>
              <w:tc>
                <w:tcPr>
                  <w:tcW w:w="94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CSO9.4</w:t>
                  </w:r>
                </w:p>
              </w:tc>
              <w:tc>
                <w:tcPr>
                  <w:tcW w:w="1660" w:type="dxa"/>
                  <w:tcBorders>
                    <w:top w:val="nil"/>
                    <w:left w:val="nil"/>
                    <w:bottom w:val="single" w:sz="4" w:space="0" w:color="auto"/>
                    <w:right w:val="single" w:sz="4" w:space="0" w:color="auto"/>
                  </w:tcBorders>
                  <w:shd w:val="clear" w:color="auto" w:fill="auto"/>
                  <w:vAlign w:val="center"/>
                  <w:hideMark/>
                </w:tcPr>
                <w:p w:rsidR="009624F7" w:rsidRPr="009624F7" w:rsidRDefault="009624F7" w:rsidP="009624F7">
                  <w:pPr>
                    <w:widowControl/>
                    <w:jc w:val="center"/>
                    <w:rPr>
                      <w:snapToGrid/>
                      <w:szCs w:val="22"/>
                      <w:lang w:val="en-US"/>
                    </w:rPr>
                  </w:pPr>
                  <w:r w:rsidRPr="009624F7">
                    <w:rPr>
                      <w:snapToGrid/>
                      <w:szCs w:val="22"/>
                      <w:lang w:val="en-US"/>
                    </w:rPr>
                    <w:t>Baghdad</w:t>
                  </w:r>
                </w:p>
              </w:tc>
            </w:tr>
          </w:tbl>
          <w:p w:rsidR="009624F7" w:rsidRPr="00F323F7" w:rsidRDefault="00F323F7" w:rsidP="003B0F42">
            <w:pPr>
              <w:ind w:left="777"/>
              <w:jc w:val="both"/>
              <w:rPr>
                <w:sz w:val="20"/>
              </w:rPr>
            </w:pPr>
            <w:r>
              <w:rPr>
                <w:szCs w:val="22"/>
              </w:rPr>
              <w:t>*</w:t>
            </w:r>
            <w:r w:rsidRPr="00F323F7">
              <w:rPr>
                <w:sz w:val="20"/>
              </w:rPr>
              <w:t xml:space="preserve">CSO 7: </w:t>
            </w:r>
            <w:r>
              <w:rPr>
                <w:sz w:val="20"/>
              </w:rPr>
              <w:t>As explained above, t</w:t>
            </w:r>
            <w:r w:rsidRPr="00F323F7">
              <w:rPr>
                <w:sz w:val="20"/>
              </w:rPr>
              <w:t>his consorti</w:t>
            </w:r>
            <w:r w:rsidR="003B0F42">
              <w:rPr>
                <w:sz w:val="20"/>
              </w:rPr>
              <w:t>um</w:t>
            </w:r>
            <w:r w:rsidRPr="00F323F7">
              <w:rPr>
                <w:sz w:val="20"/>
              </w:rPr>
              <w:t xml:space="preserve"> was excluded from the grant process during the grant contract negotiations. </w:t>
            </w:r>
          </w:p>
          <w:p w:rsidR="006A5539" w:rsidRPr="006A5539" w:rsidRDefault="006A5539" w:rsidP="0011498B">
            <w:pPr>
              <w:ind w:left="146"/>
              <w:jc w:val="both"/>
              <w:rPr>
                <w:szCs w:val="22"/>
              </w:rPr>
            </w:pPr>
          </w:p>
          <w:p w:rsidR="006C6592" w:rsidRDefault="006C6592" w:rsidP="009624F7">
            <w:pPr>
              <w:ind w:left="146"/>
              <w:jc w:val="both"/>
              <w:rPr>
                <w:b/>
                <w:bCs/>
                <w:i/>
                <w:iCs/>
                <w:szCs w:val="22"/>
                <w:u w:val="single"/>
              </w:rPr>
            </w:pPr>
          </w:p>
          <w:p w:rsidR="006C6592" w:rsidRDefault="006C6592" w:rsidP="009624F7">
            <w:pPr>
              <w:ind w:left="146"/>
              <w:jc w:val="both"/>
              <w:rPr>
                <w:b/>
                <w:bCs/>
                <w:i/>
                <w:iCs/>
                <w:szCs w:val="22"/>
                <w:u w:val="single"/>
              </w:rPr>
            </w:pPr>
          </w:p>
          <w:p w:rsidR="000F4C7D" w:rsidRDefault="000F4C7D" w:rsidP="009624F7">
            <w:pPr>
              <w:ind w:left="146"/>
              <w:jc w:val="both"/>
              <w:rPr>
                <w:b/>
                <w:bCs/>
                <w:i/>
                <w:iCs/>
                <w:szCs w:val="22"/>
                <w:u w:val="single"/>
              </w:rPr>
            </w:pPr>
          </w:p>
          <w:p w:rsidR="009624F7" w:rsidRPr="006A5539" w:rsidRDefault="009624F7" w:rsidP="009624F7">
            <w:pPr>
              <w:ind w:left="146"/>
              <w:jc w:val="both"/>
              <w:rPr>
                <w:b/>
                <w:bCs/>
                <w:i/>
                <w:iCs/>
                <w:szCs w:val="22"/>
                <w:u w:val="single"/>
              </w:rPr>
            </w:pPr>
            <w:r w:rsidRPr="006A5539">
              <w:rPr>
                <w:b/>
                <w:bCs/>
                <w:i/>
                <w:iCs/>
                <w:szCs w:val="22"/>
                <w:u w:val="single"/>
              </w:rPr>
              <w:t>Annex 2: Summary of 8 CSO consortia funded projects</w:t>
            </w:r>
          </w:p>
          <w:p w:rsidR="009624F7" w:rsidRPr="006A5539" w:rsidRDefault="009624F7" w:rsidP="009624F7">
            <w:pPr>
              <w:ind w:left="146"/>
              <w:jc w:val="both"/>
              <w:rPr>
                <w:b/>
                <w:bCs/>
                <w:i/>
                <w:iCs/>
                <w:szCs w:val="22"/>
                <w:u w:val="single"/>
              </w:rPr>
            </w:pPr>
          </w:p>
          <w:p w:rsidR="009624F7" w:rsidRPr="006A5539" w:rsidRDefault="009624F7" w:rsidP="009624F7">
            <w:pPr>
              <w:pStyle w:val="ListParagraph"/>
              <w:numPr>
                <w:ilvl w:val="0"/>
                <w:numId w:val="12"/>
              </w:numPr>
              <w:spacing w:before="120"/>
              <w:jc w:val="both"/>
              <w:rPr>
                <w:rFonts w:ascii="Times New Roman" w:hAnsi="Times New Roman" w:cs="Times New Roman"/>
                <w:color w:val="000000"/>
                <w:sz w:val="22"/>
                <w:szCs w:val="22"/>
              </w:rPr>
            </w:pPr>
            <w:r w:rsidRPr="006A5539">
              <w:rPr>
                <w:rFonts w:ascii="Times New Roman" w:hAnsi="Times New Roman" w:cs="Times New Roman"/>
                <w:b/>
                <w:sz w:val="22"/>
                <w:szCs w:val="22"/>
              </w:rPr>
              <w:t xml:space="preserve">Promoting adequate services in Kirkuk Province </w:t>
            </w:r>
          </w:p>
          <w:p w:rsidR="009624F7" w:rsidRPr="006A5539" w:rsidRDefault="009624F7" w:rsidP="009624F7">
            <w:pPr>
              <w:spacing w:before="120"/>
              <w:jc w:val="both"/>
              <w:rPr>
                <w:color w:val="000000"/>
                <w:szCs w:val="22"/>
              </w:rPr>
            </w:pPr>
            <w:r w:rsidRPr="006A5539">
              <w:rPr>
                <w:color w:val="000000"/>
                <w:szCs w:val="22"/>
              </w:rPr>
              <w:t xml:space="preserve">CSOs: </w:t>
            </w:r>
            <w:proofErr w:type="spellStart"/>
            <w:r w:rsidRPr="006A5539">
              <w:rPr>
                <w:color w:val="000000"/>
                <w:szCs w:val="22"/>
              </w:rPr>
              <w:t>Insan</w:t>
            </w:r>
            <w:proofErr w:type="spellEnd"/>
            <w:r w:rsidRPr="006A5539">
              <w:rPr>
                <w:color w:val="000000"/>
                <w:szCs w:val="22"/>
              </w:rPr>
              <w:t xml:space="preserve"> Iraqi Society for Relief and Development, National Institute for Human Rights, and Humanitarian Relief Association for Iraqi Turkmen Women</w:t>
            </w:r>
          </w:p>
          <w:p w:rsidR="009624F7" w:rsidRPr="006A5539" w:rsidRDefault="009624F7" w:rsidP="009624F7">
            <w:pPr>
              <w:spacing w:before="120"/>
              <w:jc w:val="both"/>
              <w:rPr>
                <w:color w:val="000000"/>
                <w:szCs w:val="22"/>
              </w:rPr>
            </w:pPr>
            <w:r w:rsidRPr="006A5539">
              <w:rPr>
                <w:color w:val="000000"/>
                <w:szCs w:val="22"/>
              </w:rPr>
              <w:t>Governorate: Kirkuk</w:t>
            </w:r>
          </w:p>
          <w:p w:rsidR="009624F7" w:rsidRPr="006A5539" w:rsidRDefault="009624F7" w:rsidP="009624F7">
            <w:pPr>
              <w:spacing w:before="120"/>
              <w:jc w:val="both"/>
              <w:rPr>
                <w:color w:val="000000"/>
                <w:szCs w:val="22"/>
              </w:rPr>
            </w:pPr>
            <w:r w:rsidRPr="006A5539">
              <w:rPr>
                <w:color w:val="000000"/>
                <w:szCs w:val="22"/>
              </w:rPr>
              <w:t xml:space="preserve">Summary: Will increase the capacities of key community members, enhance community cohesion, and create an environment propitious to long-term development. Project activities include training facilitators and volunteers in participatory rural appraisal (PRA) methods, conducting PRA in communities, and building capacities of community leaders in advocacy and development of a community response plan </w:t>
            </w:r>
          </w:p>
          <w:p w:rsidR="009624F7" w:rsidRPr="006A5539" w:rsidRDefault="009624F7" w:rsidP="009624F7">
            <w:pPr>
              <w:spacing w:before="120"/>
              <w:jc w:val="both"/>
              <w:rPr>
                <w:color w:val="000000"/>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sz w:val="22"/>
                <w:szCs w:val="22"/>
              </w:rPr>
            </w:pPr>
            <w:r w:rsidRPr="006A5539">
              <w:rPr>
                <w:rFonts w:ascii="Times New Roman" w:hAnsi="Times New Roman" w:cs="Times New Roman"/>
                <w:b/>
                <w:sz w:val="22"/>
                <w:szCs w:val="22"/>
              </w:rPr>
              <w:t>Ensuring a better environment for our children</w:t>
            </w:r>
          </w:p>
          <w:p w:rsidR="009624F7" w:rsidRPr="006A5539" w:rsidRDefault="009624F7" w:rsidP="009624F7">
            <w:pPr>
              <w:spacing w:before="120"/>
              <w:jc w:val="both"/>
              <w:rPr>
                <w:color w:val="000000"/>
                <w:szCs w:val="22"/>
              </w:rPr>
            </w:pPr>
            <w:r w:rsidRPr="006A5539">
              <w:rPr>
                <w:color w:val="000000"/>
                <w:szCs w:val="22"/>
              </w:rPr>
              <w:t>CSOs: Iraqi Institute for Development, Organization of Iraqi Family, and Haraa Humanitarian Organization</w:t>
            </w:r>
          </w:p>
          <w:p w:rsidR="009624F7" w:rsidRPr="006A5539" w:rsidRDefault="009624F7" w:rsidP="009624F7">
            <w:pPr>
              <w:spacing w:before="120"/>
              <w:jc w:val="both"/>
              <w:rPr>
                <w:color w:val="000000"/>
                <w:szCs w:val="22"/>
              </w:rPr>
            </w:pPr>
            <w:r w:rsidRPr="006A5539">
              <w:rPr>
                <w:color w:val="000000"/>
                <w:szCs w:val="22"/>
              </w:rPr>
              <w:lastRenderedPageBreak/>
              <w:t xml:space="preserve">Governorates: </w:t>
            </w:r>
            <w:r w:rsidRPr="006A5539">
              <w:rPr>
                <w:szCs w:val="22"/>
              </w:rPr>
              <w:t>Salah ad Din</w:t>
            </w:r>
            <w:r w:rsidRPr="006A5539">
              <w:rPr>
                <w:color w:val="000000"/>
                <w:szCs w:val="22"/>
              </w:rPr>
              <w:t xml:space="preserve">, </w:t>
            </w:r>
            <w:proofErr w:type="spellStart"/>
            <w:r w:rsidRPr="006A5539">
              <w:rPr>
                <w:color w:val="000000"/>
                <w:szCs w:val="22"/>
              </w:rPr>
              <w:t>Ninewa</w:t>
            </w:r>
            <w:proofErr w:type="spellEnd"/>
            <w:r w:rsidRPr="006A5539">
              <w:rPr>
                <w:color w:val="000000"/>
                <w:szCs w:val="22"/>
              </w:rPr>
              <w:t xml:space="preserve"> and </w:t>
            </w:r>
            <w:proofErr w:type="spellStart"/>
            <w:r w:rsidRPr="006A5539">
              <w:rPr>
                <w:color w:val="000000"/>
                <w:szCs w:val="22"/>
              </w:rPr>
              <w:t>Diyala</w:t>
            </w:r>
            <w:proofErr w:type="spellEnd"/>
          </w:p>
          <w:p w:rsidR="009624F7" w:rsidRPr="006A5539" w:rsidRDefault="009624F7" w:rsidP="009624F7">
            <w:pPr>
              <w:spacing w:before="120"/>
              <w:jc w:val="both"/>
              <w:rPr>
                <w:color w:val="000000"/>
                <w:szCs w:val="22"/>
              </w:rPr>
            </w:pPr>
            <w:r w:rsidRPr="006A5539">
              <w:rPr>
                <w:color w:val="000000"/>
                <w:szCs w:val="22"/>
              </w:rPr>
              <w:t>Summary: This project will raise awareness on the risks of solid waste and will advise local authorities on how to appropriately deal with solid waste. Project activities include identifying solid waste problems through questionnaires, conducting awareness-raising lectures, and producing brochures and radio episodes on solid waste.</w:t>
            </w:r>
          </w:p>
          <w:p w:rsidR="009624F7" w:rsidRPr="006A5539" w:rsidRDefault="009624F7" w:rsidP="009624F7">
            <w:pPr>
              <w:spacing w:before="120"/>
              <w:jc w:val="both"/>
              <w:rPr>
                <w:color w:val="000000"/>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sz w:val="22"/>
                <w:szCs w:val="22"/>
              </w:rPr>
            </w:pPr>
            <w:r w:rsidRPr="006A5539">
              <w:rPr>
                <w:rFonts w:ascii="Times New Roman" w:hAnsi="Times New Roman" w:cs="Times New Roman"/>
                <w:b/>
                <w:sz w:val="22"/>
                <w:szCs w:val="22"/>
              </w:rPr>
              <w:t>Empower civil society organizations in the Kurdistan Region of Iraq</w:t>
            </w:r>
          </w:p>
          <w:p w:rsidR="009624F7" w:rsidRPr="006A5539" w:rsidRDefault="009624F7" w:rsidP="009624F7">
            <w:pPr>
              <w:spacing w:before="120"/>
              <w:jc w:val="both"/>
              <w:rPr>
                <w:color w:val="000000"/>
                <w:szCs w:val="22"/>
              </w:rPr>
            </w:pPr>
            <w:r w:rsidRPr="006A5539">
              <w:rPr>
                <w:color w:val="000000"/>
                <w:szCs w:val="22"/>
              </w:rPr>
              <w:t>CSOs: KURDO (Kurdistan Reconstruction and Development Organization), YAO (Youth Activity Organization), and KEDO (Kurdistan Economic Development Organization)</w:t>
            </w:r>
          </w:p>
          <w:p w:rsidR="009624F7" w:rsidRPr="006A5539" w:rsidRDefault="009624F7" w:rsidP="009624F7">
            <w:pPr>
              <w:spacing w:before="120"/>
              <w:jc w:val="both"/>
              <w:rPr>
                <w:color w:val="000000"/>
                <w:szCs w:val="22"/>
              </w:rPr>
            </w:pPr>
            <w:r w:rsidRPr="006A5539">
              <w:rPr>
                <w:color w:val="000000"/>
                <w:szCs w:val="22"/>
              </w:rPr>
              <w:t xml:space="preserve">Governorates: </w:t>
            </w:r>
            <w:proofErr w:type="spellStart"/>
            <w:r w:rsidRPr="006A5539">
              <w:rPr>
                <w:color w:val="000000"/>
                <w:szCs w:val="22"/>
              </w:rPr>
              <w:t>Sulaymaniyah</w:t>
            </w:r>
            <w:proofErr w:type="spellEnd"/>
            <w:r w:rsidRPr="006A5539">
              <w:rPr>
                <w:color w:val="000000"/>
                <w:szCs w:val="22"/>
              </w:rPr>
              <w:t xml:space="preserve">, Erbil and </w:t>
            </w:r>
            <w:proofErr w:type="spellStart"/>
            <w:r w:rsidRPr="006A5539">
              <w:rPr>
                <w:color w:val="000000"/>
                <w:szCs w:val="22"/>
              </w:rPr>
              <w:t>Dahuk</w:t>
            </w:r>
            <w:proofErr w:type="spellEnd"/>
          </w:p>
          <w:p w:rsidR="009624F7" w:rsidRPr="006A5539" w:rsidRDefault="009624F7" w:rsidP="009624F7">
            <w:pPr>
              <w:spacing w:before="120"/>
              <w:jc w:val="both"/>
              <w:rPr>
                <w:color w:val="000000"/>
                <w:szCs w:val="22"/>
              </w:rPr>
            </w:pPr>
            <w:r w:rsidRPr="006A5539">
              <w:rPr>
                <w:color w:val="000000"/>
                <w:szCs w:val="22"/>
              </w:rPr>
              <w:t>Summary: This project will create a harmonized, transparent and constructive relationship between civil society organizations and local government and promote networking opportunities among civil society organizations.  Project activities include training civil society members and local government officials on accountability, transparency and cooperation between civil society and local authorities, and forming a joint civil society-local government steering committee to formulate action plans.</w:t>
            </w:r>
          </w:p>
          <w:p w:rsidR="009624F7" w:rsidRPr="006A5539" w:rsidRDefault="009624F7" w:rsidP="009624F7">
            <w:pPr>
              <w:spacing w:before="120"/>
              <w:jc w:val="both"/>
              <w:rPr>
                <w:color w:val="000000"/>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color w:val="000000"/>
                <w:sz w:val="22"/>
                <w:szCs w:val="22"/>
              </w:rPr>
            </w:pPr>
            <w:r w:rsidRPr="006A5539">
              <w:rPr>
                <w:rFonts w:ascii="Times New Roman" w:hAnsi="Times New Roman" w:cs="Times New Roman"/>
                <w:b/>
                <w:sz w:val="22"/>
                <w:szCs w:val="22"/>
              </w:rPr>
              <w:t>Defending human rights in Missan</w:t>
            </w:r>
          </w:p>
          <w:p w:rsidR="009624F7" w:rsidRPr="006A5539" w:rsidRDefault="009624F7" w:rsidP="009624F7">
            <w:pPr>
              <w:spacing w:before="120"/>
              <w:jc w:val="both"/>
              <w:rPr>
                <w:color w:val="000000"/>
                <w:szCs w:val="22"/>
              </w:rPr>
            </w:pPr>
            <w:r w:rsidRPr="006A5539">
              <w:rPr>
                <w:color w:val="000000"/>
                <w:szCs w:val="22"/>
              </w:rPr>
              <w:t xml:space="preserve">CSOs: Al </w:t>
            </w:r>
            <w:proofErr w:type="spellStart"/>
            <w:r w:rsidRPr="006A5539">
              <w:rPr>
                <w:color w:val="000000"/>
                <w:szCs w:val="22"/>
              </w:rPr>
              <w:t>Khair</w:t>
            </w:r>
            <w:proofErr w:type="spellEnd"/>
            <w:r w:rsidRPr="006A5539">
              <w:rPr>
                <w:color w:val="000000"/>
                <w:szCs w:val="22"/>
              </w:rPr>
              <w:t xml:space="preserve"> Organization, Al-</w:t>
            </w:r>
            <w:proofErr w:type="spellStart"/>
            <w:r w:rsidRPr="006A5539">
              <w:rPr>
                <w:color w:val="000000"/>
                <w:szCs w:val="22"/>
              </w:rPr>
              <w:t>Ahrar</w:t>
            </w:r>
            <w:proofErr w:type="spellEnd"/>
            <w:r w:rsidRPr="006A5539">
              <w:rPr>
                <w:color w:val="000000"/>
                <w:szCs w:val="22"/>
              </w:rPr>
              <w:t xml:space="preserve"> Organization for Human Rights, Iraqi Women Foundation, Al </w:t>
            </w:r>
            <w:proofErr w:type="spellStart"/>
            <w:r w:rsidRPr="006A5539">
              <w:rPr>
                <w:color w:val="000000"/>
                <w:szCs w:val="22"/>
              </w:rPr>
              <w:t>Amel</w:t>
            </w:r>
            <w:proofErr w:type="spellEnd"/>
            <w:r w:rsidRPr="006A5539">
              <w:rPr>
                <w:color w:val="000000"/>
                <w:szCs w:val="22"/>
              </w:rPr>
              <w:t xml:space="preserve"> Association and Journalists Youth Organization</w:t>
            </w:r>
          </w:p>
          <w:p w:rsidR="009624F7" w:rsidRPr="006A5539" w:rsidRDefault="009624F7" w:rsidP="009624F7">
            <w:pPr>
              <w:spacing w:before="120"/>
              <w:jc w:val="both"/>
              <w:rPr>
                <w:szCs w:val="22"/>
              </w:rPr>
            </w:pPr>
            <w:r w:rsidRPr="006A5539">
              <w:rPr>
                <w:color w:val="000000"/>
                <w:szCs w:val="22"/>
              </w:rPr>
              <w:t>Governorates: Missan</w:t>
            </w:r>
          </w:p>
          <w:p w:rsidR="009624F7" w:rsidRPr="006A5539" w:rsidRDefault="009624F7" w:rsidP="009624F7">
            <w:pPr>
              <w:spacing w:before="120"/>
              <w:jc w:val="both"/>
              <w:rPr>
                <w:rFonts w:eastAsia="MS Mincho"/>
                <w:szCs w:val="22"/>
                <w:lang w:eastAsia="ja-JP"/>
              </w:rPr>
            </w:pPr>
            <w:r w:rsidRPr="006A5539">
              <w:rPr>
                <w:szCs w:val="22"/>
              </w:rPr>
              <w:t xml:space="preserve">Summary: This project will build the capacities of member organizations and promote the principles of transparency, accountability and human rights and raise the awareness of citizens in selecting effective policies for the governorate. Project activities include delivering training courses and public educational lectures on human rights, producing TV and radio programs on human rights, and holding round table sessions attended by the government and the public </w:t>
            </w:r>
          </w:p>
          <w:p w:rsidR="009624F7" w:rsidRPr="006A5539" w:rsidRDefault="009624F7" w:rsidP="009624F7">
            <w:pPr>
              <w:tabs>
                <w:tab w:val="left" w:pos="1950"/>
              </w:tabs>
              <w:spacing w:before="120"/>
              <w:jc w:val="both"/>
              <w:rPr>
                <w:rFonts w:eastAsia="MS Mincho"/>
                <w:szCs w:val="22"/>
                <w:lang w:eastAsia="ja-JP"/>
              </w:rPr>
            </w:pPr>
            <w:r w:rsidRPr="006A5539">
              <w:rPr>
                <w:rFonts w:eastAsia="MS Mincho"/>
                <w:szCs w:val="22"/>
                <w:lang w:eastAsia="ja-JP"/>
              </w:rPr>
              <w:tab/>
            </w:r>
          </w:p>
          <w:p w:rsidR="009624F7" w:rsidRPr="006A5539" w:rsidRDefault="009624F7" w:rsidP="009624F7">
            <w:pPr>
              <w:pStyle w:val="ListParagraph"/>
              <w:numPr>
                <w:ilvl w:val="0"/>
                <w:numId w:val="12"/>
              </w:numPr>
              <w:rPr>
                <w:rFonts w:ascii="Times New Roman" w:hAnsi="Times New Roman" w:cs="Times New Roman"/>
                <w:b/>
                <w:color w:val="000000"/>
                <w:sz w:val="22"/>
                <w:szCs w:val="22"/>
                <w:lang w:eastAsia="ja-JP"/>
              </w:rPr>
            </w:pPr>
            <w:r w:rsidRPr="006A5539">
              <w:rPr>
                <w:rFonts w:ascii="Times New Roman" w:hAnsi="Times New Roman" w:cs="Times New Roman"/>
                <w:b/>
                <w:sz w:val="22"/>
                <w:szCs w:val="22"/>
              </w:rPr>
              <w:t>Partnering for development</w:t>
            </w:r>
          </w:p>
          <w:p w:rsidR="009624F7" w:rsidRPr="006A5539" w:rsidRDefault="009624F7" w:rsidP="009624F7">
            <w:pPr>
              <w:spacing w:before="120"/>
              <w:jc w:val="both"/>
              <w:rPr>
                <w:color w:val="000000"/>
                <w:szCs w:val="22"/>
              </w:rPr>
            </w:pPr>
            <w:r w:rsidRPr="006A5539">
              <w:rPr>
                <w:color w:val="000000"/>
                <w:szCs w:val="22"/>
              </w:rPr>
              <w:t xml:space="preserve">CSOs: Al Rafidain Women Organization, Al Huda Institution for Strategic Studies, Al </w:t>
            </w:r>
            <w:proofErr w:type="spellStart"/>
            <w:r w:rsidRPr="006A5539">
              <w:rPr>
                <w:color w:val="000000"/>
                <w:szCs w:val="22"/>
              </w:rPr>
              <w:t>Ekha'a</w:t>
            </w:r>
            <w:proofErr w:type="spellEnd"/>
            <w:r w:rsidRPr="006A5539">
              <w:rPr>
                <w:color w:val="000000"/>
                <w:szCs w:val="22"/>
              </w:rPr>
              <w:t xml:space="preserve"> Organization for Democracy and Peace, and Iraq Flower for Democratic Organization</w:t>
            </w:r>
          </w:p>
          <w:p w:rsidR="009624F7" w:rsidRPr="006A5539" w:rsidRDefault="009624F7" w:rsidP="009624F7">
            <w:pPr>
              <w:spacing w:before="120"/>
              <w:jc w:val="both"/>
              <w:rPr>
                <w:color w:val="000000"/>
                <w:szCs w:val="22"/>
              </w:rPr>
            </w:pPr>
            <w:r w:rsidRPr="006A5539">
              <w:rPr>
                <w:color w:val="000000"/>
                <w:szCs w:val="22"/>
              </w:rPr>
              <w:t xml:space="preserve">Governorates: </w:t>
            </w:r>
            <w:proofErr w:type="spellStart"/>
            <w:r w:rsidRPr="006A5539">
              <w:rPr>
                <w:color w:val="000000"/>
                <w:szCs w:val="22"/>
              </w:rPr>
              <w:t>Muthanna</w:t>
            </w:r>
            <w:proofErr w:type="spellEnd"/>
            <w:r w:rsidRPr="006A5539">
              <w:rPr>
                <w:color w:val="000000"/>
                <w:szCs w:val="22"/>
              </w:rPr>
              <w:t xml:space="preserve">, </w:t>
            </w:r>
            <w:proofErr w:type="spellStart"/>
            <w:r w:rsidRPr="006A5539">
              <w:rPr>
                <w:color w:val="000000"/>
                <w:szCs w:val="22"/>
              </w:rPr>
              <w:t>Missan</w:t>
            </w:r>
            <w:proofErr w:type="spellEnd"/>
            <w:r w:rsidRPr="006A5539">
              <w:rPr>
                <w:color w:val="000000"/>
                <w:szCs w:val="22"/>
              </w:rPr>
              <w:t xml:space="preserve">, </w:t>
            </w:r>
            <w:proofErr w:type="spellStart"/>
            <w:r w:rsidRPr="006A5539">
              <w:rPr>
                <w:color w:val="000000"/>
                <w:szCs w:val="22"/>
              </w:rPr>
              <w:t>Thi-Qar</w:t>
            </w:r>
            <w:proofErr w:type="spellEnd"/>
            <w:r w:rsidRPr="006A5539">
              <w:rPr>
                <w:color w:val="000000"/>
                <w:szCs w:val="22"/>
              </w:rPr>
              <w:t xml:space="preserve"> and Basra</w:t>
            </w:r>
          </w:p>
          <w:p w:rsidR="009624F7" w:rsidRPr="006A5539" w:rsidRDefault="009624F7" w:rsidP="009624F7">
            <w:pPr>
              <w:spacing w:before="120"/>
              <w:jc w:val="both"/>
              <w:rPr>
                <w:rFonts w:eastAsia="MS Mincho"/>
                <w:color w:val="000000"/>
                <w:szCs w:val="22"/>
                <w:lang w:eastAsia="ja-JP"/>
              </w:rPr>
            </w:pPr>
            <w:r w:rsidRPr="006A5539">
              <w:rPr>
                <w:color w:val="000000"/>
                <w:szCs w:val="22"/>
              </w:rPr>
              <w:t>Summary: This project will increase women’s participation in public affairs and encourage new partnerships amongst civil society organizations. Project activities include forming 32 community development committees consisting of 256 women in 32 districts in the four governorates, training the committee members on the subject of humanitarian situation assessment, needs identification and monitoring, and delivering training for 32 local council officers on the subject of good governance and citizen’s participation.</w:t>
            </w:r>
          </w:p>
          <w:p w:rsidR="009624F7" w:rsidRPr="006A5539" w:rsidRDefault="009624F7" w:rsidP="009624F7">
            <w:pPr>
              <w:spacing w:before="120"/>
              <w:jc w:val="both"/>
              <w:rPr>
                <w:color w:val="000000"/>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color w:val="000000"/>
                <w:sz w:val="22"/>
                <w:szCs w:val="22"/>
              </w:rPr>
            </w:pPr>
            <w:r w:rsidRPr="006A5539">
              <w:rPr>
                <w:rFonts w:ascii="Times New Roman" w:hAnsi="Times New Roman" w:cs="Times New Roman"/>
                <w:b/>
                <w:sz w:val="22"/>
                <w:szCs w:val="22"/>
              </w:rPr>
              <w:t>Enhancing rights of minorities in Iraq</w:t>
            </w:r>
          </w:p>
          <w:p w:rsidR="009624F7" w:rsidRPr="006A5539" w:rsidRDefault="009624F7" w:rsidP="009624F7">
            <w:pPr>
              <w:spacing w:before="120"/>
              <w:jc w:val="both"/>
              <w:rPr>
                <w:color w:val="000000"/>
                <w:szCs w:val="22"/>
              </w:rPr>
            </w:pPr>
            <w:r w:rsidRPr="006A5539">
              <w:rPr>
                <w:color w:val="000000"/>
                <w:szCs w:val="22"/>
              </w:rPr>
              <w:t xml:space="preserve">CSOs: Salam Al Rafidain Organization, Association for Women and Children, Al </w:t>
            </w:r>
            <w:proofErr w:type="spellStart"/>
            <w:r w:rsidRPr="006A5539">
              <w:rPr>
                <w:color w:val="000000"/>
                <w:szCs w:val="22"/>
              </w:rPr>
              <w:t>Mahaba</w:t>
            </w:r>
            <w:proofErr w:type="spellEnd"/>
            <w:r w:rsidRPr="006A5539">
              <w:rPr>
                <w:color w:val="000000"/>
                <w:szCs w:val="22"/>
              </w:rPr>
              <w:t xml:space="preserve"> Forum, and Bunyan Foundation</w:t>
            </w:r>
          </w:p>
          <w:p w:rsidR="009624F7" w:rsidRPr="006A5539" w:rsidRDefault="009624F7" w:rsidP="009624F7">
            <w:pPr>
              <w:spacing w:before="120"/>
              <w:jc w:val="both"/>
              <w:rPr>
                <w:szCs w:val="22"/>
              </w:rPr>
            </w:pPr>
            <w:r w:rsidRPr="006A5539">
              <w:rPr>
                <w:color w:val="000000"/>
                <w:szCs w:val="22"/>
              </w:rPr>
              <w:t xml:space="preserve">Governorates: Baghdad, Salah Al-Din, Anbar, </w:t>
            </w:r>
            <w:proofErr w:type="spellStart"/>
            <w:r w:rsidRPr="006A5539">
              <w:rPr>
                <w:color w:val="000000"/>
                <w:szCs w:val="22"/>
              </w:rPr>
              <w:t>Dahuk</w:t>
            </w:r>
            <w:proofErr w:type="spellEnd"/>
            <w:r w:rsidRPr="006A5539">
              <w:rPr>
                <w:color w:val="000000"/>
                <w:szCs w:val="22"/>
              </w:rPr>
              <w:t xml:space="preserve"> and </w:t>
            </w:r>
            <w:proofErr w:type="spellStart"/>
            <w:r w:rsidRPr="006A5539">
              <w:rPr>
                <w:color w:val="000000"/>
                <w:szCs w:val="22"/>
              </w:rPr>
              <w:t>Ninewa</w:t>
            </w:r>
            <w:proofErr w:type="spellEnd"/>
          </w:p>
          <w:p w:rsidR="009624F7" w:rsidRPr="006A5539" w:rsidRDefault="009624F7" w:rsidP="009624F7">
            <w:pPr>
              <w:spacing w:before="120"/>
              <w:jc w:val="both"/>
              <w:rPr>
                <w:szCs w:val="22"/>
              </w:rPr>
            </w:pPr>
            <w:r w:rsidRPr="006A5539">
              <w:rPr>
                <w:szCs w:val="22"/>
              </w:rPr>
              <w:t xml:space="preserve">Summary: The project will enhance the role of academics in disseminating the concept of diversity and citizenship to promote minority rights in universities, raise awareness on minority rights among 6,000 university students, and publish a </w:t>
            </w:r>
            <w:r w:rsidR="006A5539">
              <w:rPr>
                <w:szCs w:val="22"/>
              </w:rPr>
              <w:t>“</w:t>
            </w:r>
            <w:r w:rsidRPr="006A5539">
              <w:rPr>
                <w:szCs w:val="22"/>
              </w:rPr>
              <w:t>Proposal of Basic Principles Paper of Minority Rights Protection Law in Iraq”. Project activities include holding workshops targeting academics on the concept of minority rights, conducting lectures for students at universities, producing a “Proposal of Basic Principles Paper of Minority Rights Protection Law in Iraq”.</w:t>
            </w:r>
          </w:p>
          <w:p w:rsidR="009624F7" w:rsidRPr="006A5539" w:rsidRDefault="009624F7" w:rsidP="009624F7">
            <w:pPr>
              <w:spacing w:before="120"/>
              <w:jc w:val="both"/>
              <w:rPr>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sz w:val="22"/>
                <w:szCs w:val="22"/>
              </w:rPr>
            </w:pPr>
            <w:r w:rsidRPr="006A5539">
              <w:rPr>
                <w:rFonts w:ascii="Times New Roman" w:hAnsi="Times New Roman" w:cs="Times New Roman"/>
                <w:b/>
                <w:sz w:val="22"/>
                <w:szCs w:val="22"/>
              </w:rPr>
              <w:t>Strengthening women's role in the society and reducing violations against them</w:t>
            </w:r>
          </w:p>
          <w:p w:rsidR="009624F7" w:rsidRPr="006A5539" w:rsidRDefault="009624F7" w:rsidP="009624F7">
            <w:pPr>
              <w:spacing w:before="120"/>
              <w:jc w:val="both"/>
              <w:rPr>
                <w:szCs w:val="22"/>
              </w:rPr>
            </w:pPr>
            <w:r w:rsidRPr="006A5539">
              <w:rPr>
                <w:szCs w:val="22"/>
              </w:rPr>
              <w:t xml:space="preserve">CSOs: </w:t>
            </w:r>
            <w:proofErr w:type="spellStart"/>
            <w:r w:rsidRPr="006A5539">
              <w:rPr>
                <w:szCs w:val="22"/>
              </w:rPr>
              <w:t>Ajial</w:t>
            </w:r>
            <w:proofErr w:type="spellEnd"/>
            <w:r w:rsidRPr="006A5539">
              <w:rPr>
                <w:szCs w:val="22"/>
              </w:rPr>
              <w:t xml:space="preserve"> Association for Intelligence and Creation Development, </w:t>
            </w:r>
            <w:proofErr w:type="spellStart"/>
            <w:r w:rsidRPr="006A5539">
              <w:rPr>
                <w:szCs w:val="22"/>
              </w:rPr>
              <w:t>Taawn</w:t>
            </w:r>
            <w:proofErr w:type="spellEnd"/>
            <w:r w:rsidRPr="006A5539">
              <w:rPr>
                <w:szCs w:val="22"/>
              </w:rPr>
              <w:t xml:space="preserve"> Association for Consumer Protection, </w:t>
            </w:r>
            <w:proofErr w:type="spellStart"/>
            <w:r w:rsidRPr="006A5539">
              <w:rPr>
                <w:szCs w:val="22"/>
              </w:rPr>
              <w:t>Hawaa</w:t>
            </w:r>
            <w:proofErr w:type="spellEnd"/>
            <w:r w:rsidRPr="006A5539">
              <w:rPr>
                <w:szCs w:val="22"/>
              </w:rPr>
              <w:t xml:space="preserve"> Organization for Relief and Development, and Youth Forum for Peace</w:t>
            </w:r>
          </w:p>
          <w:p w:rsidR="009624F7" w:rsidRPr="006A5539" w:rsidRDefault="009624F7" w:rsidP="009624F7">
            <w:pPr>
              <w:spacing w:before="120"/>
              <w:jc w:val="both"/>
              <w:rPr>
                <w:szCs w:val="22"/>
              </w:rPr>
            </w:pPr>
            <w:r w:rsidRPr="006A5539">
              <w:rPr>
                <w:szCs w:val="22"/>
              </w:rPr>
              <w:lastRenderedPageBreak/>
              <w:t xml:space="preserve">Governorate: </w:t>
            </w:r>
            <w:proofErr w:type="spellStart"/>
            <w:r w:rsidRPr="006A5539">
              <w:rPr>
                <w:szCs w:val="22"/>
              </w:rPr>
              <w:t>Diyala</w:t>
            </w:r>
            <w:proofErr w:type="spellEnd"/>
            <w:r w:rsidRPr="006A5539">
              <w:rPr>
                <w:szCs w:val="22"/>
              </w:rPr>
              <w:t xml:space="preserve"> </w:t>
            </w:r>
          </w:p>
          <w:p w:rsidR="009624F7" w:rsidRPr="006A5539" w:rsidRDefault="009624F7" w:rsidP="009624F7">
            <w:pPr>
              <w:spacing w:before="120"/>
              <w:jc w:val="both"/>
              <w:rPr>
                <w:szCs w:val="22"/>
              </w:rPr>
            </w:pPr>
            <w:r w:rsidRPr="006A5539">
              <w:rPr>
                <w:szCs w:val="22"/>
              </w:rPr>
              <w:t>This project will raise awareness about the importance of women and their role in society. It also aims to expand women’s participation in the process of development, and enhance the legal and social awareness of women who suffer from violence. Project activities include holding stakeholder meetings, organizing discussion seminars, holding training sessions for women on promoting civic values, conducting PRAs in communities, producing radio programs and conducting a legal awareness campaign for vulnerable women in marginalized communities.</w:t>
            </w:r>
          </w:p>
          <w:p w:rsidR="009624F7" w:rsidRPr="006A5539" w:rsidRDefault="009624F7" w:rsidP="009624F7">
            <w:pPr>
              <w:spacing w:before="120"/>
              <w:jc w:val="both"/>
              <w:rPr>
                <w:color w:val="000000"/>
                <w:szCs w:val="22"/>
              </w:rPr>
            </w:pPr>
          </w:p>
          <w:p w:rsidR="009624F7" w:rsidRPr="006A5539" w:rsidRDefault="009624F7" w:rsidP="009624F7">
            <w:pPr>
              <w:pStyle w:val="ListParagraph"/>
              <w:numPr>
                <w:ilvl w:val="0"/>
                <w:numId w:val="12"/>
              </w:numPr>
              <w:spacing w:before="120"/>
              <w:jc w:val="both"/>
              <w:rPr>
                <w:rFonts w:ascii="Times New Roman" w:hAnsi="Times New Roman" w:cs="Times New Roman"/>
                <w:b/>
                <w:color w:val="000000"/>
                <w:sz w:val="22"/>
                <w:szCs w:val="22"/>
              </w:rPr>
            </w:pPr>
            <w:r w:rsidRPr="006A5539">
              <w:rPr>
                <w:rFonts w:ascii="Times New Roman" w:hAnsi="Times New Roman" w:cs="Times New Roman"/>
                <w:b/>
                <w:sz w:val="22"/>
                <w:szCs w:val="22"/>
              </w:rPr>
              <w:t>Promoting good governance to improve essential services</w:t>
            </w:r>
          </w:p>
          <w:p w:rsidR="009624F7" w:rsidRPr="006A5539" w:rsidRDefault="009624F7" w:rsidP="009624F7">
            <w:pPr>
              <w:spacing w:before="120"/>
              <w:jc w:val="both"/>
              <w:rPr>
                <w:szCs w:val="22"/>
              </w:rPr>
            </w:pPr>
            <w:r w:rsidRPr="006A5539">
              <w:rPr>
                <w:szCs w:val="22"/>
              </w:rPr>
              <w:t xml:space="preserve">CSOs: Al-Noor Universal Foundation, </w:t>
            </w:r>
            <w:proofErr w:type="spellStart"/>
            <w:r w:rsidRPr="006A5539">
              <w:rPr>
                <w:szCs w:val="22"/>
              </w:rPr>
              <w:t>Shaoub</w:t>
            </w:r>
            <w:proofErr w:type="spellEnd"/>
            <w:r w:rsidRPr="006A5539">
              <w:rPr>
                <w:szCs w:val="22"/>
              </w:rPr>
              <w:t xml:space="preserve"> for Democracy Culture Foundation, Hammurabi organization for Human Rights and Democracy Monitoring, Iraqi Civic Action Network, and the Iraqi Social Education Team </w:t>
            </w:r>
          </w:p>
          <w:p w:rsidR="009624F7" w:rsidRPr="006A5539" w:rsidRDefault="009624F7" w:rsidP="009624F7">
            <w:pPr>
              <w:spacing w:before="120"/>
              <w:jc w:val="both"/>
              <w:rPr>
                <w:szCs w:val="22"/>
              </w:rPr>
            </w:pPr>
            <w:r w:rsidRPr="006A5539">
              <w:rPr>
                <w:szCs w:val="22"/>
              </w:rPr>
              <w:t>Governorates: All</w:t>
            </w:r>
            <w:r w:rsidR="001146BA">
              <w:rPr>
                <w:szCs w:val="22"/>
              </w:rPr>
              <w:t>,</w:t>
            </w:r>
            <w:r w:rsidRPr="006A5539">
              <w:rPr>
                <w:szCs w:val="22"/>
              </w:rPr>
              <w:t xml:space="preserve"> except the Kurdistan Region</w:t>
            </w:r>
          </w:p>
          <w:p w:rsidR="009624F7" w:rsidRDefault="009624F7" w:rsidP="00543131">
            <w:pPr>
              <w:spacing w:before="120"/>
              <w:jc w:val="both"/>
              <w:rPr>
                <w:szCs w:val="22"/>
              </w:rPr>
            </w:pPr>
            <w:r w:rsidRPr="006A5539">
              <w:rPr>
                <w:szCs w:val="22"/>
              </w:rPr>
              <w:t>This project will strengthen the abilities of CSOs to determine priorities, expand local government’s acceptance of good governance, improve citizen’s participation in determining their priorities and undertake consultations with CSOs and community leaders. Project activities include holding workshops for CSO leaders on participation, accountability, priority setting and monitoring, publishing an analytical study on service and community participation, holding 30 forums to discuss the results of the study and to identify the means of advocacy, and forming pressure groups in each Governorate to call for good governance or enhanced public services.</w:t>
            </w:r>
          </w:p>
          <w:p w:rsidR="000F4C7D" w:rsidRDefault="000F4C7D" w:rsidP="000F4C7D">
            <w:pPr>
              <w:textAlignment w:val="baseline"/>
              <w:rPr>
                <w:rFonts w:ascii="Arial" w:hAnsi="Arial"/>
                <w:color w:val="333333"/>
              </w:rPr>
            </w:pPr>
          </w:p>
          <w:p w:rsidR="000F4C7D" w:rsidRDefault="000F4C7D" w:rsidP="000F4C7D">
            <w:pPr>
              <w:textAlignment w:val="baseline"/>
              <w:rPr>
                <w:rFonts w:ascii="Arial" w:hAnsi="Arial"/>
                <w:color w:val="333333"/>
              </w:rPr>
            </w:pPr>
            <w:r>
              <w:rPr>
                <w:rFonts w:ascii="Arial" w:hAnsi="Arial"/>
                <w:noProof/>
                <w:snapToGrid/>
                <w:color w:val="0055AA"/>
                <w:bdr w:val="none" w:sz="0" w:space="0" w:color="auto" w:frame="1"/>
                <w:lang w:val="en-US"/>
              </w:rPr>
              <w:drawing>
                <wp:anchor distT="0" distB="0" distL="114300" distR="114300" simplePos="0" relativeHeight="251659264" behindDoc="0" locked="0" layoutInCell="1" allowOverlap="1" wp14:anchorId="2FB90D1D" wp14:editId="6938DEC9">
                  <wp:simplePos x="0" y="0"/>
                  <wp:positionH relativeFrom="column">
                    <wp:posOffset>955675</wp:posOffset>
                  </wp:positionH>
                  <wp:positionV relativeFrom="paragraph">
                    <wp:posOffset>38100</wp:posOffset>
                  </wp:positionV>
                  <wp:extent cx="4520565" cy="2485390"/>
                  <wp:effectExtent l="0" t="0" r="635" b="3810"/>
                  <wp:wrapSquare wrapText="bothSides"/>
                  <wp:docPr id="2" name="Imagen 2" descr="roup of 31 CSO participants from all over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p of 31 CSO participants from all over Ir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0565" cy="248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C7D" w:rsidRDefault="000F4C7D" w:rsidP="000F4C7D">
            <w:pPr>
              <w:textAlignment w:val="baseline"/>
              <w:rPr>
                <w:rFonts w:ascii="Arial" w:hAnsi="Arial"/>
                <w:color w:val="333333"/>
              </w:rPr>
            </w:pPr>
          </w:p>
          <w:p w:rsidR="00543131" w:rsidRDefault="00543131" w:rsidP="00543131">
            <w:pPr>
              <w:spacing w:before="120"/>
              <w:jc w:val="both"/>
              <w:rPr>
                <w:szCs w:val="22"/>
              </w:rPr>
            </w:pPr>
          </w:p>
          <w:p w:rsidR="000F4C7D" w:rsidRDefault="000F4C7D" w:rsidP="00543131">
            <w:pPr>
              <w:spacing w:before="120"/>
              <w:jc w:val="both"/>
              <w:rPr>
                <w:szCs w:val="22"/>
              </w:rPr>
            </w:pPr>
          </w:p>
          <w:p w:rsidR="00543131" w:rsidRPr="00543131" w:rsidRDefault="00543131" w:rsidP="00543131">
            <w:pPr>
              <w:spacing w:before="120"/>
              <w:jc w:val="both"/>
              <w:rPr>
                <w:szCs w:val="22"/>
              </w:rPr>
            </w:pPr>
          </w:p>
        </w:tc>
      </w:tr>
      <w:tr w:rsidR="0011498B" w:rsidRPr="00BB4503" w:rsidTr="00FD4907">
        <w:trPr>
          <w:jc w:val="center"/>
        </w:trPr>
        <w:tc>
          <w:tcPr>
            <w:tcW w:w="10080" w:type="dxa"/>
            <w:shd w:val="clear" w:color="auto" w:fill="000099"/>
          </w:tcPr>
          <w:p w:rsidR="0011498B" w:rsidRPr="006A5539" w:rsidRDefault="0011498B" w:rsidP="0011498B">
            <w:pPr>
              <w:rPr>
                <w:color w:val="000000"/>
                <w:szCs w:val="22"/>
              </w:rPr>
            </w:pPr>
          </w:p>
        </w:tc>
      </w:tr>
    </w:tbl>
    <w:p w:rsidR="0011498B" w:rsidRDefault="0011498B"/>
    <w:p w:rsidR="00192D51" w:rsidRDefault="00192D51"/>
    <w:p w:rsidR="00192D51" w:rsidRDefault="00192D51"/>
    <w:p w:rsidR="00192D51" w:rsidRDefault="00192D51"/>
    <w:p w:rsidR="00192D51" w:rsidRDefault="00192D51"/>
    <w:sectPr w:rsidR="00192D51" w:rsidSect="0011498B">
      <w:pgSz w:w="12240" w:h="15840"/>
      <w:pgMar w:top="540" w:right="9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1C7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E3A42"/>
    <w:multiLevelType w:val="multilevel"/>
    <w:tmpl w:val="6C125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45F45"/>
    <w:multiLevelType w:val="hybridMultilevel"/>
    <w:tmpl w:val="6F92B8AC"/>
    <w:lvl w:ilvl="0" w:tplc="A23EC7EC">
      <w:start w:val="5"/>
      <w:numFmt w:val="bullet"/>
      <w:lvlText w:val="-"/>
      <w:lvlJc w:val="left"/>
      <w:pPr>
        <w:ind w:left="777" w:hanging="360"/>
      </w:pPr>
      <w:rPr>
        <w:rFonts w:ascii="Tahoma" w:eastAsia="Calibri" w:hAnsi="Tahoma" w:cs="Tahoma"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19F460F6"/>
    <w:multiLevelType w:val="hybridMultilevel"/>
    <w:tmpl w:val="1534EEDC"/>
    <w:lvl w:ilvl="0" w:tplc="6B16A8D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A0000"/>
    <w:multiLevelType w:val="hybridMultilevel"/>
    <w:tmpl w:val="43E418E0"/>
    <w:lvl w:ilvl="0" w:tplc="9B9E676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FF08C8"/>
    <w:multiLevelType w:val="hybridMultilevel"/>
    <w:tmpl w:val="3B244D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46AA2EE0"/>
    <w:multiLevelType w:val="hybridMultilevel"/>
    <w:tmpl w:val="C330C4B6"/>
    <w:lvl w:ilvl="0" w:tplc="6B5C2B5C">
      <w:start w:val="8"/>
      <w:numFmt w:val="bullet"/>
      <w:lvlText w:val="-"/>
      <w:lvlJc w:val="left"/>
      <w:pPr>
        <w:ind w:left="506" w:hanging="360"/>
      </w:pPr>
      <w:rPr>
        <w:rFonts w:ascii="Times New Roman" w:eastAsia="Times New Roman" w:hAnsi="Times New Roman" w:cs="Times New Roman"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8">
    <w:nsid w:val="49BD18C7"/>
    <w:multiLevelType w:val="multilevel"/>
    <w:tmpl w:val="5CFED8DC"/>
    <w:lvl w:ilvl="0">
      <w:start w:val="1"/>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00A6351"/>
    <w:multiLevelType w:val="multilevel"/>
    <w:tmpl w:val="6C125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6C794D"/>
    <w:multiLevelType w:val="multilevel"/>
    <w:tmpl w:val="C01C67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3">
    <w:nsid w:val="66B466E6"/>
    <w:multiLevelType w:val="multilevel"/>
    <w:tmpl w:val="E4A89C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304F3A"/>
    <w:multiLevelType w:val="hybridMultilevel"/>
    <w:tmpl w:val="D7C07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1"/>
  </w:num>
  <w:num w:numId="5">
    <w:abstractNumId w:val="12"/>
  </w:num>
  <w:num w:numId="6">
    <w:abstractNumId w:val="8"/>
  </w:num>
  <w:num w:numId="7">
    <w:abstractNumId w:val="6"/>
  </w:num>
  <w:num w:numId="8">
    <w:abstractNumId w:val="0"/>
  </w:num>
  <w:num w:numId="9">
    <w:abstractNumId w:val="1"/>
  </w:num>
  <w:num w:numId="10">
    <w:abstractNumId w:val="15"/>
  </w:num>
  <w:num w:numId="11">
    <w:abstractNumId w:val="9"/>
  </w:num>
  <w:num w:numId="12">
    <w:abstractNumId w:val="5"/>
  </w:num>
  <w:num w:numId="13">
    <w:abstractNumId w:val="13"/>
  </w:num>
  <w:num w:numId="14">
    <w:abstractNumId w:val="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CF"/>
    <w:rsid w:val="00035F15"/>
    <w:rsid w:val="00072CCE"/>
    <w:rsid w:val="00075098"/>
    <w:rsid w:val="00094B72"/>
    <w:rsid w:val="00097B20"/>
    <w:rsid w:val="000B114C"/>
    <w:rsid w:val="000C02DE"/>
    <w:rsid w:val="000C41F7"/>
    <w:rsid w:val="000D1A83"/>
    <w:rsid w:val="000D23AC"/>
    <w:rsid w:val="000D5CEE"/>
    <w:rsid w:val="000E5EB9"/>
    <w:rsid w:val="000F089E"/>
    <w:rsid w:val="000F4C7D"/>
    <w:rsid w:val="001146BA"/>
    <w:rsid w:val="00114986"/>
    <w:rsid w:val="0011498B"/>
    <w:rsid w:val="001231FE"/>
    <w:rsid w:val="001500EC"/>
    <w:rsid w:val="001564B8"/>
    <w:rsid w:val="0018157D"/>
    <w:rsid w:val="0018243F"/>
    <w:rsid w:val="00192D51"/>
    <w:rsid w:val="001A019A"/>
    <w:rsid w:val="001A5DC3"/>
    <w:rsid w:val="001A6157"/>
    <w:rsid w:val="001C10DD"/>
    <w:rsid w:val="001C5EE4"/>
    <w:rsid w:val="001F6383"/>
    <w:rsid w:val="001F7F84"/>
    <w:rsid w:val="002077A1"/>
    <w:rsid w:val="002200A9"/>
    <w:rsid w:val="00237F1B"/>
    <w:rsid w:val="0026058F"/>
    <w:rsid w:val="00265C19"/>
    <w:rsid w:val="002775E6"/>
    <w:rsid w:val="00281A43"/>
    <w:rsid w:val="00283C12"/>
    <w:rsid w:val="002878D6"/>
    <w:rsid w:val="002B2805"/>
    <w:rsid w:val="002B5DDD"/>
    <w:rsid w:val="002B7420"/>
    <w:rsid w:val="00310B99"/>
    <w:rsid w:val="00324C5B"/>
    <w:rsid w:val="00337253"/>
    <w:rsid w:val="003446D3"/>
    <w:rsid w:val="00352309"/>
    <w:rsid w:val="003724FB"/>
    <w:rsid w:val="003824BD"/>
    <w:rsid w:val="003833ED"/>
    <w:rsid w:val="00390678"/>
    <w:rsid w:val="003A5400"/>
    <w:rsid w:val="003B0F42"/>
    <w:rsid w:val="003B40B9"/>
    <w:rsid w:val="003B641D"/>
    <w:rsid w:val="003D2E64"/>
    <w:rsid w:val="003D77E5"/>
    <w:rsid w:val="00411EBD"/>
    <w:rsid w:val="00414874"/>
    <w:rsid w:val="00423F35"/>
    <w:rsid w:val="00431D72"/>
    <w:rsid w:val="00440FFC"/>
    <w:rsid w:val="0046351F"/>
    <w:rsid w:val="004939C2"/>
    <w:rsid w:val="00497E5F"/>
    <w:rsid w:val="004E09B3"/>
    <w:rsid w:val="004E3B1E"/>
    <w:rsid w:val="00501E17"/>
    <w:rsid w:val="00511EA7"/>
    <w:rsid w:val="00530923"/>
    <w:rsid w:val="00543131"/>
    <w:rsid w:val="0055617D"/>
    <w:rsid w:val="00556EB3"/>
    <w:rsid w:val="005719C3"/>
    <w:rsid w:val="00571F90"/>
    <w:rsid w:val="00581BC1"/>
    <w:rsid w:val="005A06A3"/>
    <w:rsid w:val="005A2A20"/>
    <w:rsid w:val="005A4FD4"/>
    <w:rsid w:val="005C14C0"/>
    <w:rsid w:val="005C1DD8"/>
    <w:rsid w:val="005C3888"/>
    <w:rsid w:val="005D724B"/>
    <w:rsid w:val="006269B6"/>
    <w:rsid w:val="0062763D"/>
    <w:rsid w:val="006324F5"/>
    <w:rsid w:val="00650C72"/>
    <w:rsid w:val="00687949"/>
    <w:rsid w:val="00692B1A"/>
    <w:rsid w:val="006A5539"/>
    <w:rsid w:val="006C3FA8"/>
    <w:rsid w:val="006C47BF"/>
    <w:rsid w:val="006C6592"/>
    <w:rsid w:val="006D42DF"/>
    <w:rsid w:val="006E130E"/>
    <w:rsid w:val="006F17AB"/>
    <w:rsid w:val="00716F26"/>
    <w:rsid w:val="00740FEC"/>
    <w:rsid w:val="007A03E7"/>
    <w:rsid w:val="007A3F42"/>
    <w:rsid w:val="007E09C2"/>
    <w:rsid w:val="008227B2"/>
    <w:rsid w:val="00840DAA"/>
    <w:rsid w:val="008A2A5D"/>
    <w:rsid w:val="008D0934"/>
    <w:rsid w:val="00901372"/>
    <w:rsid w:val="00906D40"/>
    <w:rsid w:val="00935941"/>
    <w:rsid w:val="009375CA"/>
    <w:rsid w:val="00945AF1"/>
    <w:rsid w:val="009624F7"/>
    <w:rsid w:val="00976BAA"/>
    <w:rsid w:val="00981A5D"/>
    <w:rsid w:val="009B532E"/>
    <w:rsid w:val="009B7121"/>
    <w:rsid w:val="009F73D4"/>
    <w:rsid w:val="00A10F2E"/>
    <w:rsid w:val="00A42209"/>
    <w:rsid w:val="00A4443C"/>
    <w:rsid w:val="00A56CD4"/>
    <w:rsid w:val="00AA1989"/>
    <w:rsid w:val="00AB4A02"/>
    <w:rsid w:val="00AD34D6"/>
    <w:rsid w:val="00B26E7D"/>
    <w:rsid w:val="00B53870"/>
    <w:rsid w:val="00B8745A"/>
    <w:rsid w:val="00B92196"/>
    <w:rsid w:val="00BA679E"/>
    <w:rsid w:val="00BB1101"/>
    <w:rsid w:val="00BC1004"/>
    <w:rsid w:val="00BC22D6"/>
    <w:rsid w:val="00BE7590"/>
    <w:rsid w:val="00BF39B5"/>
    <w:rsid w:val="00C027DB"/>
    <w:rsid w:val="00C24E86"/>
    <w:rsid w:val="00C6010B"/>
    <w:rsid w:val="00C64474"/>
    <w:rsid w:val="00C746FD"/>
    <w:rsid w:val="00C77ACF"/>
    <w:rsid w:val="00C8146F"/>
    <w:rsid w:val="00C82290"/>
    <w:rsid w:val="00C87E5A"/>
    <w:rsid w:val="00C94D6F"/>
    <w:rsid w:val="00CA6699"/>
    <w:rsid w:val="00CC1898"/>
    <w:rsid w:val="00CD19C3"/>
    <w:rsid w:val="00CD3C08"/>
    <w:rsid w:val="00CE11D7"/>
    <w:rsid w:val="00D0077D"/>
    <w:rsid w:val="00D22BFD"/>
    <w:rsid w:val="00D252C7"/>
    <w:rsid w:val="00D4381F"/>
    <w:rsid w:val="00D5539B"/>
    <w:rsid w:val="00D814CE"/>
    <w:rsid w:val="00DB1C52"/>
    <w:rsid w:val="00DE2D73"/>
    <w:rsid w:val="00DF1451"/>
    <w:rsid w:val="00DF2F6E"/>
    <w:rsid w:val="00E06000"/>
    <w:rsid w:val="00E67A9F"/>
    <w:rsid w:val="00E7748B"/>
    <w:rsid w:val="00EA5AF7"/>
    <w:rsid w:val="00EB24EE"/>
    <w:rsid w:val="00EB2DEC"/>
    <w:rsid w:val="00EE1AEB"/>
    <w:rsid w:val="00EF7A4D"/>
    <w:rsid w:val="00F0340E"/>
    <w:rsid w:val="00F06A0D"/>
    <w:rsid w:val="00F323F7"/>
    <w:rsid w:val="00F35DC9"/>
    <w:rsid w:val="00F61625"/>
    <w:rsid w:val="00FC4D84"/>
    <w:rsid w:val="00FC69D1"/>
    <w:rsid w:val="00FD4907"/>
    <w:rsid w:val="00FF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ACF"/>
    <w:pPr>
      <w:widowControl w:val="0"/>
    </w:pPr>
    <w:rPr>
      <w:snapToGrid w:val="0"/>
      <w:sz w:val="22"/>
      <w:lang w:val="en-GB"/>
    </w:rPr>
  </w:style>
  <w:style w:type="paragraph" w:styleId="Heading1">
    <w:name w:val="heading 1"/>
    <w:basedOn w:val="Normal"/>
    <w:next w:val="Normal"/>
    <w:link w:val="Heading1Char"/>
    <w:qFormat/>
    <w:rsid w:val="000F4C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0F4C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35941"/>
    <w:pPr>
      <w:widowControl/>
      <w:spacing w:before="45" w:after="45"/>
      <w:outlineLvl w:val="4"/>
    </w:pPr>
    <w:rPr>
      <w:b/>
      <w:bCs/>
      <w:snapToGrid/>
      <w:color w:val="0055A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95959"/>
    <w:rPr>
      <w:sz w:val="18"/>
      <w:szCs w:val="18"/>
    </w:rPr>
  </w:style>
  <w:style w:type="paragraph" w:styleId="CommentText">
    <w:name w:val="annotation text"/>
    <w:basedOn w:val="Normal"/>
    <w:link w:val="CommentTextChar"/>
    <w:rsid w:val="00795959"/>
    <w:rPr>
      <w:sz w:val="24"/>
      <w:szCs w:val="24"/>
    </w:rPr>
  </w:style>
  <w:style w:type="character" w:customStyle="1" w:styleId="CommentTextChar">
    <w:name w:val="Comment Text Char"/>
    <w:link w:val="CommentText"/>
    <w:rsid w:val="00795959"/>
    <w:rPr>
      <w:snapToGrid/>
      <w:sz w:val="24"/>
      <w:szCs w:val="24"/>
      <w:lang w:val="en-GB" w:eastAsia="en-US"/>
    </w:rPr>
  </w:style>
  <w:style w:type="paragraph" w:styleId="CommentSubject">
    <w:name w:val="annotation subject"/>
    <w:basedOn w:val="CommentText"/>
    <w:next w:val="CommentText"/>
    <w:link w:val="CommentSubjectChar"/>
    <w:rsid w:val="00795959"/>
    <w:rPr>
      <w:b/>
      <w:bCs/>
    </w:rPr>
  </w:style>
  <w:style w:type="character" w:customStyle="1" w:styleId="CommentSubjectChar">
    <w:name w:val="Comment Subject Char"/>
    <w:link w:val="CommentSubject"/>
    <w:rsid w:val="00795959"/>
    <w:rPr>
      <w:b/>
      <w:bCs/>
      <w:snapToGrid/>
      <w:sz w:val="24"/>
      <w:szCs w:val="24"/>
      <w:lang w:val="en-GB" w:eastAsia="en-US"/>
    </w:rPr>
  </w:style>
  <w:style w:type="paragraph" w:styleId="BalloonText">
    <w:name w:val="Balloon Text"/>
    <w:basedOn w:val="Normal"/>
    <w:link w:val="BalloonTextChar"/>
    <w:rsid w:val="00795959"/>
    <w:rPr>
      <w:rFonts w:ascii="Lucida Grande" w:hAnsi="Lucida Grande"/>
      <w:sz w:val="18"/>
      <w:szCs w:val="18"/>
    </w:rPr>
  </w:style>
  <w:style w:type="character" w:customStyle="1" w:styleId="BalloonTextChar">
    <w:name w:val="Balloon Text Char"/>
    <w:link w:val="BalloonText"/>
    <w:rsid w:val="00795959"/>
    <w:rPr>
      <w:rFonts w:ascii="Lucida Grande" w:hAnsi="Lucida Grande" w:cs="Lucida Grande"/>
      <w:snapToGrid/>
      <w:sz w:val="18"/>
      <w:szCs w:val="18"/>
      <w:lang w:val="en-GB" w:eastAsia="en-US"/>
    </w:rPr>
  </w:style>
  <w:style w:type="paragraph" w:styleId="Header">
    <w:name w:val="header"/>
    <w:basedOn w:val="Normal"/>
    <w:link w:val="HeaderChar"/>
    <w:rsid w:val="00467587"/>
    <w:pPr>
      <w:tabs>
        <w:tab w:val="center" w:pos="4320"/>
        <w:tab w:val="right" w:pos="8640"/>
      </w:tabs>
      <w:suppressAutoHyphens/>
      <w:autoSpaceDN w:val="0"/>
      <w:textAlignment w:val="baseline"/>
    </w:pPr>
    <w:rPr>
      <w:snapToGrid/>
      <w:sz w:val="24"/>
    </w:rPr>
  </w:style>
  <w:style w:type="character" w:customStyle="1" w:styleId="HeaderChar">
    <w:name w:val="Header Char"/>
    <w:link w:val="Header"/>
    <w:rsid w:val="00467587"/>
    <w:rPr>
      <w:sz w:val="24"/>
      <w:lang w:val="en-GB" w:eastAsia="en-US"/>
    </w:rPr>
  </w:style>
  <w:style w:type="paragraph" w:customStyle="1" w:styleId="MediumGrid1-Accent21">
    <w:name w:val="Medium Grid 1 - Accent 21"/>
    <w:basedOn w:val="Normal"/>
    <w:uiPriority w:val="34"/>
    <w:qFormat/>
    <w:rsid w:val="00467587"/>
    <w:pPr>
      <w:suppressAutoHyphens/>
      <w:autoSpaceDN w:val="0"/>
      <w:ind w:left="720"/>
      <w:contextualSpacing/>
      <w:textAlignment w:val="baseline"/>
    </w:pPr>
    <w:rPr>
      <w:snapToGrid/>
      <w:sz w:val="24"/>
    </w:rPr>
  </w:style>
  <w:style w:type="paragraph" w:customStyle="1" w:styleId="ColorfulShading-Accent11">
    <w:name w:val="Colorful Shading - Accent 11"/>
    <w:hidden/>
    <w:uiPriority w:val="99"/>
    <w:semiHidden/>
    <w:rsid w:val="009B2FFF"/>
    <w:rPr>
      <w:snapToGrid w:val="0"/>
      <w:sz w:val="22"/>
      <w:lang w:val="en-GB"/>
    </w:rPr>
  </w:style>
  <w:style w:type="paragraph" w:styleId="ListParagraph">
    <w:name w:val="List Paragraph"/>
    <w:basedOn w:val="Normal"/>
    <w:link w:val="ListParagraphChar"/>
    <w:uiPriority w:val="34"/>
    <w:qFormat/>
    <w:rsid w:val="009624F7"/>
    <w:pPr>
      <w:widowControl/>
      <w:ind w:left="720"/>
      <w:contextualSpacing/>
    </w:pPr>
    <w:rPr>
      <w:rFonts w:ascii="Calibri" w:eastAsia="MS Mincho" w:hAnsi="Calibri" w:cs="Arial"/>
      <w:snapToGrid/>
      <w:sz w:val="24"/>
      <w:szCs w:val="24"/>
      <w:lang w:val="en-US"/>
    </w:rPr>
  </w:style>
  <w:style w:type="character" w:customStyle="1" w:styleId="Heading5Char">
    <w:name w:val="Heading 5 Char"/>
    <w:link w:val="Heading5"/>
    <w:uiPriority w:val="9"/>
    <w:rsid w:val="00935941"/>
    <w:rPr>
      <w:b/>
      <w:bCs/>
      <w:color w:val="0055AA"/>
      <w:sz w:val="24"/>
      <w:szCs w:val="24"/>
    </w:rPr>
  </w:style>
  <w:style w:type="paragraph" w:styleId="NormalWeb">
    <w:name w:val="Normal (Web)"/>
    <w:basedOn w:val="Normal"/>
    <w:uiPriority w:val="99"/>
    <w:unhideWhenUsed/>
    <w:rsid w:val="00935941"/>
    <w:pPr>
      <w:widowControl/>
      <w:spacing w:before="100" w:beforeAutospacing="1" w:after="100" w:afterAutospacing="1" w:line="360" w:lineRule="auto"/>
    </w:pPr>
    <w:rPr>
      <w:snapToGrid/>
      <w:sz w:val="24"/>
      <w:szCs w:val="24"/>
      <w:lang w:val="en-US"/>
    </w:rPr>
  </w:style>
  <w:style w:type="character" w:customStyle="1" w:styleId="ListParagraphChar">
    <w:name w:val="List Paragraph Char"/>
    <w:link w:val="ListParagraph"/>
    <w:uiPriority w:val="34"/>
    <w:rsid w:val="00A10F2E"/>
    <w:rPr>
      <w:rFonts w:ascii="Calibri" w:eastAsia="MS Mincho" w:hAnsi="Calibri" w:cs="Arial"/>
      <w:sz w:val="24"/>
      <w:szCs w:val="24"/>
    </w:rPr>
  </w:style>
  <w:style w:type="character" w:customStyle="1" w:styleId="Heading1Char">
    <w:name w:val="Heading 1 Char"/>
    <w:basedOn w:val="DefaultParagraphFont"/>
    <w:link w:val="Heading1"/>
    <w:rsid w:val="000F4C7D"/>
    <w:rPr>
      <w:rFonts w:asciiTheme="majorHAnsi" w:eastAsiaTheme="majorEastAsia" w:hAnsiTheme="majorHAnsi" w:cstheme="majorBidi"/>
      <w:b/>
      <w:bCs/>
      <w:snapToGrid w:val="0"/>
      <w:color w:val="345A8A" w:themeColor="accent1" w:themeShade="B5"/>
      <w:sz w:val="32"/>
      <w:szCs w:val="32"/>
      <w:lang w:val="en-GB"/>
    </w:rPr>
  </w:style>
  <w:style w:type="character" w:customStyle="1" w:styleId="Heading3Char">
    <w:name w:val="Heading 3 Char"/>
    <w:basedOn w:val="DefaultParagraphFont"/>
    <w:link w:val="Heading3"/>
    <w:semiHidden/>
    <w:rsid w:val="000F4C7D"/>
    <w:rPr>
      <w:rFonts w:asciiTheme="majorHAnsi" w:eastAsiaTheme="majorEastAsia" w:hAnsiTheme="majorHAnsi" w:cstheme="majorBidi"/>
      <w:b/>
      <w:bCs/>
      <w:snapToGrid w:val="0"/>
      <w:color w:val="4F81BD" w:themeColor="accent1"/>
      <w:sz w:val="22"/>
      <w:lang w:val="en-GB"/>
    </w:rPr>
  </w:style>
  <w:style w:type="character" w:customStyle="1" w:styleId="Date1">
    <w:name w:val="Date1"/>
    <w:basedOn w:val="DefaultParagraphFont"/>
    <w:rsid w:val="000F4C7D"/>
  </w:style>
  <w:style w:type="character" w:customStyle="1" w:styleId="Caption1">
    <w:name w:val="Caption1"/>
    <w:basedOn w:val="DefaultParagraphFont"/>
    <w:rsid w:val="000F4C7D"/>
  </w:style>
  <w:style w:type="character" w:customStyle="1" w:styleId="apple-converted-space">
    <w:name w:val="apple-converted-space"/>
    <w:basedOn w:val="DefaultParagraphFont"/>
    <w:rsid w:val="000F4C7D"/>
  </w:style>
  <w:style w:type="character" w:styleId="Hyperlink">
    <w:name w:val="Hyperlink"/>
    <w:basedOn w:val="DefaultParagraphFont"/>
    <w:uiPriority w:val="99"/>
    <w:unhideWhenUsed/>
    <w:rsid w:val="000F4C7D"/>
    <w:rPr>
      <w:color w:val="0000FF"/>
      <w:u w:val="single"/>
    </w:rPr>
  </w:style>
  <w:style w:type="paragraph" w:styleId="NoSpacing">
    <w:name w:val="No Spacing"/>
    <w:uiPriority w:val="1"/>
    <w:qFormat/>
    <w:rsid w:val="0026058F"/>
    <w:pPr>
      <w:widowControl w:val="0"/>
    </w:pPr>
    <w:rPr>
      <w:snapToGrid w:val="0"/>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ACF"/>
    <w:pPr>
      <w:widowControl w:val="0"/>
    </w:pPr>
    <w:rPr>
      <w:snapToGrid w:val="0"/>
      <w:sz w:val="22"/>
      <w:lang w:val="en-GB"/>
    </w:rPr>
  </w:style>
  <w:style w:type="paragraph" w:styleId="Heading1">
    <w:name w:val="heading 1"/>
    <w:basedOn w:val="Normal"/>
    <w:next w:val="Normal"/>
    <w:link w:val="Heading1Char"/>
    <w:qFormat/>
    <w:rsid w:val="000F4C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0F4C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35941"/>
    <w:pPr>
      <w:widowControl/>
      <w:spacing w:before="45" w:after="45"/>
      <w:outlineLvl w:val="4"/>
    </w:pPr>
    <w:rPr>
      <w:b/>
      <w:bCs/>
      <w:snapToGrid/>
      <w:color w:val="0055A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95959"/>
    <w:rPr>
      <w:sz w:val="18"/>
      <w:szCs w:val="18"/>
    </w:rPr>
  </w:style>
  <w:style w:type="paragraph" w:styleId="CommentText">
    <w:name w:val="annotation text"/>
    <w:basedOn w:val="Normal"/>
    <w:link w:val="CommentTextChar"/>
    <w:rsid w:val="00795959"/>
    <w:rPr>
      <w:sz w:val="24"/>
      <w:szCs w:val="24"/>
    </w:rPr>
  </w:style>
  <w:style w:type="character" w:customStyle="1" w:styleId="CommentTextChar">
    <w:name w:val="Comment Text Char"/>
    <w:link w:val="CommentText"/>
    <w:rsid w:val="00795959"/>
    <w:rPr>
      <w:snapToGrid/>
      <w:sz w:val="24"/>
      <w:szCs w:val="24"/>
      <w:lang w:val="en-GB" w:eastAsia="en-US"/>
    </w:rPr>
  </w:style>
  <w:style w:type="paragraph" w:styleId="CommentSubject">
    <w:name w:val="annotation subject"/>
    <w:basedOn w:val="CommentText"/>
    <w:next w:val="CommentText"/>
    <w:link w:val="CommentSubjectChar"/>
    <w:rsid w:val="00795959"/>
    <w:rPr>
      <w:b/>
      <w:bCs/>
    </w:rPr>
  </w:style>
  <w:style w:type="character" w:customStyle="1" w:styleId="CommentSubjectChar">
    <w:name w:val="Comment Subject Char"/>
    <w:link w:val="CommentSubject"/>
    <w:rsid w:val="00795959"/>
    <w:rPr>
      <w:b/>
      <w:bCs/>
      <w:snapToGrid/>
      <w:sz w:val="24"/>
      <w:szCs w:val="24"/>
      <w:lang w:val="en-GB" w:eastAsia="en-US"/>
    </w:rPr>
  </w:style>
  <w:style w:type="paragraph" w:styleId="BalloonText">
    <w:name w:val="Balloon Text"/>
    <w:basedOn w:val="Normal"/>
    <w:link w:val="BalloonTextChar"/>
    <w:rsid w:val="00795959"/>
    <w:rPr>
      <w:rFonts w:ascii="Lucida Grande" w:hAnsi="Lucida Grande"/>
      <w:sz w:val="18"/>
      <w:szCs w:val="18"/>
    </w:rPr>
  </w:style>
  <w:style w:type="character" w:customStyle="1" w:styleId="BalloonTextChar">
    <w:name w:val="Balloon Text Char"/>
    <w:link w:val="BalloonText"/>
    <w:rsid w:val="00795959"/>
    <w:rPr>
      <w:rFonts w:ascii="Lucida Grande" w:hAnsi="Lucida Grande" w:cs="Lucida Grande"/>
      <w:snapToGrid/>
      <w:sz w:val="18"/>
      <w:szCs w:val="18"/>
      <w:lang w:val="en-GB" w:eastAsia="en-US"/>
    </w:rPr>
  </w:style>
  <w:style w:type="paragraph" w:styleId="Header">
    <w:name w:val="header"/>
    <w:basedOn w:val="Normal"/>
    <w:link w:val="HeaderChar"/>
    <w:rsid w:val="00467587"/>
    <w:pPr>
      <w:tabs>
        <w:tab w:val="center" w:pos="4320"/>
        <w:tab w:val="right" w:pos="8640"/>
      </w:tabs>
      <w:suppressAutoHyphens/>
      <w:autoSpaceDN w:val="0"/>
      <w:textAlignment w:val="baseline"/>
    </w:pPr>
    <w:rPr>
      <w:snapToGrid/>
      <w:sz w:val="24"/>
    </w:rPr>
  </w:style>
  <w:style w:type="character" w:customStyle="1" w:styleId="HeaderChar">
    <w:name w:val="Header Char"/>
    <w:link w:val="Header"/>
    <w:rsid w:val="00467587"/>
    <w:rPr>
      <w:sz w:val="24"/>
      <w:lang w:val="en-GB" w:eastAsia="en-US"/>
    </w:rPr>
  </w:style>
  <w:style w:type="paragraph" w:customStyle="1" w:styleId="MediumGrid1-Accent21">
    <w:name w:val="Medium Grid 1 - Accent 21"/>
    <w:basedOn w:val="Normal"/>
    <w:uiPriority w:val="34"/>
    <w:qFormat/>
    <w:rsid w:val="00467587"/>
    <w:pPr>
      <w:suppressAutoHyphens/>
      <w:autoSpaceDN w:val="0"/>
      <w:ind w:left="720"/>
      <w:contextualSpacing/>
      <w:textAlignment w:val="baseline"/>
    </w:pPr>
    <w:rPr>
      <w:snapToGrid/>
      <w:sz w:val="24"/>
    </w:rPr>
  </w:style>
  <w:style w:type="paragraph" w:customStyle="1" w:styleId="ColorfulShading-Accent11">
    <w:name w:val="Colorful Shading - Accent 11"/>
    <w:hidden/>
    <w:uiPriority w:val="99"/>
    <w:semiHidden/>
    <w:rsid w:val="009B2FFF"/>
    <w:rPr>
      <w:snapToGrid w:val="0"/>
      <w:sz w:val="22"/>
      <w:lang w:val="en-GB"/>
    </w:rPr>
  </w:style>
  <w:style w:type="paragraph" w:styleId="ListParagraph">
    <w:name w:val="List Paragraph"/>
    <w:basedOn w:val="Normal"/>
    <w:link w:val="ListParagraphChar"/>
    <w:uiPriority w:val="34"/>
    <w:qFormat/>
    <w:rsid w:val="009624F7"/>
    <w:pPr>
      <w:widowControl/>
      <w:ind w:left="720"/>
      <w:contextualSpacing/>
    </w:pPr>
    <w:rPr>
      <w:rFonts w:ascii="Calibri" w:eastAsia="MS Mincho" w:hAnsi="Calibri" w:cs="Arial"/>
      <w:snapToGrid/>
      <w:sz w:val="24"/>
      <w:szCs w:val="24"/>
      <w:lang w:val="en-US"/>
    </w:rPr>
  </w:style>
  <w:style w:type="character" w:customStyle="1" w:styleId="Heading5Char">
    <w:name w:val="Heading 5 Char"/>
    <w:link w:val="Heading5"/>
    <w:uiPriority w:val="9"/>
    <w:rsid w:val="00935941"/>
    <w:rPr>
      <w:b/>
      <w:bCs/>
      <w:color w:val="0055AA"/>
      <w:sz w:val="24"/>
      <w:szCs w:val="24"/>
    </w:rPr>
  </w:style>
  <w:style w:type="paragraph" w:styleId="NormalWeb">
    <w:name w:val="Normal (Web)"/>
    <w:basedOn w:val="Normal"/>
    <w:uiPriority w:val="99"/>
    <w:unhideWhenUsed/>
    <w:rsid w:val="00935941"/>
    <w:pPr>
      <w:widowControl/>
      <w:spacing w:before="100" w:beforeAutospacing="1" w:after="100" w:afterAutospacing="1" w:line="360" w:lineRule="auto"/>
    </w:pPr>
    <w:rPr>
      <w:snapToGrid/>
      <w:sz w:val="24"/>
      <w:szCs w:val="24"/>
      <w:lang w:val="en-US"/>
    </w:rPr>
  </w:style>
  <w:style w:type="character" w:customStyle="1" w:styleId="ListParagraphChar">
    <w:name w:val="List Paragraph Char"/>
    <w:link w:val="ListParagraph"/>
    <w:uiPriority w:val="34"/>
    <w:rsid w:val="00A10F2E"/>
    <w:rPr>
      <w:rFonts w:ascii="Calibri" w:eastAsia="MS Mincho" w:hAnsi="Calibri" w:cs="Arial"/>
      <w:sz w:val="24"/>
      <w:szCs w:val="24"/>
    </w:rPr>
  </w:style>
  <w:style w:type="character" w:customStyle="1" w:styleId="Heading1Char">
    <w:name w:val="Heading 1 Char"/>
    <w:basedOn w:val="DefaultParagraphFont"/>
    <w:link w:val="Heading1"/>
    <w:rsid w:val="000F4C7D"/>
    <w:rPr>
      <w:rFonts w:asciiTheme="majorHAnsi" w:eastAsiaTheme="majorEastAsia" w:hAnsiTheme="majorHAnsi" w:cstheme="majorBidi"/>
      <w:b/>
      <w:bCs/>
      <w:snapToGrid w:val="0"/>
      <w:color w:val="345A8A" w:themeColor="accent1" w:themeShade="B5"/>
      <w:sz w:val="32"/>
      <w:szCs w:val="32"/>
      <w:lang w:val="en-GB"/>
    </w:rPr>
  </w:style>
  <w:style w:type="character" w:customStyle="1" w:styleId="Heading3Char">
    <w:name w:val="Heading 3 Char"/>
    <w:basedOn w:val="DefaultParagraphFont"/>
    <w:link w:val="Heading3"/>
    <w:semiHidden/>
    <w:rsid w:val="000F4C7D"/>
    <w:rPr>
      <w:rFonts w:asciiTheme="majorHAnsi" w:eastAsiaTheme="majorEastAsia" w:hAnsiTheme="majorHAnsi" w:cstheme="majorBidi"/>
      <w:b/>
      <w:bCs/>
      <w:snapToGrid w:val="0"/>
      <w:color w:val="4F81BD" w:themeColor="accent1"/>
      <w:sz w:val="22"/>
      <w:lang w:val="en-GB"/>
    </w:rPr>
  </w:style>
  <w:style w:type="character" w:customStyle="1" w:styleId="Date1">
    <w:name w:val="Date1"/>
    <w:basedOn w:val="DefaultParagraphFont"/>
    <w:rsid w:val="000F4C7D"/>
  </w:style>
  <w:style w:type="character" w:customStyle="1" w:styleId="Caption1">
    <w:name w:val="Caption1"/>
    <w:basedOn w:val="DefaultParagraphFont"/>
    <w:rsid w:val="000F4C7D"/>
  </w:style>
  <w:style w:type="character" w:customStyle="1" w:styleId="apple-converted-space">
    <w:name w:val="apple-converted-space"/>
    <w:basedOn w:val="DefaultParagraphFont"/>
    <w:rsid w:val="000F4C7D"/>
  </w:style>
  <w:style w:type="character" w:styleId="Hyperlink">
    <w:name w:val="Hyperlink"/>
    <w:basedOn w:val="DefaultParagraphFont"/>
    <w:uiPriority w:val="99"/>
    <w:unhideWhenUsed/>
    <w:rsid w:val="000F4C7D"/>
    <w:rPr>
      <w:color w:val="0000FF"/>
      <w:u w:val="single"/>
    </w:rPr>
  </w:style>
  <w:style w:type="paragraph" w:styleId="NoSpacing">
    <w:name w:val="No Spacing"/>
    <w:uiPriority w:val="1"/>
    <w:qFormat/>
    <w:rsid w:val="0026058F"/>
    <w:pPr>
      <w:widowControl w:val="0"/>
    </w:pPr>
    <w:rPr>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887">
      <w:bodyDiv w:val="1"/>
      <w:marLeft w:val="0"/>
      <w:marRight w:val="0"/>
      <w:marTop w:val="0"/>
      <w:marBottom w:val="0"/>
      <w:divBdr>
        <w:top w:val="none" w:sz="0" w:space="0" w:color="auto"/>
        <w:left w:val="none" w:sz="0" w:space="0" w:color="auto"/>
        <w:bottom w:val="none" w:sz="0" w:space="0" w:color="auto"/>
        <w:right w:val="none" w:sz="0" w:space="0" w:color="auto"/>
      </w:divBdr>
    </w:div>
    <w:div w:id="223830503">
      <w:bodyDiv w:val="1"/>
      <w:marLeft w:val="0"/>
      <w:marRight w:val="0"/>
      <w:marTop w:val="0"/>
      <w:marBottom w:val="0"/>
      <w:divBdr>
        <w:top w:val="none" w:sz="0" w:space="0" w:color="auto"/>
        <w:left w:val="none" w:sz="0" w:space="0" w:color="auto"/>
        <w:bottom w:val="none" w:sz="0" w:space="0" w:color="auto"/>
        <w:right w:val="none" w:sz="0" w:space="0" w:color="auto"/>
      </w:divBdr>
    </w:div>
    <w:div w:id="440996408">
      <w:bodyDiv w:val="1"/>
      <w:marLeft w:val="0"/>
      <w:marRight w:val="0"/>
      <w:marTop w:val="0"/>
      <w:marBottom w:val="0"/>
      <w:divBdr>
        <w:top w:val="none" w:sz="0" w:space="0" w:color="auto"/>
        <w:left w:val="none" w:sz="0" w:space="0" w:color="auto"/>
        <w:bottom w:val="none" w:sz="0" w:space="0" w:color="auto"/>
        <w:right w:val="none" w:sz="0" w:space="0" w:color="auto"/>
      </w:divBdr>
    </w:div>
    <w:div w:id="447239355">
      <w:bodyDiv w:val="1"/>
      <w:marLeft w:val="0"/>
      <w:marRight w:val="0"/>
      <w:marTop w:val="0"/>
      <w:marBottom w:val="0"/>
      <w:divBdr>
        <w:top w:val="none" w:sz="0" w:space="0" w:color="auto"/>
        <w:left w:val="none" w:sz="0" w:space="0" w:color="auto"/>
        <w:bottom w:val="none" w:sz="0" w:space="0" w:color="auto"/>
        <w:right w:val="none" w:sz="0" w:space="0" w:color="auto"/>
      </w:divBdr>
    </w:div>
    <w:div w:id="511064494">
      <w:bodyDiv w:val="1"/>
      <w:marLeft w:val="0"/>
      <w:marRight w:val="0"/>
      <w:marTop w:val="0"/>
      <w:marBottom w:val="0"/>
      <w:divBdr>
        <w:top w:val="none" w:sz="0" w:space="0" w:color="auto"/>
        <w:left w:val="none" w:sz="0" w:space="0" w:color="auto"/>
        <w:bottom w:val="none" w:sz="0" w:space="0" w:color="auto"/>
        <w:right w:val="none" w:sz="0" w:space="0" w:color="auto"/>
      </w:divBdr>
    </w:div>
    <w:div w:id="713192990">
      <w:bodyDiv w:val="1"/>
      <w:marLeft w:val="0"/>
      <w:marRight w:val="0"/>
      <w:marTop w:val="0"/>
      <w:marBottom w:val="0"/>
      <w:divBdr>
        <w:top w:val="none" w:sz="0" w:space="0" w:color="auto"/>
        <w:left w:val="none" w:sz="0" w:space="0" w:color="auto"/>
        <w:bottom w:val="none" w:sz="0" w:space="0" w:color="auto"/>
        <w:right w:val="none" w:sz="0" w:space="0" w:color="auto"/>
      </w:divBdr>
    </w:div>
    <w:div w:id="861015353">
      <w:bodyDiv w:val="1"/>
      <w:marLeft w:val="0"/>
      <w:marRight w:val="0"/>
      <w:marTop w:val="0"/>
      <w:marBottom w:val="0"/>
      <w:divBdr>
        <w:top w:val="none" w:sz="0" w:space="0" w:color="auto"/>
        <w:left w:val="none" w:sz="0" w:space="0" w:color="auto"/>
        <w:bottom w:val="none" w:sz="0" w:space="0" w:color="auto"/>
        <w:right w:val="none" w:sz="0" w:space="0" w:color="auto"/>
      </w:divBdr>
    </w:div>
    <w:div w:id="881669323">
      <w:bodyDiv w:val="1"/>
      <w:marLeft w:val="0"/>
      <w:marRight w:val="0"/>
      <w:marTop w:val="0"/>
      <w:marBottom w:val="0"/>
      <w:divBdr>
        <w:top w:val="none" w:sz="0" w:space="0" w:color="auto"/>
        <w:left w:val="none" w:sz="0" w:space="0" w:color="auto"/>
        <w:bottom w:val="none" w:sz="0" w:space="0" w:color="auto"/>
        <w:right w:val="none" w:sz="0" w:space="0" w:color="auto"/>
      </w:divBdr>
    </w:div>
    <w:div w:id="986514694">
      <w:bodyDiv w:val="1"/>
      <w:marLeft w:val="0"/>
      <w:marRight w:val="0"/>
      <w:marTop w:val="0"/>
      <w:marBottom w:val="0"/>
      <w:divBdr>
        <w:top w:val="none" w:sz="0" w:space="0" w:color="auto"/>
        <w:left w:val="none" w:sz="0" w:space="0" w:color="auto"/>
        <w:bottom w:val="none" w:sz="0" w:space="0" w:color="auto"/>
        <w:right w:val="none" w:sz="0" w:space="0" w:color="auto"/>
      </w:divBdr>
      <w:divsChild>
        <w:div w:id="80302269">
          <w:marLeft w:val="0"/>
          <w:marRight w:val="0"/>
          <w:marTop w:val="0"/>
          <w:marBottom w:val="0"/>
          <w:divBdr>
            <w:top w:val="none" w:sz="0" w:space="0" w:color="auto"/>
            <w:left w:val="none" w:sz="0" w:space="0" w:color="auto"/>
            <w:bottom w:val="none" w:sz="0" w:space="0" w:color="auto"/>
            <w:right w:val="none" w:sz="0" w:space="0" w:color="auto"/>
          </w:divBdr>
          <w:divsChild>
            <w:div w:id="430206280">
              <w:marLeft w:val="0"/>
              <w:marRight w:val="0"/>
              <w:marTop w:val="0"/>
              <w:marBottom w:val="0"/>
              <w:divBdr>
                <w:top w:val="none" w:sz="0" w:space="0" w:color="auto"/>
                <w:left w:val="none" w:sz="0" w:space="0" w:color="auto"/>
                <w:bottom w:val="none" w:sz="0" w:space="0" w:color="auto"/>
                <w:right w:val="none" w:sz="0" w:space="0" w:color="auto"/>
              </w:divBdr>
            </w:div>
          </w:divsChild>
        </w:div>
        <w:div w:id="1918439633">
          <w:marLeft w:val="0"/>
          <w:marRight w:val="0"/>
          <w:marTop w:val="0"/>
          <w:marBottom w:val="0"/>
          <w:divBdr>
            <w:top w:val="none" w:sz="0" w:space="0" w:color="auto"/>
            <w:left w:val="none" w:sz="0" w:space="0" w:color="auto"/>
            <w:bottom w:val="none" w:sz="0" w:space="0" w:color="auto"/>
            <w:right w:val="none" w:sz="0" w:space="0" w:color="auto"/>
          </w:divBdr>
          <w:divsChild>
            <w:div w:id="26870936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993678205">
      <w:bodyDiv w:val="1"/>
      <w:marLeft w:val="0"/>
      <w:marRight w:val="0"/>
      <w:marTop w:val="0"/>
      <w:marBottom w:val="0"/>
      <w:divBdr>
        <w:top w:val="none" w:sz="0" w:space="0" w:color="auto"/>
        <w:left w:val="none" w:sz="0" w:space="0" w:color="auto"/>
        <w:bottom w:val="none" w:sz="0" w:space="0" w:color="auto"/>
        <w:right w:val="none" w:sz="0" w:space="0" w:color="auto"/>
      </w:divBdr>
      <w:divsChild>
        <w:div w:id="1510873785">
          <w:marLeft w:val="0"/>
          <w:marRight w:val="0"/>
          <w:marTop w:val="0"/>
          <w:marBottom w:val="0"/>
          <w:divBdr>
            <w:top w:val="none" w:sz="0" w:space="0" w:color="auto"/>
            <w:left w:val="none" w:sz="0" w:space="0" w:color="auto"/>
            <w:bottom w:val="none" w:sz="0" w:space="0" w:color="auto"/>
            <w:right w:val="none" w:sz="0" w:space="0" w:color="auto"/>
          </w:divBdr>
          <w:divsChild>
            <w:div w:id="458770202">
              <w:marLeft w:val="0"/>
              <w:marRight w:val="0"/>
              <w:marTop w:val="0"/>
              <w:marBottom w:val="0"/>
              <w:divBdr>
                <w:top w:val="none" w:sz="0" w:space="0" w:color="auto"/>
                <w:left w:val="none" w:sz="0" w:space="0" w:color="auto"/>
                <w:bottom w:val="none" w:sz="0" w:space="0" w:color="auto"/>
                <w:right w:val="none" w:sz="0" w:space="0" w:color="auto"/>
              </w:divBdr>
              <w:divsChild>
                <w:div w:id="2072851347">
                  <w:marLeft w:val="0"/>
                  <w:marRight w:val="0"/>
                  <w:marTop w:val="150"/>
                  <w:marBottom w:val="150"/>
                  <w:divBdr>
                    <w:top w:val="none" w:sz="0" w:space="0" w:color="auto"/>
                    <w:left w:val="none" w:sz="0" w:space="0" w:color="auto"/>
                    <w:bottom w:val="none" w:sz="0" w:space="0" w:color="auto"/>
                    <w:right w:val="none" w:sz="0" w:space="0" w:color="auto"/>
                  </w:divBdr>
                  <w:divsChild>
                    <w:div w:id="523515057">
                      <w:marLeft w:val="0"/>
                      <w:marRight w:val="300"/>
                      <w:marTop w:val="0"/>
                      <w:marBottom w:val="0"/>
                      <w:divBdr>
                        <w:top w:val="none" w:sz="0" w:space="0" w:color="auto"/>
                        <w:left w:val="none" w:sz="0" w:space="0" w:color="auto"/>
                        <w:bottom w:val="none" w:sz="0" w:space="0" w:color="auto"/>
                        <w:right w:val="none" w:sz="0" w:space="0" w:color="auto"/>
                      </w:divBdr>
                      <w:divsChild>
                        <w:div w:id="573586176">
                          <w:marLeft w:val="0"/>
                          <w:marRight w:val="300"/>
                          <w:marTop w:val="0"/>
                          <w:marBottom w:val="0"/>
                          <w:divBdr>
                            <w:top w:val="none" w:sz="0" w:space="0" w:color="auto"/>
                            <w:left w:val="none" w:sz="0" w:space="0" w:color="auto"/>
                            <w:bottom w:val="none" w:sz="0" w:space="0" w:color="auto"/>
                            <w:right w:val="none" w:sz="0" w:space="0" w:color="auto"/>
                          </w:divBdr>
                        </w:div>
                        <w:div w:id="1984115316">
                          <w:marLeft w:val="0"/>
                          <w:marRight w:val="0"/>
                          <w:marTop w:val="0"/>
                          <w:marBottom w:val="0"/>
                          <w:divBdr>
                            <w:top w:val="none" w:sz="0" w:space="0" w:color="auto"/>
                            <w:left w:val="none" w:sz="0" w:space="0" w:color="auto"/>
                            <w:bottom w:val="none" w:sz="0" w:space="0" w:color="auto"/>
                            <w:right w:val="none" w:sz="0" w:space="0" w:color="auto"/>
                          </w:divBdr>
                          <w:divsChild>
                            <w:div w:id="1597521397">
                              <w:marLeft w:val="0"/>
                              <w:marRight w:val="300"/>
                              <w:marTop w:val="0"/>
                              <w:marBottom w:val="0"/>
                              <w:divBdr>
                                <w:top w:val="none" w:sz="0" w:space="0" w:color="auto"/>
                                <w:left w:val="none" w:sz="0" w:space="0" w:color="auto"/>
                                <w:bottom w:val="none" w:sz="0" w:space="0" w:color="auto"/>
                                <w:right w:val="none" w:sz="0" w:space="0" w:color="auto"/>
                              </w:divBdr>
                              <w:divsChild>
                                <w:div w:id="273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54499">
      <w:bodyDiv w:val="1"/>
      <w:marLeft w:val="0"/>
      <w:marRight w:val="0"/>
      <w:marTop w:val="0"/>
      <w:marBottom w:val="0"/>
      <w:divBdr>
        <w:top w:val="none" w:sz="0" w:space="0" w:color="auto"/>
        <w:left w:val="none" w:sz="0" w:space="0" w:color="auto"/>
        <w:bottom w:val="none" w:sz="0" w:space="0" w:color="auto"/>
        <w:right w:val="none" w:sz="0" w:space="0" w:color="auto"/>
      </w:divBdr>
    </w:div>
    <w:div w:id="1460413267">
      <w:bodyDiv w:val="1"/>
      <w:marLeft w:val="0"/>
      <w:marRight w:val="0"/>
      <w:marTop w:val="0"/>
      <w:marBottom w:val="0"/>
      <w:divBdr>
        <w:top w:val="none" w:sz="0" w:space="0" w:color="auto"/>
        <w:left w:val="none" w:sz="0" w:space="0" w:color="auto"/>
        <w:bottom w:val="none" w:sz="0" w:space="0" w:color="auto"/>
        <w:right w:val="none" w:sz="0" w:space="0" w:color="auto"/>
      </w:divBdr>
    </w:div>
    <w:div w:id="1475638429">
      <w:bodyDiv w:val="1"/>
      <w:marLeft w:val="0"/>
      <w:marRight w:val="0"/>
      <w:marTop w:val="0"/>
      <w:marBottom w:val="0"/>
      <w:divBdr>
        <w:top w:val="none" w:sz="0" w:space="0" w:color="auto"/>
        <w:left w:val="none" w:sz="0" w:space="0" w:color="auto"/>
        <w:bottom w:val="none" w:sz="0" w:space="0" w:color="auto"/>
        <w:right w:val="none" w:sz="0" w:space="0" w:color="auto"/>
      </w:divBdr>
    </w:div>
    <w:div w:id="1626349995">
      <w:bodyDiv w:val="1"/>
      <w:marLeft w:val="0"/>
      <w:marRight w:val="0"/>
      <w:marTop w:val="0"/>
      <w:marBottom w:val="0"/>
      <w:divBdr>
        <w:top w:val="none" w:sz="0" w:space="0" w:color="auto"/>
        <w:left w:val="none" w:sz="0" w:space="0" w:color="auto"/>
        <w:bottom w:val="none" w:sz="0" w:space="0" w:color="auto"/>
        <w:right w:val="none" w:sz="0" w:space="0" w:color="auto"/>
      </w:divBdr>
    </w:div>
    <w:div w:id="1705476061">
      <w:bodyDiv w:val="1"/>
      <w:marLeft w:val="0"/>
      <w:marRight w:val="0"/>
      <w:marTop w:val="0"/>
      <w:marBottom w:val="0"/>
      <w:divBdr>
        <w:top w:val="none" w:sz="0" w:space="0" w:color="auto"/>
        <w:left w:val="none" w:sz="0" w:space="0" w:color="auto"/>
        <w:bottom w:val="none" w:sz="0" w:space="0" w:color="auto"/>
        <w:right w:val="none" w:sz="0" w:space="0" w:color="auto"/>
      </w:divBdr>
      <w:divsChild>
        <w:div w:id="291710381">
          <w:marLeft w:val="0"/>
          <w:marRight w:val="0"/>
          <w:marTop w:val="0"/>
          <w:marBottom w:val="0"/>
          <w:divBdr>
            <w:top w:val="none" w:sz="0" w:space="0" w:color="auto"/>
            <w:left w:val="none" w:sz="0" w:space="0" w:color="auto"/>
            <w:bottom w:val="none" w:sz="0" w:space="0" w:color="auto"/>
            <w:right w:val="none" w:sz="0" w:space="0" w:color="auto"/>
          </w:divBdr>
          <w:divsChild>
            <w:div w:id="1162937798">
              <w:marLeft w:val="0"/>
              <w:marRight w:val="0"/>
              <w:marTop w:val="0"/>
              <w:marBottom w:val="0"/>
              <w:divBdr>
                <w:top w:val="none" w:sz="0" w:space="0" w:color="auto"/>
                <w:left w:val="none" w:sz="0" w:space="0" w:color="auto"/>
                <w:bottom w:val="none" w:sz="0" w:space="0" w:color="auto"/>
                <w:right w:val="none" w:sz="0" w:space="0" w:color="auto"/>
              </w:divBdr>
              <w:divsChild>
                <w:div w:id="1879662253">
                  <w:marLeft w:val="0"/>
                  <w:marRight w:val="0"/>
                  <w:marTop w:val="150"/>
                  <w:marBottom w:val="150"/>
                  <w:divBdr>
                    <w:top w:val="none" w:sz="0" w:space="0" w:color="auto"/>
                    <w:left w:val="none" w:sz="0" w:space="0" w:color="auto"/>
                    <w:bottom w:val="none" w:sz="0" w:space="0" w:color="auto"/>
                    <w:right w:val="none" w:sz="0" w:space="0" w:color="auto"/>
                  </w:divBdr>
                  <w:divsChild>
                    <w:div w:id="853956233">
                      <w:marLeft w:val="0"/>
                      <w:marRight w:val="300"/>
                      <w:marTop w:val="0"/>
                      <w:marBottom w:val="0"/>
                      <w:divBdr>
                        <w:top w:val="none" w:sz="0" w:space="0" w:color="auto"/>
                        <w:left w:val="none" w:sz="0" w:space="0" w:color="auto"/>
                        <w:bottom w:val="none" w:sz="0" w:space="0" w:color="auto"/>
                        <w:right w:val="none" w:sz="0" w:space="0" w:color="auto"/>
                      </w:divBdr>
                      <w:divsChild>
                        <w:div w:id="1526214197">
                          <w:marLeft w:val="0"/>
                          <w:marRight w:val="0"/>
                          <w:marTop w:val="0"/>
                          <w:marBottom w:val="0"/>
                          <w:divBdr>
                            <w:top w:val="none" w:sz="0" w:space="0" w:color="auto"/>
                            <w:left w:val="none" w:sz="0" w:space="0" w:color="auto"/>
                            <w:bottom w:val="none" w:sz="0" w:space="0" w:color="auto"/>
                            <w:right w:val="none" w:sz="0" w:space="0" w:color="auto"/>
                          </w:divBdr>
                          <w:divsChild>
                            <w:div w:id="1192837133">
                              <w:marLeft w:val="0"/>
                              <w:marRight w:val="300"/>
                              <w:marTop w:val="0"/>
                              <w:marBottom w:val="0"/>
                              <w:divBdr>
                                <w:top w:val="none" w:sz="0" w:space="0" w:color="auto"/>
                                <w:left w:val="none" w:sz="0" w:space="0" w:color="auto"/>
                                <w:bottom w:val="none" w:sz="0" w:space="0" w:color="auto"/>
                                <w:right w:val="none" w:sz="0" w:space="0" w:color="auto"/>
                              </w:divBdr>
                              <w:divsChild>
                                <w:div w:id="1453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5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48593">
      <w:bodyDiv w:val="1"/>
      <w:marLeft w:val="0"/>
      <w:marRight w:val="0"/>
      <w:marTop w:val="0"/>
      <w:marBottom w:val="0"/>
      <w:divBdr>
        <w:top w:val="none" w:sz="0" w:space="0" w:color="auto"/>
        <w:left w:val="none" w:sz="0" w:space="0" w:color="auto"/>
        <w:bottom w:val="none" w:sz="0" w:space="0" w:color="auto"/>
        <w:right w:val="none" w:sz="0" w:space="0" w:color="auto"/>
      </w:divBdr>
    </w:div>
    <w:div w:id="18746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iq.undp.org/content/iraq/en/home/presscenter/articles/2014/02/27/cso-peer-knowledge-exchange-in-ir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350F-9CFE-4786-BED9-20BA3D7A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Morgan Murray</cp:lastModifiedBy>
  <cp:revision>2</cp:revision>
  <cp:lastPrinted>2013-01-14T14:14:00Z</cp:lastPrinted>
  <dcterms:created xsi:type="dcterms:W3CDTF">2015-01-18T12:22:00Z</dcterms:created>
  <dcterms:modified xsi:type="dcterms:W3CDTF">2015-01-18T12:22:00Z</dcterms:modified>
</cp:coreProperties>
</file>