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35C28" w14:textId="77777777" w:rsidR="00CF6D08" w:rsidRPr="00AB1406" w:rsidRDefault="00CF6D08">
      <w:pPr>
        <w:rPr>
          <w:b/>
        </w:rPr>
      </w:pPr>
      <w:bookmarkStart w:id="0" w:name="_GoBack"/>
      <w:bookmarkEnd w:id="0"/>
      <w:r w:rsidRPr="00AB1406">
        <w:tab/>
      </w:r>
      <w:r w:rsidRPr="00AB1406">
        <w:tab/>
      </w:r>
      <w:r w:rsidRPr="00AB1406">
        <w:tab/>
      </w:r>
      <w:r w:rsidRPr="00AB1406">
        <w:tab/>
      </w:r>
      <w:r w:rsidRPr="00AB1406">
        <w:tab/>
      </w:r>
      <w:r w:rsidRPr="00AB1406">
        <w:tab/>
      </w:r>
      <w:r w:rsidRPr="00AB1406">
        <w:tab/>
      </w:r>
      <w:r w:rsidRPr="00AB1406">
        <w:tab/>
      </w:r>
      <w:r w:rsidRPr="00AB1406">
        <w:tab/>
      </w:r>
      <w:r w:rsidR="00F07CF1" w:rsidRPr="00AB1406">
        <w:rPr>
          <w:b/>
        </w:rPr>
        <w:t xml:space="preserve"> </w:t>
      </w:r>
    </w:p>
    <w:p w14:paraId="548355E7" w14:textId="77777777" w:rsidR="00CF6D08" w:rsidRPr="00AB1406" w:rsidRDefault="00F07CF1">
      <w:pPr>
        <w:rPr>
          <w:b/>
        </w:rPr>
      </w:pPr>
      <w:r w:rsidRPr="00AB1406">
        <w:rPr>
          <w:rFonts w:eastAsia="Calibri"/>
          <w:b/>
          <w:noProof/>
          <w:lang w:val="en-US" w:eastAsia="en-US"/>
        </w:rPr>
        <w:drawing>
          <wp:anchor distT="0" distB="0" distL="114300" distR="114300" simplePos="0" relativeHeight="251659264" behindDoc="1" locked="0" layoutInCell="1" allowOverlap="1" wp14:anchorId="01D26468" wp14:editId="7F629191">
            <wp:simplePos x="0" y="0"/>
            <wp:positionH relativeFrom="margin">
              <wp:posOffset>-236855</wp:posOffset>
            </wp:positionH>
            <wp:positionV relativeFrom="margin">
              <wp:posOffset>540385</wp:posOffset>
            </wp:positionV>
            <wp:extent cx="1625600" cy="1052195"/>
            <wp:effectExtent l="0" t="0" r="0" b="0"/>
            <wp:wrapThrough wrapText="bothSides">
              <wp:wrapPolygon edited="0">
                <wp:start x="0" y="0"/>
                <wp:lineTo x="0" y="21118"/>
                <wp:lineTo x="21263" y="21118"/>
                <wp:lineTo x="21263" y="0"/>
                <wp:lineTo x="0" y="0"/>
              </wp:wrapPolygon>
            </wp:wrapThrough>
            <wp:docPr id="2" name="Image 2" descr="F:\LOGOS PBF\Logo PBF rectangle sans 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PBF\Logo PBF rectangle sans n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363FF" w14:textId="77777777" w:rsidR="00CF6D08" w:rsidRPr="00AB1406" w:rsidRDefault="00CF6D08" w:rsidP="00913BF5">
      <w:pPr>
        <w:numPr>
          <w:ilvl w:val="12"/>
          <w:numId w:val="0"/>
        </w:numPr>
        <w:tabs>
          <w:tab w:val="left" w:pos="0"/>
        </w:tabs>
        <w:suppressAutoHyphens/>
        <w:jc w:val="center"/>
        <w:rPr>
          <w:b/>
          <w:bCs/>
          <w:spacing w:val="-3"/>
        </w:rPr>
      </w:pPr>
    </w:p>
    <w:p w14:paraId="44A008C0" w14:textId="77777777" w:rsidR="00F07CF1" w:rsidRPr="00AB1406" w:rsidRDefault="00F07CF1" w:rsidP="00913BF5">
      <w:pPr>
        <w:jc w:val="center"/>
        <w:rPr>
          <w:b/>
          <w:bCs/>
        </w:rPr>
      </w:pPr>
    </w:p>
    <w:p w14:paraId="4A7C82CB" w14:textId="77777777" w:rsidR="00F07CF1" w:rsidRPr="00AB1406" w:rsidRDefault="00F07CF1" w:rsidP="00913BF5">
      <w:pPr>
        <w:jc w:val="center"/>
        <w:rPr>
          <w:b/>
          <w:bCs/>
        </w:rPr>
      </w:pPr>
    </w:p>
    <w:p w14:paraId="25B285CE" w14:textId="690C1337" w:rsidR="00F07CF1" w:rsidRPr="00AB1406" w:rsidRDefault="007C61A9" w:rsidP="00913BF5">
      <w:pPr>
        <w:jc w:val="center"/>
        <w:rPr>
          <w:b/>
          <w:bCs/>
        </w:rPr>
      </w:pPr>
      <w:r>
        <w:rPr>
          <w:b/>
          <w:bCs/>
        </w:rPr>
        <w:t xml:space="preserve">                                            </w:t>
      </w:r>
      <w:r>
        <w:rPr>
          <w:b/>
          <w:bCs/>
          <w:noProof/>
          <w:lang w:val="en-US" w:eastAsia="en-US"/>
        </w:rPr>
        <w:drawing>
          <wp:inline distT="0" distB="0" distL="0" distR="0" wp14:anchorId="15600B39" wp14:editId="134D8766">
            <wp:extent cx="1936166" cy="5436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166" cy="543600"/>
                    </a:xfrm>
                    <a:prstGeom prst="rect">
                      <a:avLst/>
                    </a:prstGeom>
                    <a:noFill/>
                    <a:ln>
                      <a:noFill/>
                    </a:ln>
                  </pic:spPr>
                </pic:pic>
              </a:graphicData>
            </a:graphic>
          </wp:inline>
        </w:drawing>
      </w:r>
    </w:p>
    <w:p w14:paraId="4CC4046E" w14:textId="77777777" w:rsidR="00F07CF1" w:rsidRPr="00AB1406" w:rsidRDefault="00F07CF1" w:rsidP="00913BF5">
      <w:pPr>
        <w:jc w:val="center"/>
        <w:rPr>
          <w:b/>
          <w:bCs/>
        </w:rPr>
      </w:pPr>
    </w:p>
    <w:p w14:paraId="16EACC93" w14:textId="77777777" w:rsidR="00F07CF1" w:rsidRPr="00AB1406" w:rsidRDefault="00F07CF1" w:rsidP="00913BF5">
      <w:pPr>
        <w:jc w:val="center"/>
        <w:rPr>
          <w:b/>
          <w:bCs/>
        </w:rPr>
      </w:pPr>
    </w:p>
    <w:p w14:paraId="48B6EA5C" w14:textId="77777777" w:rsidR="00CF6D08" w:rsidRPr="004A7D27" w:rsidRDefault="00CF6D08" w:rsidP="00913BF5">
      <w:pPr>
        <w:jc w:val="center"/>
        <w:rPr>
          <w:b/>
        </w:rPr>
      </w:pPr>
      <w:r w:rsidRPr="004A7D27">
        <w:rPr>
          <w:b/>
          <w:bCs/>
        </w:rPr>
        <w:t>FONDS POUR LA CONSOLIDATION DE LA PAIX (PBF)</w:t>
      </w:r>
    </w:p>
    <w:p w14:paraId="2C49A5C9" w14:textId="77777777" w:rsidR="00CF6D08" w:rsidRPr="004A7D27" w:rsidRDefault="00F07CF1" w:rsidP="00913BF5">
      <w:pPr>
        <w:jc w:val="center"/>
        <w:rPr>
          <w:b/>
        </w:rPr>
      </w:pPr>
      <w:r w:rsidRPr="004A7D27">
        <w:rPr>
          <w:b/>
        </w:rPr>
        <w:t>GUINEE</w:t>
      </w:r>
    </w:p>
    <w:p w14:paraId="2069EC1C" w14:textId="77777777" w:rsidR="00CF6D08" w:rsidRPr="004A7D27" w:rsidRDefault="00CF6D08" w:rsidP="00913BF5">
      <w:pPr>
        <w:jc w:val="center"/>
        <w:rPr>
          <w:b/>
        </w:rPr>
      </w:pPr>
    </w:p>
    <w:p w14:paraId="1A93AAB7" w14:textId="77777777" w:rsidR="00CF6D08" w:rsidRPr="004A7D27" w:rsidRDefault="00CF6D08" w:rsidP="00913BF5">
      <w:pPr>
        <w:jc w:val="center"/>
        <w:rPr>
          <w:b/>
        </w:rPr>
      </w:pPr>
      <w:r w:rsidRPr="004A7D27">
        <w:rPr>
          <w:b/>
        </w:rPr>
        <w:t xml:space="preserve">ACTUALISATION SEMESTRIELLE DES PROGRES DU PROJET </w:t>
      </w:r>
    </w:p>
    <w:p w14:paraId="2E08FF54" w14:textId="77777777" w:rsidR="00CF6D08" w:rsidRPr="004A7D27" w:rsidRDefault="00CF6D08" w:rsidP="00913BF5">
      <w:pPr>
        <w:jc w:val="center"/>
        <w:rPr>
          <w:b/>
        </w:rPr>
      </w:pPr>
    </w:p>
    <w:p w14:paraId="2A3812FB" w14:textId="77777777" w:rsidR="00CF6D08" w:rsidRPr="004A7D27" w:rsidRDefault="00CF6D08" w:rsidP="00913BF5">
      <w:pPr>
        <w:jc w:val="center"/>
        <w:rPr>
          <w:b/>
        </w:rPr>
      </w:pPr>
      <w:r w:rsidRPr="004A7D27">
        <w:rPr>
          <w:b/>
        </w:rPr>
        <w:t>POUR LA PERIODE</w:t>
      </w:r>
      <w:r w:rsidRPr="004A7D27">
        <w:rPr>
          <w:b/>
          <w:u w:val="single"/>
        </w:rPr>
        <w:t xml:space="preserve"> JANVIER- JUIN 2</w:t>
      </w:r>
      <w:r w:rsidR="008160EF" w:rsidRPr="004A7D27">
        <w:rPr>
          <w:b/>
          <w:u w:val="single"/>
        </w:rPr>
        <w:t>014</w:t>
      </w:r>
    </w:p>
    <w:p w14:paraId="443CFC61" w14:textId="77777777" w:rsidR="00CF6D08" w:rsidRPr="004A7D27" w:rsidRDefault="00CF6D08" w:rsidP="00913BF5">
      <w:pPr>
        <w:jc w:val="center"/>
        <w:rPr>
          <w:b/>
        </w:rPr>
      </w:pP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090"/>
        <w:gridCol w:w="2552"/>
        <w:gridCol w:w="1833"/>
      </w:tblGrid>
      <w:tr w:rsidR="00CF6D08" w:rsidRPr="004A7D27" w14:paraId="7A5A4596" w14:textId="77777777" w:rsidTr="00CA7429">
        <w:trPr>
          <w:trHeight w:val="620"/>
        </w:trPr>
        <w:tc>
          <w:tcPr>
            <w:tcW w:w="2835" w:type="dxa"/>
            <w:shd w:val="clear" w:color="auto" w:fill="E6E6E6"/>
            <w:vAlign w:val="center"/>
          </w:tcPr>
          <w:p w14:paraId="72AADCDE" w14:textId="77777777" w:rsidR="00CF6D08" w:rsidRPr="004A7D27" w:rsidRDefault="00CF6D08" w:rsidP="00EE50E9">
            <w:pPr>
              <w:rPr>
                <w:b/>
              </w:rPr>
            </w:pPr>
            <w:r w:rsidRPr="004A7D27">
              <w:rPr>
                <w:b/>
              </w:rPr>
              <w:t>No &amp; Intitulé du projet</w:t>
            </w:r>
          </w:p>
        </w:tc>
        <w:tc>
          <w:tcPr>
            <w:tcW w:w="7475" w:type="dxa"/>
            <w:gridSpan w:val="3"/>
            <w:shd w:val="clear" w:color="auto" w:fill="FFFFFF"/>
          </w:tcPr>
          <w:p w14:paraId="1FE8235E" w14:textId="77777777" w:rsidR="00CF6D08" w:rsidRPr="004A7D27" w:rsidRDefault="00CF6D08" w:rsidP="005718ED">
            <w:pPr>
              <w:jc w:val="both"/>
            </w:pPr>
          </w:p>
          <w:p w14:paraId="27A18439" w14:textId="5A00F203" w:rsidR="00CF6D08" w:rsidRPr="004A7D27" w:rsidRDefault="004A7D27" w:rsidP="005718ED">
            <w:pPr>
              <w:jc w:val="both"/>
            </w:pPr>
            <w:r w:rsidRPr="004A7D27">
              <w:t xml:space="preserve">ID 00087600 </w:t>
            </w:r>
            <w:r w:rsidR="009D7AE1" w:rsidRPr="004A7D27">
              <w:t>P</w:t>
            </w:r>
            <w:r w:rsidRPr="004A7D27">
              <w:t xml:space="preserve">BF/GIN/A-7: Project d'appui </w:t>
            </w:r>
            <w:r w:rsidR="008160EF" w:rsidRPr="004A7D27">
              <w:t>au Monitoring électoral y compris de la situation des droits de l’homme en Guinée</w:t>
            </w:r>
          </w:p>
        </w:tc>
      </w:tr>
      <w:tr w:rsidR="00CF6D08" w:rsidRPr="004A7D27" w14:paraId="1819F2FC" w14:textId="77777777" w:rsidTr="00CA7429">
        <w:trPr>
          <w:trHeight w:val="436"/>
        </w:trPr>
        <w:tc>
          <w:tcPr>
            <w:tcW w:w="2835" w:type="dxa"/>
            <w:shd w:val="clear" w:color="auto" w:fill="E6E6E6"/>
            <w:vAlign w:val="center"/>
          </w:tcPr>
          <w:p w14:paraId="742C853F" w14:textId="77777777" w:rsidR="00CF6D08" w:rsidRPr="004A7D27" w:rsidRDefault="00CF6D08" w:rsidP="00913BF5">
            <w:r w:rsidRPr="004A7D27">
              <w:rPr>
                <w:b/>
              </w:rPr>
              <w:t>Organe(s) bénéficiaire(s)</w:t>
            </w:r>
            <w:r w:rsidRPr="004A7D27">
              <w:rPr>
                <w:rStyle w:val="FootnoteReference"/>
                <w:b/>
              </w:rPr>
              <w:footnoteReference w:id="1"/>
            </w:r>
            <w:r w:rsidRPr="004A7D27">
              <w:rPr>
                <w:b/>
              </w:rPr>
              <w:t xml:space="preserve">:  </w:t>
            </w:r>
          </w:p>
        </w:tc>
        <w:tc>
          <w:tcPr>
            <w:tcW w:w="7475" w:type="dxa"/>
            <w:gridSpan w:val="3"/>
            <w:vAlign w:val="center"/>
          </w:tcPr>
          <w:p w14:paraId="6B00C888" w14:textId="77777777" w:rsidR="00CF6D08" w:rsidRPr="004A7D27" w:rsidRDefault="00114717" w:rsidP="005718ED">
            <w:pPr>
              <w:jc w:val="both"/>
            </w:pPr>
            <w:r w:rsidRPr="004A7D27">
              <w:t>UNESCO</w:t>
            </w:r>
            <w:r w:rsidR="004A7D27" w:rsidRPr="004A7D27">
              <w:t>, PNUD, HCDH</w:t>
            </w:r>
          </w:p>
        </w:tc>
      </w:tr>
      <w:tr w:rsidR="00CF6D08" w:rsidRPr="004A7D27" w14:paraId="6C05184D" w14:textId="77777777" w:rsidTr="00CA7429">
        <w:trPr>
          <w:trHeight w:val="375"/>
        </w:trPr>
        <w:tc>
          <w:tcPr>
            <w:tcW w:w="2835" w:type="dxa"/>
            <w:shd w:val="clear" w:color="auto" w:fill="E6E6E6"/>
            <w:vAlign w:val="center"/>
          </w:tcPr>
          <w:p w14:paraId="368B5E7A" w14:textId="77777777" w:rsidR="00CF6D08" w:rsidRPr="004A7D27" w:rsidRDefault="00CF6D08" w:rsidP="00913BF5">
            <w:pPr>
              <w:rPr>
                <w:bCs/>
              </w:rPr>
            </w:pPr>
            <w:r w:rsidRPr="004A7D27">
              <w:rPr>
                <w:b/>
              </w:rPr>
              <w:t>Partenaires d’exécution (gouvernement, institutions de l’ONU, ONG, etc.)</w:t>
            </w:r>
          </w:p>
        </w:tc>
        <w:tc>
          <w:tcPr>
            <w:tcW w:w="7475" w:type="dxa"/>
            <w:gridSpan w:val="3"/>
            <w:vAlign w:val="center"/>
          </w:tcPr>
          <w:p w14:paraId="1BB43940" w14:textId="77777777" w:rsidR="00CF6D08" w:rsidRPr="004A7D27" w:rsidRDefault="00114717" w:rsidP="005718ED">
            <w:pPr>
              <w:jc w:val="both"/>
              <w:rPr>
                <w:bCs/>
              </w:rPr>
            </w:pPr>
            <w:r w:rsidRPr="004A7D27">
              <w:rPr>
                <w:bCs/>
              </w:rPr>
              <w:t>ONG Conscience citoyenne, Direction Nationale de l’Education Civique</w:t>
            </w:r>
            <w:r w:rsidR="001B6574" w:rsidRPr="004A7D27">
              <w:rPr>
                <w:bCs/>
              </w:rPr>
              <w:t xml:space="preserve"> MEPUA</w:t>
            </w:r>
          </w:p>
        </w:tc>
      </w:tr>
      <w:tr w:rsidR="00CF6D08" w:rsidRPr="004A7D27" w14:paraId="122A0C7C" w14:textId="77777777" w:rsidTr="00CA7429">
        <w:trPr>
          <w:trHeight w:val="375"/>
        </w:trPr>
        <w:tc>
          <w:tcPr>
            <w:tcW w:w="2835" w:type="dxa"/>
            <w:shd w:val="clear" w:color="auto" w:fill="E6E6E6"/>
            <w:vAlign w:val="center"/>
          </w:tcPr>
          <w:p w14:paraId="1A8229D3" w14:textId="77777777" w:rsidR="00CF6D08" w:rsidRPr="004A7D27" w:rsidRDefault="00CF6D08" w:rsidP="00913BF5">
            <w:pPr>
              <w:rPr>
                <w:b/>
              </w:rPr>
            </w:pPr>
            <w:r w:rsidRPr="004A7D27">
              <w:rPr>
                <w:b/>
              </w:rPr>
              <w:t>Site:</w:t>
            </w:r>
          </w:p>
        </w:tc>
        <w:tc>
          <w:tcPr>
            <w:tcW w:w="7475" w:type="dxa"/>
            <w:gridSpan w:val="3"/>
            <w:vAlign w:val="center"/>
          </w:tcPr>
          <w:p w14:paraId="0E8B5434" w14:textId="77777777" w:rsidR="00CF6D08" w:rsidRPr="004A7D27" w:rsidRDefault="00B65997" w:rsidP="005718ED">
            <w:pPr>
              <w:jc w:val="both"/>
            </w:pPr>
            <w:r w:rsidRPr="004A7D27">
              <w:t>Conakry e toutes les régions administratives</w:t>
            </w:r>
          </w:p>
        </w:tc>
      </w:tr>
      <w:tr w:rsidR="00CF6D08" w:rsidRPr="004A7D27" w14:paraId="1B9102D0" w14:textId="77777777" w:rsidTr="00CA7429">
        <w:trPr>
          <w:trHeight w:val="375"/>
        </w:trPr>
        <w:tc>
          <w:tcPr>
            <w:tcW w:w="2835" w:type="dxa"/>
            <w:shd w:val="clear" w:color="auto" w:fill="E6E6E6"/>
          </w:tcPr>
          <w:p w14:paraId="722DB05C" w14:textId="77777777" w:rsidR="00CF6D08" w:rsidRPr="004A7D27" w:rsidRDefault="00CF6D08" w:rsidP="00913BF5">
            <w:pPr>
              <w:rPr>
                <w:b/>
              </w:rPr>
            </w:pPr>
            <w:r w:rsidRPr="004A7D27">
              <w:rPr>
                <w:b/>
              </w:rPr>
              <w:t>Budget total approuvé</w:t>
            </w:r>
            <w:r w:rsidRPr="004A7D27">
              <w:rPr>
                <w:rStyle w:val="FootnoteReference"/>
                <w:b/>
              </w:rPr>
              <w:footnoteReference w:id="2"/>
            </w:r>
          </w:p>
        </w:tc>
        <w:tc>
          <w:tcPr>
            <w:tcW w:w="7475" w:type="dxa"/>
            <w:gridSpan w:val="3"/>
            <w:vAlign w:val="center"/>
          </w:tcPr>
          <w:p w14:paraId="5DD3A5EB" w14:textId="77777777" w:rsidR="00CF6D08" w:rsidRPr="004A7D27" w:rsidRDefault="00B65997" w:rsidP="005718ED">
            <w:pPr>
              <w:jc w:val="both"/>
            </w:pPr>
            <w:r w:rsidRPr="004A7D27">
              <w:t>1052 111 USD</w:t>
            </w:r>
          </w:p>
        </w:tc>
      </w:tr>
      <w:tr w:rsidR="00CF6D08" w:rsidRPr="004A7D27" w14:paraId="76016D38" w14:textId="77777777" w:rsidTr="00B65997">
        <w:trPr>
          <w:trHeight w:val="375"/>
        </w:trPr>
        <w:tc>
          <w:tcPr>
            <w:tcW w:w="2835" w:type="dxa"/>
            <w:shd w:val="clear" w:color="auto" w:fill="E6E6E6"/>
          </w:tcPr>
          <w:p w14:paraId="2525A242" w14:textId="77777777" w:rsidR="00CF6D08" w:rsidRPr="004A7D27" w:rsidRDefault="00CF6D08" w:rsidP="00913BF5">
            <w:pPr>
              <w:rPr>
                <w:b/>
              </w:rPr>
            </w:pPr>
            <w:r w:rsidRPr="004A7D27">
              <w:rPr>
                <w:b/>
              </w:rPr>
              <w:t>Fonds engagés</w:t>
            </w:r>
            <w:r w:rsidRPr="004A7D27">
              <w:rPr>
                <w:rStyle w:val="FootnoteReference"/>
                <w:b/>
              </w:rPr>
              <w:footnoteReference w:id="3"/>
            </w:r>
            <w:r w:rsidRPr="004A7D27">
              <w:rPr>
                <w:b/>
              </w:rPr>
              <w:t xml:space="preserve"> </w:t>
            </w:r>
          </w:p>
        </w:tc>
        <w:tc>
          <w:tcPr>
            <w:tcW w:w="3090" w:type="dxa"/>
            <w:vAlign w:val="center"/>
          </w:tcPr>
          <w:p w14:paraId="2FCE7666" w14:textId="77777777" w:rsidR="00B65997" w:rsidRPr="004A7D27" w:rsidRDefault="00B65997" w:rsidP="005718ED">
            <w:pPr>
              <w:jc w:val="both"/>
              <w:rPr>
                <w:lang w:val="en-US" w:eastAsia="ja-JP"/>
              </w:rPr>
            </w:pPr>
            <w:r w:rsidRPr="004A7D27">
              <w:rPr>
                <w:lang w:val="en-US" w:eastAsia="ja-JP"/>
              </w:rPr>
              <w:t>PNUD : 578,785 USD</w:t>
            </w:r>
          </w:p>
          <w:p w14:paraId="1EA0F848" w14:textId="77777777" w:rsidR="00CF6D08" w:rsidRPr="004A7D27" w:rsidRDefault="00B65997" w:rsidP="005718ED">
            <w:pPr>
              <w:jc w:val="both"/>
              <w:rPr>
                <w:lang w:val="en-US" w:eastAsia="ja-JP"/>
              </w:rPr>
            </w:pPr>
            <w:r w:rsidRPr="004A7D27">
              <w:rPr>
                <w:lang w:val="en-US" w:eastAsia="ja-JP"/>
              </w:rPr>
              <w:t>UNESCO .</w:t>
            </w:r>
            <w:r w:rsidR="001B6574" w:rsidRPr="004A7D27">
              <w:rPr>
                <w:lang w:val="en-US" w:eastAsia="ja-JP"/>
              </w:rPr>
              <w:t>288900 USD</w:t>
            </w:r>
          </w:p>
          <w:p w14:paraId="206191BD" w14:textId="77777777" w:rsidR="00B65997" w:rsidRPr="004A7D27" w:rsidRDefault="00B65997" w:rsidP="005718ED">
            <w:pPr>
              <w:jc w:val="both"/>
              <w:rPr>
                <w:lang w:val="en-US" w:eastAsia="ja-JP"/>
              </w:rPr>
            </w:pPr>
            <w:r w:rsidRPr="004A7D27">
              <w:rPr>
                <w:lang w:val="en-US" w:eastAsia="ja-JP"/>
              </w:rPr>
              <w:t>HCDH : 184 425 USD</w:t>
            </w:r>
          </w:p>
        </w:tc>
        <w:tc>
          <w:tcPr>
            <w:tcW w:w="2552" w:type="dxa"/>
            <w:shd w:val="pct15" w:color="auto" w:fill="auto"/>
            <w:vAlign w:val="center"/>
          </w:tcPr>
          <w:p w14:paraId="5A20C03F" w14:textId="77777777" w:rsidR="00CF6D08" w:rsidRPr="004A7D27" w:rsidRDefault="00CF6D08" w:rsidP="005718ED">
            <w:pPr>
              <w:jc w:val="both"/>
              <w:rPr>
                <w:b/>
              </w:rPr>
            </w:pPr>
            <w:r w:rsidRPr="004A7D27">
              <w:rPr>
                <w:b/>
              </w:rPr>
              <w:t>% de fonds engagés / budget total approuvé:</w:t>
            </w:r>
          </w:p>
        </w:tc>
        <w:tc>
          <w:tcPr>
            <w:tcW w:w="1833" w:type="dxa"/>
            <w:vAlign w:val="center"/>
          </w:tcPr>
          <w:p w14:paraId="357C20C1" w14:textId="77777777" w:rsidR="00CF6D08" w:rsidRPr="004A7D27" w:rsidRDefault="00B65997" w:rsidP="005718ED">
            <w:pPr>
              <w:jc w:val="both"/>
            </w:pPr>
            <w:r w:rsidRPr="004A7D27">
              <w:rPr>
                <w:lang w:eastAsia="ja-JP"/>
              </w:rPr>
              <w:t>100</w:t>
            </w:r>
            <w:r w:rsidR="00375167" w:rsidRPr="004A7D27">
              <w:rPr>
                <w:lang w:eastAsia="ja-JP"/>
              </w:rPr>
              <w:t xml:space="preserve"> </w:t>
            </w:r>
            <w:r w:rsidRPr="004A7D27">
              <w:rPr>
                <w:lang w:eastAsia="ja-JP"/>
              </w:rPr>
              <w:t>%</w:t>
            </w:r>
          </w:p>
        </w:tc>
      </w:tr>
      <w:tr w:rsidR="00CF6D08" w:rsidRPr="004A7D27" w14:paraId="556A3219" w14:textId="77777777" w:rsidTr="00B65997">
        <w:trPr>
          <w:trHeight w:val="375"/>
        </w:trPr>
        <w:tc>
          <w:tcPr>
            <w:tcW w:w="2835" w:type="dxa"/>
            <w:shd w:val="clear" w:color="auto" w:fill="E6E6E6"/>
          </w:tcPr>
          <w:p w14:paraId="2FC7E6C5" w14:textId="77777777" w:rsidR="00CF6D08" w:rsidRPr="004A7D27" w:rsidRDefault="00CF6D08" w:rsidP="00CA7429">
            <w:pPr>
              <w:rPr>
                <w:b/>
              </w:rPr>
            </w:pPr>
            <w:r w:rsidRPr="004A7D27">
              <w:rPr>
                <w:b/>
              </w:rPr>
              <w:t>Dépenses</w:t>
            </w:r>
            <w:r w:rsidRPr="004A7D27">
              <w:rPr>
                <w:rStyle w:val="FootnoteReference"/>
                <w:b/>
              </w:rPr>
              <w:footnoteReference w:id="4"/>
            </w:r>
            <w:r w:rsidRPr="004A7D27">
              <w:rPr>
                <w:b/>
              </w:rPr>
              <w:t>:</w:t>
            </w:r>
          </w:p>
        </w:tc>
        <w:tc>
          <w:tcPr>
            <w:tcW w:w="3090" w:type="dxa"/>
            <w:vAlign w:val="center"/>
          </w:tcPr>
          <w:p w14:paraId="22ECDCEC" w14:textId="77777777" w:rsidR="00CF6D08" w:rsidRPr="004A7D27" w:rsidRDefault="00A92BD7" w:rsidP="005718ED">
            <w:pPr>
              <w:jc w:val="both"/>
              <w:rPr>
                <w:lang w:eastAsia="ja-JP"/>
              </w:rPr>
            </w:pPr>
            <w:r w:rsidRPr="004A7D27">
              <w:t>965293</w:t>
            </w:r>
            <w:r w:rsidR="00B65997" w:rsidRPr="004A7D27">
              <w:t xml:space="preserve"> USD</w:t>
            </w:r>
            <w:r w:rsidRPr="004A7D27">
              <w:t xml:space="preserve"> dont 491967 (PNUD)</w:t>
            </w:r>
          </w:p>
        </w:tc>
        <w:tc>
          <w:tcPr>
            <w:tcW w:w="2552" w:type="dxa"/>
            <w:shd w:val="pct15" w:color="auto" w:fill="auto"/>
            <w:vAlign w:val="center"/>
          </w:tcPr>
          <w:p w14:paraId="73E41CE7" w14:textId="77777777" w:rsidR="00CF6D08" w:rsidRPr="004A7D27" w:rsidRDefault="00CF6D08" w:rsidP="005718ED">
            <w:pPr>
              <w:jc w:val="both"/>
            </w:pPr>
            <w:r w:rsidRPr="004A7D27">
              <w:rPr>
                <w:b/>
              </w:rPr>
              <w:t>% de dépenses / budget total: (taux d’exécution)</w:t>
            </w:r>
          </w:p>
        </w:tc>
        <w:tc>
          <w:tcPr>
            <w:tcW w:w="1833" w:type="dxa"/>
            <w:vAlign w:val="center"/>
          </w:tcPr>
          <w:p w14:paraId="1135BB96" w14:textId="77777777" w:rsidR="00CF6D08" w:rsidRPr="004A7D27" w:rsidRDefault="00C24FB2" w:rsidP="005718ED">
            <w:pPr>
              <w:jc w:val="both"/>
              <w:rPr>
                <w:lang w:eastAsia="ja-JP"/>
              </w:rPr>
            </w:pPr>
            <w:r w:rsidRPr="004A7D27">
              <w:rPr>
                <w:lang w:eastAsia="ja-JP"/>
              </w:rPr>
              <w:t xml:space="preserve">87,28 </w:t>
            </w:r>
            <w:r w:rsidR="001B6574" w:rsidRPr="004A7D27">
              <w:rPr>
                <w:lang w:eastAsia="ja-JP"/>
              </w:rPr>
              <w:t>%</w:t>
            </w:r>
          </w:p>
        </w:tc>
      </w:tr>
      <w:tr w:rsidR="00CF6D08" w:rsidRPr="004A7D27" w14:paraId="7C6D0805" w14:textId="77777777" w:rsidTr="00B65997">
        <w:trPr>
          <w:trHeight w:val="420"/>
        </w:trPr>
        <w:tc>
          <w:tcPr>
            <w:tcW w:w="2835" w:type="dxa"/>
            <w:shd w:val="clear" w:color="auto" w:fill="E6E6E6"/>
            <w:vAlign w:val="center"/>
          </w:tcPr>
          <w:p w14:paraId="6610C34B" w14:textId="77777777" w:rsidR="00CF6D08" w:rsidRPr="004A7D27" w:rsidRDefault="00CF6D08" w:rsidP="00913BF5">
            <w:pPr>
              <w:rPr>
                <w:b/>
              </w:rPr>
            </w:pPr>
            <w:r w:rsidRPr="004A7D27">
              <w:rPr>
                <w:b/>
              </w:rPr>
              <w:t>Date d’approbation du projet:</w:t>
            </w:r>
          </w:p>
          <w:p w14:paraId="2C2108C3" w14:textId="77777777" w:rsidR="00CF6D08" w:rsidRPr="004A7D27" w:rsidRDefault="00CF6D08" w:rsidP="00913BF5">
            <w:pPr>
              <w:rPr>
                <w:b/>
              </w:rPr>
            </w:pPr>
          </w:p>
        </w:tc>
        <w:tc>
          <w:tcPr>
            <w:tcW w:w="3090" w:type="dxa"/>
            <w:vAlign w:val="center"/>
          </w:tcPr>
          <w:p w14:paraId="0A59E5A1" w14:textId="77777777" w:rsidR="00CF6D08" w:rsidRPr="004A7D27" w:rsidRDefault="00B65997" w:rsidP="005718ED">
            <w:pPr>
              <w:jc w:val="both"/>
              <w:rPr>
                <w:b/>
              </w:rPr>
            </w:pPr>
            <w:r w:rsidRPr="004A7D27">
              <w:t>1</w:t>
            </w:r>
            <w:r w:rsidRPr="004A7D27">
              <w:rPr>
                <w:vertAlign w:val="superscript"/>
              </w:rPr>
              <w:t>er</w:t>
            </w:r>
            <w:r w:rsidRPr="004A7D27">
              <w:t xml:space="preserve"> Septembre 2013</w:t>
            </w:r>
          </w:p>
        </w:tc>
        <w:tc>
          <w:tcPr>
            <w:tcW w:w="2552" w:type="dxa"/>
            <w:vMerge w:val="restart"/>
            <w:shd w:val="pct15" w:color="auto" w:fill="auto"/>
            <w:vAlign w:val="center"/>
          </w:tcPr>
          <w:p w14:paraId="35CAFB39" w14:textId="77777777" w:rsidR="00CF6D08" w:rsidRPr="004A7D27" w:rsidRDefault="00CF6D08" w:rsidP="005718ED">
            <w:pPr>
              <w:jc w:val="both"/>
              <w:rPr>
                <w:b/>
                <w:bCs/>
              </w:rPr>
            </w:pPr>
            <w:r w:rsidRPr="004A7D27">
              <w:rPr>
                <w:b/>
                <w:bCs/>
              </w:rPr>
              <w:t>Retard possible concernant la date de clôture opérationnelle (en nombre de mois)</w:t>
            </w:r>
          </w:p>
        </w:tc>
        <w:tc>
          <w:tcPr>
            <w:tcW w:w="1833" w:type="dxa"/>
            <w:vMerge w:val="restart"/>
            <w:vAlign w:val="center"/>
          </w:tcPr>
          <w:p w14:paraId="47149A37" w14:textId="77777777" w:rsidR="00CF6D08" w:rsidRPr="004A7D27" w:rsidRDefault="00CF6D08" w:rsidP="005718ED">
            <w:pPr>
              <w:jc w:val="both"/>
              <w:rPr>
                <w:bCs/>
              </w:rPr>
            </w:pPr>
          </w:p>
        </w:tc>
      </w:tr>
      <w:tr w:rsidR="00CF6D08" w:rsidRPr="004A7D27" w14:paraId="632998FC" w14:textId="77777777" w:rsidTr="00B65997">
        <w:trPr>
          <w:trHeight w:val="420"/>
        </w:trPr>
        <w:tc>
          <w:tcPr>
            <w:tcW w:w="2835" w:type="dxa"/>
            <w:shd w:val="clear" w:color="auto" w:fill="E6E6E6"/>
            <w:vAlign w:val="center"/>
          </w:tcPr>
          <w:p w14:paraId="7DD99210" w14:textId="77777777" w:rsidR="00CF6D08" w:rsidRPr="004A7D27" w:rsidRDefault="00CF6D08" w:rsidP="00913BF5">
            <w:pPr>
              <w:rPr>
                <w:b/>
              </w:rPr>
            </w:pPr>
            <w:r w:rsidRPr="004A7D27">
              <w:rPr>
                <w:b/>
              </w:rPr>
              <w:t>Date de démarrage du projet:</w:t>
            </w:r>
          </w:p>
          <w:p w14:paraId="1EC55F88" w14:textId="77777777" w:rsidR="00CF6D08" w:rsidRPr="004A7D27" w:rsidRDefault="00CF6D08" w:rsidP="00913BF5">
            <w:pPr>
              <w:rPr>
                <w:b/>
              </w:rPr>
            </w:pPr>
          </w:p>
        </w:tc>
        <w:tc>
          <w:tcPr>
            <w:tcW w:w="3090" w:type="dxa"/>
            <w:vAlign w:val="center"/>
          </w:tcPr>
          <w:p w14:paraId="14EEB7A8" w14:textId="77777777" w:rsidR="00CF6D08" w:rsidRPr="004A7D27" w:rsidRDefault="00B65997" w:rsidP="005718ED">
            <w:pPr>
              <w:jc w:val="both"/>
            </w:pPr>
            <w:r w:rsidRPr="004A7D27">
              <w:t xml:space="preserve"> </w:t>
            </w:r>
            <w:r w:rsidR="00C94D3D" w:rsidRPr="004A7D27">
              <w:t>0</w:t>
            </w:r>
            <w:r w:rsidRPr="004A7D27">
              <w:t>9</w:t>
            </w:r>
            <w:r w:rsidR="00C94D3D" w:rsidRPr="004A7D27">
              <w:t xml:space="preserve"> septembre </w:t>
            </w:r>
            <w:r w:rsidRPr="004A7D27">
              <w:t>2014</w:t>
            </w:r>
          </w:p>
        </w:tc>
        <w:tc>
          <w:tcPr>
            <w:tcW w:w="2552" w:type="dxa"/>
            <w:vMerge/>
            <w:shd w:val="pct15" w:color="auto" w:fill="auto"/>
            <w:vAlign w:val="center"/>
          </w:tcPr>
          <w:p w14:paraId="250853F1" w14:textId="77777777" w:rsidR="00CF6D08" w:rsidRPr="004A7D27" w:rsidRDefault="00CF6D08" w:rsidP="005718ED">
            <w:pPr>
              <w:jc w:val="both"/>
              <w:rPr>
                <w:bCs/>
              </w:rPr>
            </w:pPr>
          </w:p>
        </w:tc>
        <w:tc>
          <w:tcPr>
            <w:tcW w:w="1833" w:type="dxa"/>
            <w:vMerge/>
            <w:vAlign w:val="center"/>
          </w:tcPr>
          <w:p w14:paraId="4B8908F6" w14:textId="77777777" w:rsidR="00CF6D08" w:rsidRPr="004A7D27" w:rsidRDefault="00CF6D08" w:rsidP="005718ED">
            <w:pPr>
              <w:jc w:val="both"/>
              <w:rPr>
                <w:bCs/>
              </w:rPr>
            </w:pPr>
          </w:p>
        </w:tc>
      </w:tr>
      <w:tr w:rsidR="00CF6D08" w:rsidRPr="004A7D27" w14:paraId="6DB073C8" w14:textId="77777777" w:rsidTr="00B65997">
        <w:trPr>
          <w:trHeight w:val="420"/>
        </w:trPr>
        <w:tc>
          <w:tcPr>
            <w:tcW w:w="2835" w:type="dxa"/>
            <w:shd w:val="clear" w:color="auto" w:fill="E6E6E6"/>
            <w:vAlign w:val="center"/>
          </w:tcPr>
          <w:p w14:paraId="4DDEF0A9" w14:textId="77777777" w:rsidR="00CF6D08" w:rsidRPr="004A7D27" w:rsidRDefault="00CF6D08" w:rsidP="00EE50E9">
            <w:pPr>
              <w:rPr>
                <w:b/>
              </w:rPr>
            </w:pPr>
            <w:r w:rsidRPr="004A7D27">
              <w:rPr>
                <w:b/>
              </w:rPr>
              <w:t>Date prévue pour la clôture opérationnelle du projet:</w:t>
            </w:r>
          </w:p>
        </w:tc>
        <w:tc>
          <w:tcPr>
            <w:tcW w:w="3090" w:type="dxa"/>
            <w:vAlign w:val="center"/>
          </w:tcPr>
          <w:p w14:paraId="7CC3598F" w14:textId="77777777" w:rsidR="00CF6D08" w:rsidRPr="004A7D27" w:rsidRDefault="001B6574" w:rsidP="005718ED">
            <w:pPr>
              <w:jc w:val="both"/>
            </w:pPr>
            <w:r w:rsidRPr="004A7D27">
              <w:t>30 Juin 2014 après extension</w:t>
            </w:r>
          </w:p>
        </w:tc>
        <w:tc>
          <w:tcPr>
            <w:tcW w:w="2552" w:type="dxa"/>
            <w:vMerge/>
            <w:shd w:val="pct15" w:color="auto" w:fill="auto"/>
            <w:vAlign w:val="center"/>
          </w:tcPr>
          <w:p w14:paraId="6D4FBECE" w14:textId="77777777" w:rsidR="00CF6D08" w:rsidRPr="004A7D27" w:rsidRDefault="00CF6D08" w:rsidP="005718ED">
            <w:pPr>
              <w:jc w:val="both"/>
              <w:rPr>
                <w:bCs/>
              </w:rPr>
            </w:pPr>
          </w:p>
        </w:tc>
        <w:tc>
          <w:tcPr>
            <w:tcW w:w="1833" w:type="dxa"/>
            <w:vMerge/>
            <w:vAlign w:val="center"/>
          </w:tcPr>
          <w:p w14:paraId="2757C86B" w14:textId="77777777" w:rsidR="00CF6D08" w:rsidRPr="004A7D27" w:rsidRDefault="00CF6D08" w:rsidP="005718ED">
            <w:pPr>
              <w:jc w:val="both"/>
              <w:rPr>
                <w:bCs/>
              </w:rPr>
            </w:pPr>
          </w:p>
        </w:tc>
      </w:tr>
      <w:tr w:rsidR="00CF6D08" w:rsidRPr="004A7D27" w14:paraId="0AC35860" w14:textId="77777777" w:rsidTr="00CA7429">
        <w:trPr>
          <w:trHeight w:val="778"/>
        </w:trPr>
        <w:tc>
          <w:tcPr>
            <w:tcW w:w="2835" w:type="dxa"/>
            <w:shd w:val="clear" w:color="auto" w:fill="E6E6E6"/>
            <w:vAlign w:val="center"/>
          </w:tcPr>
          <w:p w14:paraId="2556A15D" w14:textId="77777777" w:rsidR="00CF6D08" w:rsidRPr="004A7D27" w:rsidRDefault="00CF6D08" w:rsidP="00CA7429">
            <w:pPr>
              <w:rPr>
                <w:b/>
              </w:rPr>
            </w:pPr>
            <w:r w:rsidRPr="004A7D27">
              <w:rPr>
                <w:b/>
              </w:rPr>
              <w:t>Domaine de résultats attendus par le PBF</w:t>
            </w:r>
            <w:r w:rsidRPr="004A7D27">
              <w:rPr>
                <w:rStyle w:val="FootnoteReference"/>
                <w:b/>
              </w:rPr>
              <w:footnoteReference w:id="5"/>
            </w:r>
          </w:p>
        </w:tc>
        <w:tc>
          <w:tcPr>
            <w:tcW w:w="7475" w:type="dxa"/>
            <w:gridSpan w:val="3"/>
            <w:vAlign w:val="center"/>
          </w:tcPr>
          <w:p w14:paraId="0779413C" w14:textId="77777777" w:rsidR="00CF6D08" w:rsidRPr="004A7D27" w:rsidRDefault="00CF6D08" w:rsidP="005718ED">
            <w:pPr>
              <w:jc w:val="both"/>
              <w:rPr>
                <w:bCs/>
              </w:rPr>
            </w:pPr>
            <w:r w:rsidRPr="004A7D27">
              <w:rPr>
                <w:bCs/>
              </w:rPr>
              <w:t xml:space="preserve">Domaine de résultats (sur la base du Plan des priorités ou du Descriptif de projet):  </w:t>
            </w:r>
          </w:p>
          <w:p w14:paraId="51C8431C" w14:textId="77777777" w:rsidR="00CF6D08" w:rsidRPr="004A7D27" w:rsidRDefault="00CF6D08" w:rsidP="005718ED">
            <w:pPr>
              <w:jc w:val="both"/>
            </w:pPr>
          </w:p>
        </w:tc>
      </w:tr>
      <w:tr w:rsidR="00CF6D08" w:rsidRPr="004A7D27" w14:paraId="76230480" w14:textId="77777777" w:rsidTr="00CA7429">
        <w:trPr>
          <w:trHeight w:val="917"/>
        </w:trPr>
        <w:tc>
          <w:tcPr>
            <w:tcW w:w="2835" w:type="dxa"/>
            <w:shd w:val="clear" w:color="auto" w:fill="E6E6E6"/>
            <w:vAlign w:val="center"/>
          </w:tcPr>
          <w:p w14:paraId="03220E21" w14:textId="77777777" w:rsidR="00CF6D08" w:rsidRPr="004A7D27" w:rsidRDefault="00CF6D08" w:rsidP="00913BF5">
            <w:pPr>
              <w:rPr>
                <w:b/>
              </w:rPr>
            </w:pPr>
            <w:r w:rsidRPr="004A7D27">
              <w:rPr>
                <w:b/>
              </w:rPr>
              <w:lastRenderedPageBreak/>
              <w:t>Évaluation qualitative des résultats obtenus et des problèmes subsistants</w:t>
            </w:r>
          </w:p>
        </w:tc>
        <w:tc>
          <w:tcPr>
            <w:tcW w:w="7475" w:type="dxa"/>
            <w:gridSpan w:val="3"/>
          </w:tcPr>
          <w:p w14:paraId="4C84C4C1" w14:textId="77777777" w:rsidR="00CF6D08" w:rsidRPr="000232E0" w:rsidRDefault="00CF6D08" w:rsidP="005718ED">
            <w:pPr>
              <w:numPr>
                <w:ilvl w:val="0"/>
                <w:numId w:val="2"/>
              </w:numPr>
              <w:autoSpaceDE w:val="0"/>
              <w:autoSpaceDN w:val="0"/>
              <w:adjustRightInd w:val="0"/>
              <w:jc w:val="both"/>
              <w:rPr>
                <w:b/>
                <w:bCs/>
                <w:i/>
              </w:rPr>
            </w:pPr>
            <w:r w:rsidRPr="000232E0">
              <w:rPr>
                <w:b/>
                <w:bCs/>
                <w:i/>
              </w:rPr>
              <w:t>Fournir une évaluation qualitative des progrès accomplis dans le sens des objectifs d’ensemble du projet (à la fois en termes de résultats et de produits)</w:t>
            </w:r>
          </w:p>
          <w:p w14:paraId="1C7D05DF" w14:textId="77777777" w:rsidR="00DC29E7" w:rsidRPr="004A7D27" w:rsidRDefault="00DC29E7" w:rsidP="005718ED">
            <w:pPr>
              <w:spacing w:after="120" w:line="276" w:lineRule="auto"/>
              <w:jc w:val="both"/>
              <w:rPr>
                <w:color w:val="000000"/>
              </w:rPr>
            </w:pPr>
            <w:r w:rsidRPr="004A7D27">
              <w:rPr>
                <w:color w:val="000000"/>
              </w:rPr>
              <w:t xml:space="preserve">La création et la dynamisation de 130 clubs d’animation citoyenne et d'éducation à la paix dans les quartiers de </w:t>
            </w:r>
            <w:r w:rsidR="002E39FB" w:rsidRPr="004A7D27">
              <w:rPr>
                <w:color w:val="000000"/>
              </w:rPr>
              <w:t>Conakry</w:t>
            </w:r>
            <w:r w:rsidRPr="004A7D27">
              <w:rPr>
                <w:color w:val="000000"/>
              </w:rPr>
              <w:t xml:space="preserve">  est exécutée par l’ONG Conscience en partenariat avec l’UNESCO  Ce projet a été lancé à Conakry, le 17 Juin 2014 et vise à contribuer par la promotion d’une culture de la paix, à la cohésion sociale </w:t>
            </w:r>
            <w:r w:rsidR="004A7D27">
              <w:rPr>
                <w:color w:val="000000"/>
              </w:rPr>
              <w:t>dans la perspective de la</w:t>
            </w:r>
            <w:r w:rsidRPr="004A7D27">
              <w:rPr>
                <w:color w:val="000000"/>
              </w:rPr>
              <w:t xml:space="preserve"> tenue d’élections apaisées </w:t>
            </w:r>
            <w:r w:rsidR="004A7D27">
              <w:rPr>
                <w:color w:val="000000"/>
              </w:rPr>
              <w:t xml:space="preserve">locales et présidentielles </w:t>
            </w:r>
            <w:r w:rsidR="004266A6" w:rsidRPr="004A7D27">
              <w:rPr>
                <w:color w:val="000000"/>
              </w:rPr>
              <w:t>en Guinée</w:t>
            </w:r>
            <w:r w:rsidR="004A7D27">
              <w:rPr>
                <w:color w:val="000000"/>
              </w:rPr>
              <w:t xml:space="preserve"> en 2015</w:t>
            </w:r>
            <w:r w:rsidR="007B1985" w:rsidRPr="004A7D27">
              <w:rPr>
                <w:color w:val="000000"/>
              </w:rPr>
              <w:t>.</w:t>
            </w:r>
          </w:p>
          <w:p w14:paraId="0356F9C2" w14:textId="77777777" w:rsidR="007B1985" w:rsidRDefault="007B1985" w:rsidP="005718ED">
            <w:pPr>
              <w:pStyle w:val="NormalWeb"/>
              <w:jc w:val="both"/>
              <w:rPr>
                <w:color w:val="000000"/>
              </w:rPr>
            </w:pPr>
            <w:r w:rsidRPr="004A7D27">
              <w:rPr>
                <w:color w:val="000000"/>
              </w:rPr>
              <w:t>Le proje</w:t>
            </w:r>
            <w:r w:rsidR="004A7D27">
              <w:rPr>
                <w:color w:val="000000"/>
              </w:rPr>
              <w:t>t de</w:t>
            </w:r>
            <w:r w:rsidRPr="004A7D27">
              <w:rPr>
                <w:color w:val="000000"/>
              </w:rPr>
              <w:t xml:space="preserve"> formation /sensibilisation des militants et sympathisants des partis politiques jeunes femmes </w:t>
            </w:r>
            <w:r w:rsidR="005A2AF5" w:rsidRPr="004A7D27">
              <w:rPr>
                <w:color w:val="000000"/>
              </w:rPr>
              <w:t xml:space="preserve">des organisations de la société civile, </w:t>
            </w:r>
            <w:r w:rsidRPr="004A7D27">
              <w:rPr>
                <w:color w:val="000000"/>
              </w:rPr>
              <w:t xml:space="preserve"> à la culture de la paix et à la non violence dans les préfectures de Dalaba, Lélouma, Koundara, Dinguiraye, Kouroussa, Guékédou, Télimélé est la 2ème activité du projet Monitoring exécuté par la Direction Nationale de l’Education Civique en partenariat avec l’UNESCO</w:t>
            </w:r>
          </w:p>
          <w:p w14:paraId="3AB82E5D" w14:textId="77777777" w:rsidR="004A7D27" w:rsidRPr="004A7D27" w:rsidRDefault="004A7D27" w:rsidP="005718ED">
            <w:pPr>
              <w:pStyle w:val="NormalWeb"/>
              <w:jc w:val="both"/>
              <w:rPr>
                <w:color w:val="000000"/>
              </w:rPr>
            </w:pPr>
          </w:p>
          <w:p w14:paraId="46D78A0A" w14:textId="77777777" w:rsidR="007B1985" w:rsidRPr="004A7D27" w:rsidRDefault="007B1985" w:rsidP="005718ED">
            <w:pPr>
              <w:pStyle w:val="NormalWeb"/>
              <w:jc w:val="both"/>
              <w:rPr>
                <w:color w:val="000000"/>
              </w:rPr>
            </w:pPr>
            <w:r w:rsidRPr="004A7D27">
              <w:rPr>
                <w:color w:val="000000"/>
              </w:rPr>
              <w:t>Ce projet qui a permis à la  DNEC de sillonner  ces 7 préfectures  du 15 au 29 Juin 2014, à travers une campagne du civisme où des ateliers ont été organisés avec des  modules portant  sur le civisme , le civisme dans la cité , le civisme avant, pendant et après les élections, le civisme et Démocratie, le civisme et environnement, le civisme et bonne gouvernance</w:t>
            </w:r>
            <w:r w:rsidR="000A5A77" w:rsidRPr="004A7D27">
              <w:rPr>
                <w:color w:val="000000"/>
              </w:rPr>
              <w:t xml:space="preserve"> va contribuer à renforcer le tissu  social et à l’organisation d’élections apaisées</w:t>
            </w:r>
          </w:p>
          <w:p w14:paraId="55D77CD2" w14:textId="77777777" w:rsidR="007B1985" w:rsidRPr="004A7D27" w:rsidRDefault="007B1985" w:rsidP="005718ED">
            <w:pPr>
              <w:spacing w:after="120" w:line="276" w:lineRule="auto"/>
              <w:jc w:val="both"/>
              <w:rPr>
                <w:color w:val="000000"/>
              </w:rPr>
            </w:pPr>
          </w:p>
          <w:p w14:paraId="46DC604D" w14:textId="77777777" w:rsidR="00CF6D08" w:rsidRPr="000232E0" w:rsidRDefault="00CF6D08" w:rsidP="005718ED">
            <w:pPr>
              <w:numPr>
                <w:ilvl w:val="0"/>
                <w:numId w:val="2"/>
              </w:numPr>
              <w:autoSpaceDE w:val="0"/>
              <w:autoSpaceDN w:val="0"/>
              <w:adjustRightInd w:val="0"/>
              <w:jc w:val="both"/>
              <w:rPr>
                <w:b/>
                <w:bCs/>
                <w:i/>
              </w:rPr>
            </w:pPr>
            <w:r w:rsidRPr="000232E0">
              <w:rPr>
                <w:b/>
                <w:bCs/>
                <w:i/>
              </w:rPr>
              <w:t>Utiliser les indicateurs et l’objectif du projet pour mesurer les résultats obtenus (cf. le tableau des objectifs, à la fin du présent formulaire)</w:t>
            </w:r>
          </w:p>
          <w:p w14:paraId="0F6745EA" w14:textId="77777777" w:rsidR="00444BDC" w:rsidRPr="004A7D27" w:rsidRDefault="00444BDC" w:rsidP="005718ED">
            <w:pPr>
              <w:autoSpaceDE w:val="0"/>
              <w:autoSpaceDN w:val="0"/>
              <w:adjustRightInd w:val="0"/>
              <w:ind w:left="360"/>
              <w:jc w:val="both"/>
              <w:rPr>
                <w:bCs/>
                <w:i/>
              </w:rPr>
            </w:pPr>
          </w:p>
          <w:p w14:paraId="07F1D09E" w14:textId="77777777" w:rsidR="00F82B72" w:rsidRPr="004A7D27" w:rsidRDefault="004266A6" w:rsidP="005718ED">
            <w:pPr>
              <w:autoSpaceDE w:val="0"/>
              <w:autoSpaceDN w:val="0"/>
              <w:adjustRightInd w:val="0"/>
              <w:ind w:left="360"/>
              <w:jc w:val="both"/>
            </w:pPr>
            <w:r w:rsidRPr="004A7D27">
              <w:rPr>
                <w:color w:val="000000"/>
              </w:rPr>
              <w:t>L</w:t>
            </w:r>
            <w:r w:rsidR="00414041" w:rsidRPr="004A7D27">
              <w:rPr>
                <w:color w:val="000000"/>
              </w:rPr>
              <w:t>e projet de création et de</w:t>
            </w:r>
            <w:r w:rsidRPr="004A7D27">
              <w:rPr>
                <w:color w:val="000000"/>
              </w:rPr>
              <w:t xml:space="preserve"> dynamisation de 130 clubs d’animation citoyenne et d'éducation à la paix dans les quartiers de </w:t>
            </w:r>
            <w:proofErr w:type="spellStart"/>
            <w:r w:rsidRPr="004A7D27">
              <w:rPr>
                <w:color w:val="000000"/>
              </w:rPr>
              <w:t>conakry</w:t>
            </w:r>
            <w:proofErr w:type="spellEnd"/>
            <w:r w:rsidRPr="004A7D27">
              <w:rPr>
                <w:color w:val="000000"/>
              </w:rPr>
              <w:t> </w:t>
            </w:r>
            <w:r w:rsidR="00667E31" w:rsidRPr="004A7D27">
              <w:rPr>
                <w:color w:val="000000"/>
              </w:rPr>
              <w:t xml:space="preserve"> à travers l’organisation </w:t>
            </w:r>
            <w:r w:rsidR="00667E31" w:rsidRPr="004A7D27">
              <w:t>des séances de sensibilisation de proximité ciblée (porte à porte au profit des jeunes, chefs de quartiers/secteurs, sages, élus locaux)</w:t>
            </w:r>
            <w:r w:rsidR="00F82B72" w:rsidRPr="004A7D27">
              <w:t xml:space="preserve"> la campagne de sensibilisation et d’éducation (IEC) sur la participation citoyenne des populations dans l’animation de la vie locale (enjeux électoraux, éducation civique, consolidation de la paix )</w:t>
            </w:r>
            <w:r w:rsidR="004A7D27">
              <w:t xml:space="preserve"> </w:t>
            </w:r>
            <w:r w:rsidR="00F82B72" w:rsidRPr="004A7D27">
              <w:t>va contribuer au renforcement de l’unité nationale et de l’organisation d’élections apaisées</w:t>
            </w:r>
            <w:r w:rsidR="004A7D27">
              <w:t xml:space="preserve"> en transformant les jeunes et les femmes d’acteurs manipulés victimes et parties prenantes des violences en acteu</w:t>
            </w:r>
            <w:r w:rsidR="000232E0">
              <w:t xml:space="preserve">rs principaux, essentiels et incontournables </w:t>
            </w:r>
            <w:r w:rsidR="004A7D27">
              <w:t>de la Paix</w:t>
            </w:r>
            <w:r w:rsidR="000232E0">
              <w:t xml:space="preserve">. </w:t>
            </w:r>
          </w:p>
          <w:p w14:paraId="62DCF020" w14:textId="77777777" w:rsidR="00667E31" w:rsidRPr="004A7D27" w:rsidRDefault="00667E31" w:rsidP="005718ED">
            <w:pPr>
              <w:autoSpaceDE w:val="0"/>
              <w:autoSpaceDN w:val="0"/>
              <w:adjustRightInd w:val="0"/>
              <w:ind w:left="360"/>
              <w:jc w:val="both"/>
              <w:rPr>
                <w:color w:val="000000"/>
              </w:rPr>
            </w:pPr>
          </w:p>
          <w:p w14:paraId="50F4D457" w14:textId="77777777" w:rsidR="00667E31" w:rsidRPr="004A7D27" w:rsidRDefault="00667E31" w:rsidP="005718ED">
            <w:pPr>
              <w:autoSpaceDE w:val="0"/>
              <w:autoSpaceDN w:val="0"/>
              <w:adjustRightInd w:val="0"/>
              <w:ind w:left="360"/>
              <w:jc w:val="both"/>
              <w:rPr>
                <w:color w:val="000000"/>
              </w:rPr>
            </w:pPr>
          </w:p>
          <w:p w14:paraId="5B82E9D7" w14:textId="77777777" w:rsidR="00CF6D08" w:rsidRPr="000232E0" w:rsidRDefault="00CF6D08" w:rsidP="005718ED">
            <w:pPr>
              <w:autoSpaceDE w:val="0"/>
              <w:autoSpaceDN w:val="0"/>
              <w:adjustRightInd w:val="0"/>
              <w:ind w:left="360"/>
              <w:jc w:val="both"/>
              <w:rPr>
                <w:b/>
                <w:i/>
                <w:color w:val="000000"/>
              </w:rPr>
            </w:pPr>
            <w:r w:rsidRPr="000232E0">
              <w:rPr>
                <w:b/>
                <w:i/>
                <w:color w:val="000000"/>
              </w:rPr>
              <w:t>Quels sont les points forts des résultats obtenus – attendus ou non?</w:t>
            </w:r>
          </w:p>
          <w:p w14:paraId="4851CDF3" w14:textId="77777777" w:rsidR="000232E0" w:rsidRPr="004A7D27" w:rsidRDefault="000232E0" w:rsidP="005718ED">
            <w:pPr>
              <w:autoSpaceDE w:val="0"/>
              <w:autoSpaceDN w:val="0"/>
              <w:adjustRightInd w:val="0"/>
              <w:ind w:left="360"/>
              <w:jc w:val="both"/>
              <w:rPr>
                <w:i/>
                <w:color w:val="000000"/>
              </w:rPr>
            </w:pPr>
          </w:p>
          <w:p w14:paraId="0556ABE3" w14:textId="77777777" w:rsidR="00CF6D08" w:rsidRPr="000232E0" w:rsidRDefault="000A5A77" w:rsidP="005718ED">
            <w:pPr>
              <w:pStyle w:val="ListParagraph"/>
              <w:numPr>
                <w:ilvl w:val="0"/>
                <w:numId w:val="3"/>
              </w:numPr>
              <w:autoSpaceDE w:val="0"/>
              <w:autoSpaceDN w:val="0"/>
              <w:adjustRightInd w:val="0"/>
              <w:jc w:val="both"/>
              <w:rPr>
                <w:color w:val="000000"/>
              </w:rPr>
            </w:pPr>
            <w:r w:rsidRPr="000232E0">
              <w:rPr>
                <w:color w:val="000000"/>
              </w:rPr>
              <w:t>L’organisation de 130 séances de sensibilisation et d’information de proximité (porte à porte) sur l</w:t>
            </w:r>
            <w:r w:rsidR="00B75711" w:rsidRPr="000232E0">
              <w:rPr>
                <w:color w:val="000000"/>
              </w:rPr>
              <w:t>’animation citoyenne , la culture de la non violence et la résolution pacifique des conflits</w:t>
            </w:r>
          </w:p>
          <w:p w14:paraId="690CD750" w14:textId="77777777" w:rsidR="000E5DD6" w:rsidRPr="000232E0" w:rsidRDefault="000E5DD6" w:rsidP="005718ED">
            <w:pPr>
              <w:pStyle w:val="ListParagraph"/>
              <w:numPr>
                <w:ilvl w:val="0"/>
                <w:numId w:val="3"/>
              </w:numPr>
              <w:autoSpaceDE w:val="0"/>
              <w:autoSpaceDN w:val="0"/>
              <w:adjustRightInd w:val="0"/>
              <w:jc w:val="both"/>
              <w:rPr>
                <w:color w:val="000000"/>
              </w:rPr>
            </w:pPr>
            <w:r w:rsidRPr="000232E0">
              <w:rPr>
                <w:color w:val="000000"/>
              </w:rPr>
              <w:t>Le renforcement de capacités de 260 membres des clubs sur le processus électoral et les pratiques citoyennes</w:t>
            </w:r>
          </w:p>
          <w:p w14:paraId="2CAD0C94" w14:textId="77777777" w:rsidR="000E5DD6" w:rsidRPr="000232E0" w:rsidRDefault="000E5DD6" w:rsidP="005718ED">
            <w:pPr>
              <w:pStyle w:val="ListParagraph"/>
              <w:numPr>
                <w:ilvl w:val="0"/>
                <w:numId w:val="3"/>
              </w:numPr>
              <w:autoSpaceDE w:val="0"/>
              <w:autoSpaceDN w:val="0"/>
              <w:adjustRightInd w:val="0"/>
              <w:jc w:val="both"/>
              <w:rPr>
                <w:color w:val="000000"/>
              </w:rPr>
            </w:pPr>
            <w:r w:rsidRPr="000232E0">
              <w:rPr>
                <w:color w:val="000000"/>
              </w:rPr>
              <w:t xml:space="preserve">La diffusion de microprogrammes de sensibilisation sur la culture de paix </w:t>
            </w:r>
            <w:r w:rsidR="000232E0" w:rsidRPr="000232E0">
              <w:rPr>
                <w:color w:val="000000"/>
              </w:rPr>
              <w:t xml:space="preserve">dans tout </w:t>
            </w:r>
            <w:r w:rsidRPr="000232E0">
              <w:rPr>
                <w:color w:val="000000"/>
              </w:rPr>
              <w:t xml:space="preserve">le processus électoral, avant pendant et après les élections sont diffusés sur les radios de proximité en langues locales et </w:t>
            </w:r>
            <w:r w:rsidRPr="000232E0">
              <w:rPr>
                <w:color w:val="000000"/>
              </w:rPr>
              <w:lastRenderedPageBreak/>
              <w:t>en français (5 débats radiophoniques sur ces thèmes ont été organisés)</w:t>
            </w:r>
          </w:p>
          <w:p w14:paraId="05C84E8E" w14:textId="77777777" w:rsidR="00B717C2" w:rsidRPr="000232E0" w:rsidRDefault="005A2AF5" w:rsidP="005718ED">
            <w:pPr>
              <w:pStyle w:val="ListParagraph"/>
              <w:numPr>
                <w:ilvl w:val="0"/>
                <w:numId w:val="3"/>
              </w:numPr>
              <w:autoSpaceDE w:val="0"/>
              <w:autoSpaceDN w:val="0"/>
              <w:adjustRightInd w:val="0"/>
              <w:jc w:val="both"/>
              <w:rPr>
                <w:color w:val="000000"/>
              </w:rPr>
            </w:pPr>
            <w:r w:rsidRPr="000232E0">
              <w:rPr>
                <w:color w:val="000000"/>
              </w:rPr>
              <w:t>L</w:t>
            </w:r>
            <w:r w:rsidR="00B717C2" w:rsidRPr="000232E0">
              <w:rPr>
                <w:color w:val="000000"/>
              </w:rPr>
              <w:t>’organisation d’ateliers d</w:t>
            </w:r>
            <w:r w:rsidRPr="000232E0">
              <w:rPr>
                <w:color w:val="000000"/>
              </w:rPr>
              <w:t>e renforcement  des capacités  des organisations des jeunes des femmes des acteurs politiques des alliances</w:t>
            </w:r>
            <w:r w:rsidR="00B717C2" w:rsidRPr="000232E0">
              <w:rPr>
                <w:color w:val="000000"/>
              </w:rPr>
              <w:t xml:space="preserve"> de paix </w:t>
            </w:r>
            <w:r w:rsidRPr="000232E0">
              <w:rPr>
                <w:color w:val="000000"/>
              </w:rPr>
              <w:t xml:space="preserve"> des clubs </w:t>
            </w:r>
            <w:r w:rsidR="00925A53" w:rsidRPr="000232E0">
              <w:rPr>
                <w:color w:val="000000"/>
              </w:rPr>
              <w:t>Unesco</w:t>
            </w:r>
            <w:r w:rsidRPr="000232E0">
              <w:rPr>
                <w:color w:val="000000"/>
              </w:rPr>
              <w:t xml:space="preserve"> de paix en éducation à la citoyenneté et à la culture de paix pour des élections apaisées</w:t>
            </w:r>
            <w:r w:rsidR="00B717C2" w:rsidRPr="000232E0">
              <w:rPr>
                <w:color w:val="000000"/>
              </w:rPr>
              <w:t>.</w:t>
            </w:r>
          </w:p>
          <w:p w14:paraId="707A4752" w14:textId="77777777" w:rsidR="00B717C2" w:rsidRPr="000232E0" w:rsidRDefault="00B717C2" w:rsidP="005718ED">
            <w:pPr>
              <w:pStyle w:val="ListParagraph"/>
              <w:numPr>
                <w:ilvl w:val="0"/>
                <w:numId w:val="3"/>
              </w:numPr>
              <w:autoSpaceDE w:val="0"/>
              <w:autoSpaceDN w:val="0"/>
              <w:adjustRightInd w:val="0"/>
              <w:jc w:val="both"/>
              <w:rPr>
                <w:color w:val="000000"/>
              </w:rPr>
            </w:pPr>
            <w:r w:rsidRPr="000232E0">
              <w:rPr>
                <w:color w:val="000000"/>
              </w:rPr>
              <w:t xml:space="preserve">L’organisation </w:t>
            </w:r>
            <w:r w:rsidR="00BA7E5E" w:rsidRPr="000232E0">
              <w:rPr>
                <w:color w:val="000000"/>
              </w:rPr>
              <w:t>d’activités</w:t>
            </w:r>
            <w:r w:rsidRPr="000232E0">
              <w:rPr>
                <w:color w:val="000000"/>
              </w:rPr>
              <w:t xml:space="preserve"> de sensibilisation radiophonique radio rurale et communautaire sur la citoyenneté, le processus électoral, la consolidation de l’unité nationale et la réconciliation nationale.</w:t>
            </w:r>
          </w:p>
          <w:p w14:paraId="1E0EF54D" w14:textId="77777777" w:rsidR="000232E0" w:rsidRPr="000232E0" w:rsidRDefault="000232E0" w:rsidP="005718ED">
            <w:pPr>
              <w:pStyle w:val="ListParagraph"/>
              <w:numPr>
                <w:ilvl w:val="0"/>
                <w:numId w:val="3"/>
              </w:numPr>
              <w:autoSpaceDE w:val="0"/>
              <w:autoSpaceDN w:val="0"/>
              <w:adjustRightInd w:val="0"/>
              <w:jc w:val="both"/>
              <w:rPr>
                <w:color w:val="000000"/>
              </w:rPr>
            </w:pPr>
            <w:r w:rsidRPr="000232E0">
              <w:rPr>
                <w:color w:val="000000"/>
              </w:rPr>
              <w:t>Touchés directement plus de 2000 et indirectement plus de 200 000 jeunes filles et garçons des 130 quartiers de la ville de Conakry</w:t>
            </w:r>
          </w:p>
          <w:p w14:paraId="3EE53CA7" w14:textId="77777777" w:rsidR="000E5DD6" w:rsidRPr="004A7D27" w:rsidRDefault="000E5DD6" w:rsidP="005718ED">
            <w:pPr>
              <w:autoSpaceDE w:val="0"/>
              <w:autoSpaceDN w:val="0"/>
              <w:adjustRightInd w:val="0"/>
              <w:jc w:val="both"/>
              <w:rPr>
                <w:i/>
                <w:color w:val="000000"/>
              </w:rPr>
            </w:pPr>
          </w:p>
          <w:p w14:paraId="7B54968D" w14:textId="77777777" w:rsidR="00CF6D08" w:rsidRPr="000232E0" w:rsidRDefault="00CF6D08" w:rsidP="005718ED">
            <w:pPr>
              <w:numPr>
                <w:ilvl w:val="0"/>
                <w:numId w:val="1"/>
              </w:numPr>
              <w:autoSpaceDE w:val="0"/>
              <w:autoSpaceDN w:val="0"/>
              <w:adjustRightInd w:val="0"/>
              <w:jc w:val="both"/>
              <w:rPr>
                <w:b/>
                <w:i/>
                <w:color w:val="000000"/>
              </w:rPr>
            </w:pPr>
            <w:r w:rsidRPr="000232E0">
              <w:rPr>
                <w:b/>
                <w:i/>
                <w:color w:val="000000"/>
              </w:rPr>
              <w:t>Les résultats obtenus ont-ils eu des effets sur les causes et les éléments moteurs du conflit?</w:t>
            </w:r>
          </w:p>
          <w:p w14:paraId="77208ECA" w14:textId="77777777" w:rsidR="000232E0" w:rsidRDefault="000232E0" w:rsidP="005718ED">
            <w:pPr>
              <w:autoSpaceDE w:val="0"/>
              <w:autoSpaceDN w:val="0"/>
              <w:adjustRightInd w:val="0"/>
              <w:jc w:val="both"/>
              <w:rPr>
                <w:i/>
                <w:color w:val="000000"/>
              </w:rPr>
            </w:pPr>
          </w:p>
          <w:p w14:paraId="3712C70E" w14:textId="77777777" w:rsidR="00BD1FAC" w:rsidRPr="000232E0" w:rsidRDefault="00231573" w:rsidP="005718ED">
            <w:pPr>
              <w:autoSpaceDE w:val="0"/>
              <w:autoSpaceDN w:val="0"/>
              <w:adjustRightInd w:val="0"/>
              <w:jc w:val="both"/>
              <w:rPr>
                <w:color w:val="000000"/>
              </w:rPr>
            </w:pPr>
            <w:r w:rsidRPr="000232E0">
              <w:rPr>
                <w:color w:val="000000"/>
              </w:rPr>
              <w:t xml:space="preserve">Les clubs d’animation  citoyenne et d’éducation à la paix domiciliés au </w:t>
            </w:r>
            <w:r w:rsidR="00BD1FAC" w:rsidRPr="000232E0">
              <w:rPr>
                <w:color w:val="000000"/>
              </w:rPr>
              <w:t xml:space="preserve"> </w:t>
            </w:r>
            <w:r w:rsidRPr="000232E0">
              <w:rPr>
                <w:color w:val="000000"/>
              </w:rPr>
              <w:t xml:space="preserve">sein des quartiers vont à travers les messages de paix de tolérance de prévention des conflits véhiculés auprès des jeunes des femmes des sages contribuer à l’adoption de comportements responsables hostiles à </w:t>
            </w:r>
            <w:r w:rsidR="00BD1FAC" w:rsidRPr="000232E0">
              <w:rPr>
                <w:color w:val="000000"/>
              </w:rPr>
              <w:t>tout recours à la rue et à la violence. pour régler un problème politique ou social</w:t>
            </w:r>
          </w:p>
          <w:p w14:paraId="666B3EAC" w14:textId="77777777" w:rsidR="000232E0" w:rsidRDefault="00BD1FAC" w:rsidP="005718ED">
            <w:pPr>
              <w:autoSpaceDE w:val="0"/>
              <w:autoSpaceDN w:val="0"/>
              <w:adjustRightInd w:val="0"/>
              <w:jc w:val="both"/>
              <w:rPr>
                <w:i/>
                <w:color w:val="000000"/>
              </w:rPr>
            </w:pPr>
            <w:r w:rsidRPr="000232E0">
              <w:rPr>
                <w:color w:val="000000"/>
              </w:rPr>
              <w:t xml:space="preserve">Les modules de formation sur le civisme et Démocratie, civisme avant pendant et après les élections dispensés par la DNEC  vont contribuer à apaiser le climat politique et social pour </w:t>
            </w:r>
            <w:r w:rsidR="008E5E1B" w:rsidRPr="000232E0">
              <w:rPr>
                <w:color w:val="000000"/>
              </w:rPr>
              <w:t>un bon déroulement des élections</w:t>
            </w:r>
            <w:r w:rsidR="008E5E1B" w:rsidRPr="004A7D27">
              <w:rPr>
                <w:i/>
                <w:color w:val="000000"/>
              </w:rPr>
              <w:t>.</w:t>
            </w:r>
          </w:p>
          <w:p w14:paraId="3B503D7A" w14:textId="77777777" w:rsidR="00BD1FAC" w:rsidRPr="004A7D27" w:rsidRDefault="008E5E1B" w:rsidP="005718ED">
            <w:pPr>
              <w:autoSpaceDE w:val="0"/>
              <w:autoSpaceDN w:val="0"/>
              <w:adjustRightInd w:val="0"/>
              <w:jc w:val="both"/>
              <w:rPr>
                <w:i/>
                <w:color w:val="000000"/>
              </w:rPr>
            </w:pPr>
            <w:r w:rsidRPr="004A7D27">
              <w:rPr>
                <w:i/>
                <w:color w:val="000000"/>
              </w:rPr>
              <w:t xml:space="preserve"> </w:t>
            </w:r>
          </w:p>
          <w:p w14:paraId="105347DE" w14:textId="77777777" w:rsidR="00CF6D08" w:rsidRPr="000232E0" w:rsidRDefault="00CF6D08" w:rsidP="005718ED">
            <w:pPr>
              <w:numPr>
                <w:ilvl w:val="0"/>
                <w:numId w:val="1"/>
              </w:numPr>
              <w:autoSpaceDE w:val="0"/>
              <w:autoSpaceDN w:val="0"/>
              <w:adjustRightInd w:val="0"/>
              <w:jc w:val="both"/>
              <w:rPr>
                <w:b/>
                <w:i/>
                <w:color w:val="000000"/>
              </w:rPr>
            </w:pPr>
            <w:r w:rsidRPr="000232E0">
              <w:rPr>
                <w:b/>
                <w:i/>
                <w:color w:val="000000"/>
              </w:rPr>
              <w:t xml:space="preserve">Y a-t-il eu des « effets catalyseurs » - engagements de financement supplémentaire ou déclenchement de processus de paix pertinents? </w:t>
            </w:r>
          </w:p>
          <w:p w14:paraId="65F8BB41" w14:textId="77777777" w:rsidR="00CF6D08" w:rsidRDefault="00CF6D08" w:rsidP="005718ED">
            <w:pPr>
              <w:autoSpaceDE w:val="0"/>
              <w:autoSpaceDN w:val="0"/>
              <w:adjustRightInd w:val="0"/>
              <w:jc w:val="both"/>
              <w:rPr>
                <w:i/>
                <w:color w:val="000000"/>
              </w:rPr>
            </w:pPr>
          </w:p>
          <w:p w14:paraId="1234A1E1" w14:textId="77777777" w:rsidR="00BF7527" w:rsidRDefault="000232E0" w:rsidP="005718ED">
            <w:pPr>
              <w:autoSpaceDE w:val="0"/>
              <w:autoSpaceDN w:val="0"/>
              <w:adjustRightInd w:val="0"/>
              <w:jc w:val="both"/>
              <w:rPr>
                <w:color w:val="000000"/>
              </w:rPr>
            </w:pPr>
            <w:r w:rsidRPr="000232E0">
              <w:rPr>
                <w:color w:val="000000"/>
              </w:rPr>
              <w:t>L</w:t>
            </w:r>
            <w:r>
              <w:rPr>
                <w:color w:val="000000"/>
              </w:rPr>
              <w:t>es effets catalytiques sont de deux ordres</w:t>
            </w:r>
            <w:r w:rsidR="00BF7527">
              <w:rPr>
                <w:color w:val="000000"/>
              </w:rPr>
              <w:t> :</w:t>
            </w:r>
          </w:p>
          <w:p w14:paraId="0832F27C" w14:textId="77777777" w:rsidR="000232E0" w:rsidRDefault="00BF7527" w:rsidP="005718ED">
            <w:pPr>
              <w:autoSpaceDE w:val="0"/>
              <w:autoSpaceDN w:val="0"/>
              <w:adjustRightInd w:val="0"/>
              <w:jc w:val="both"/>
              <w:rPr>
                <w:color w:val="000000"/>
              </w:rPr>
            </w:pPr>
            <w:r>
              <w:rPr>
                <w:color w:val="000000"/>
              </w:rPr>
              <w:t>Opérationnel l’UNESCO a décidé sur demande du Gouvernement à travers le Ministère d’étendre l’activité sur les autres régions à risque de conflit</w:t>
            </w:r>
          </w:p>
          <w:p w14:paraId="258D25F0" w14:textId="77777777" w:rsidR="00BF7527" w:rsidRDefault="00BF7527" w:rsidP="005718ED">
            <w:pPr>
              <w:autoSpaceDE w:val="0"/>
              <w:autoSpaceDN w:val="0"/>
              <w:adjustRightInd w:val="0"/>
              <w:jc w:val="both"/>
              <w:rPr>
                <w:color w:val="000000"/>
              </w:rPr>
            </w:pPr>
            <w:r>
              <w:rPr>
                <w:color w:val="000000"/>
              </w:rPr>
              <w:t>Stratégique compte tenu du fait que la le gouvernement inscrit la démarche et la stratégie des clubs pour la Paix dans son programme national de prévention des conflits notamment électoraux à travers la sensibilisation et l’éducation en vue de l’apaisement et du renforcement de la stabilité.</w:t>
            </w:r>
          </w:p>
          <w:p w14:paraId="32F52614" w14:textId="77777777" w:rsidR="00BF7527" w:rsidRPr="000232E0" w:rsidRDefault="00BF7527" w:rsidP="005718ED">
            <w:pPr>
              <w:autoSpaceDE w:val="0"/>
              <w:autoSpaceDN w:val="0"/>
              <w:adjustRightInd w:val="0"/>
              <w:jc w:val="both"/>
              <w:rPr>
                <w:color w:val="000000"/>
              </w:rPr>
            </w:pPr>
          </w:p>
          <w:p w14:paraId="01C2A875" w14:textId="77777777" w:rsidR="00CF6D08" w:rsidRPr="000232E0" w:rsidRDefault="00CF6D08" w:rsidP="005718ED">
            <w:pPr>
              <w:numPr>
                <w:ilvl w:val="0"/>
                <w:numId w:val="1"/>
              </w:numPr>
              <w:autoSpaceDE w:val="0"/>
              <w:autoSpaceDN w:val="0"/>
              <w:adjustRightInd w:val="0"/>
              <w:jc w:val="both"/>
              <w:rPr>
                <w:b/>
                <w:i/>
                <w:color w:val="000000"/>
              </w:rPr>
            </w:pPr>
            <w:r w:rsidRPr="000232E0">
              <w:rPr>
                <w:b/>
                <w:i/>
                <w:color w:val="000000"/>
              </w:rPr>
              <w:t>Quels sont les risques / problèmes subsistants – et comment y faire face?</w:t>
            </w:r>
          </w:p>
          <w:p w14:paraId="23C54628" w14:textId="77777777" w:rsidR="00925A53" w:rsidRPr="004A7D27" w:rsidRDefault="00925A53" w:rsidP="005718ED">
            <w:pPr>
              <w:autoSpaceDE w:val="0"/>
              <w:autoSpaceDN w:val="0"/>
              <w:adjustRightInd w:val="0"/>
              <w:jc w:val="both"/>
              <w:rPr>
                <w:i/>
                <w:color w:val="000000"/>
              </w:rPr>
            </w:pPr>
          </w:p>
          <w:p w14:paraId="6221221B" w14:textId="77777777" w:rsidR="005206F2" w:rsidRPr="00BF7527" w:rsidRDefault="00BF7527" w:rsidP="005718ED">
            <w:pPr>
              <w:autoSpaceDE w:val="0"/>
              <w:autoSpaceDN w:val="0"/>
              <w:adjustRightInd w:val="0"/>
              <w:jc w:val="both"/>
              <w:rPr>
                <w:color w:val="000000"/>
              </w:rPr>
            </w:pPr>
            <w:r>
              <w:rPr>
                <w:color w:val="000000"/>
              </w:rPr>
              <w:t xml:space="preserve">Le retard de plus en plus exacerbé dans l’organisation des élections </w:t>
            </w:r>
            <w:r w:rsidR="005206F2" w:rsidRPr="000232E0">
              <w:rPr>
                <w:color w:val="000000"/>
              </w:rPr>
              <w:t>communales à temps</w:t>
            </w:r>
            <w:r>
              <w:rPr>
                <w:color w:val="000000"/>
              </w:rPr>
              <w:t xml:space="preserve"> et la difficulté dans</w:t>
            </w:r>
            <w:r w:rsidR="005206F2" w:rsidRPr="000232E0">
              <w:rPr>
                <w:color w:val="000000"/>
              </w:rPr>
              <w:t xml:space="preserve"> le dialogue Gouvernement- mouvance- opposition autour de l’organisation des élections</w:t>
            </w:r>
            <w:r w:rsidR="005206F2" w:rsidRPr="004A7D27">
              <w:rPr>
                <w:i/>
                <w:color w:val="000000"/>
              </w:rPr>
              <w:t>.</w:t>
            </w:r>
          </w:p>
          <w:p w14:paraId="2C2651C8" w14:textId="77777777" w:rsidR="000232E0" w:rsidRPr="004A7D27" w:rsidRDefault="000232E0" w:rsidP="005718ED">
            <w:pPr>
              <w:autoSpaceDE w:val="0"/>
              <w:autoSpaceDN w:val="0"/>
              <w:adjustRightInd w:val="0"/>
              <w:jc w:val="both"/>
              <w:rPr>
                <w:i/>
                <w:color w:val="000000"/>
              </w:rPr>
            </w:pPr>
          </w:p>
          <w:p w14:paraId="551C35AE" w14:textId="77777777" w:rsidR="00CF6D08" w:rsidRPr="000232E0" w:rsidRDefault="00CF6D08" w:rsidP="005718ED">
            <w:pPr>
              <w:numPr>
                <w:ilvl w:val="0"/>
                <w:numId w:val="1"/>
              </w:numPr>
              <w:autoSpaceDE w:val="0"/>
              <w:autoSpaceDN w:val="0"/>
              <w:adjustRightInd w:val="0"/>
              <w:jc w:val="both"/>
              <w:rPr>
                <w:b/>
                <w:i/>
                <w:color w:val="000000"/>
              </w:rPr>
            </w:pPr>
            <w:r w:rsidRPr="000232E0">
              <w:rPr>
                <w:b/>
                <w:i/>
                <w:color w:val="000000"/>
              </w:rPr>
              <w:t>Quels résultats supplémentaires peut-on attendre d’ici à la fin de l’année?</w:t>
            </w:r>
          </w:p>
          <w:p w14:paraId="36442DC0" w14:textId="77777777" w:rsidR="00CF6D08" w:rsidRDefault="00CF6D08" w:rsidP="005718ED">
            <w:pPr>
              <w:autoSpaceDE w:val="0"/>
              <w:autoSpaceDN w:val="0"/>
              <w:adjustRightInd w:val="0"/>
              <w:jc w:val="both"/>
              <w:rPr>
                <w:i/>
                <w:color w:val="000000"/>
              </w:rPr>
            </w:pPr>
          </w:p>
          <w:p w14:paraId="709BFAE9" w14:textId="77777777" w:rsidR="00BF7527" w:rsidRDefault="00BF7527" w:rsidP="005718ED">
            <w:pPr>
              <w:autoSpaceDE w:val="0"/>
              <w:autoSpaceDN w:val="0"/>
              <w:adjustRightInd w:val="0"/>
              <w:jc w:val="both"/>
              <w:rPr>
                <w:i/>
                <w:color w:val="000000"/>
              </w:rPr>
            </w:pPr>
            <w:r>
              <w:rPr>
                <w:i/>
                <w:color w:val="000000"/>
              </w:rPr>
              <w:t>Augmentation du nombre de jeune et femme touchés ainsi que du nombre de Club mis en place en ouvrant de nouvelles zones.</w:t>
            </w:r>
          </w:p>
          <w:p w14:paraId="2AF5A685" w14:textId="77777777" w:rsidR="00BF7527" w:rsidRPr="004A7D27" w:rsidRDefault="00BF7527" w:rsidP="005718ED">
            <w:pPr>
              <w:autoSpaceDE w:val="0"/>
              <w:autoSpaceDN w:val="0"/>
              <w:adjustRightInd w:val="0"/>
              <w:jc w:val="both"/>
              <w:rPr>
                <w:i/>
                <w:color w:val="000000"/>
              </w:rPr>
            </w:pPr>
          </w:p>
          <w:p w14:paraId="2D02091F" w14:textId="77777777" w:rsidR="00CF6D08" w:rsidRPr="000232E0" w:rsidRDefault="00CF6D08" w:rsidP="005718ED">
            <w:pPr>
              <w:numPr>
                <w:ilvl w:val="0"/>
                <w:numId w:val="1"/>
              </w:numPr>
              <w:autoSpaceDE w:val="0"/>
              <w:autoSpaceDN w:val="0"/>
              <w:adjustRightInd w:val="0"/>
              <w:jc w:val="both"/>
              <w:rPr>
                <w:b/>
                <w:i/>
                <w:color w:val="000000"/>
              </w:rPr>
            </w:pPr>
            <w:r w:rsidRPr="000232E0">
              <w:rPr>
                <w:b/>
                <w:i/>
                <w:color w:val="000000"/>
              </w:rPr>
              <w:t>Faut-il adapter les stratégies du projet</w:t>
            </w:r>
            <w:r w:rsidR="00B65997" w:rsidRPr="000232E0">
              <w:rPr>
                <w:b/>
                <w:i/>
                <w:color w:val="000000"/>
              </w:rPr>
              <w:t xml:space="preserve"> </w:t>
            </w:r>
            <w:r w:rsidRPr="000232E0">
              <w:rPr>
                <w:b/>
                <w:i/>
                <w:color w:val="000000"/>
              </w:rPr>
              <w:t>?</w:t>
            </w:r>
            <w:r w:rsidR="005206F2" w:rsidRPr="000232E0">
              <w:rPr>
                <w:b/>
                <w:i/>
                <w:color w:val="000000"/>
              </w:rPr>
              <w:t>Non</w:t>
            </w:r>
          </w:p>
          <w:p w14:paraId="4224A4B5" w14:textId="77777777" w:rsidR="00CF6D08" w:rsidRPr="004A7D27" w:rsidRDefault="00CF6D08" w:rsidP="005718ED">
            <w:pPr>
              <w:autoSpaceDE w:val="0"/>
              <w:autoSpaceDN w:val="0"/>
              <w:adjustRightInd w:val="0"/>
              <w:jc w:val="both"/>
              <w:rPr>
                <w:i/>
                <w:color w:val="000000"/>
              </w:rPr>
            </w:pPr>
          </w:p>
          <w:p w14:paraId="12CF814F" w14:textId="77777777" w:rsidR="00CF6D08" w:rsidRPr="004A7D27" w:rsidRDefault="00BF7527" w:rsidP="005718ED">
            <w:pPr>
              <w:autoSpaceDE w:val="0"/>
              <w:autoSpaceDN w:val="0"/>
              <w:adjustRightInd w:val="0"/>
              <w:jc w:val="both"/>
              <w:rPr>
                <w:color w:val="000000"/>
              </w:rPr>
            </w:pPr>
            <w:r>
              <w:rPr>
                <w:color w:val="000000"/>
              </w:rPr>
              <w:t>Les stratégies du projet tiennent compte du contexte national et local</w:t>
            </w:r>
            <w:r w:rsidR="005718ED">
              <w:rPr>
                <w:color w:val="000000"/>
              </w:rPr>
              <w:t>.</w:t>
            </w:r>
          </w:p>
          <w:p w14:paraId="3DA0671A" w14:textId="77777777" w:rsidR="00CF6D08" w:rsidRPr="004A7D27" w:rsidRDefault="00CF6D08" w:rsidP="005718ED">
            <w:pPr>
              <w:autoSpaceDE w:val="0"/>
              <w:autoSpaceDN w:val="0"/>
              <w:adjustRightInd w:val="0"/>
              <w:jc w:val="both"/>
              <w:rPr>
                <w:color w:val="000000"/>
              </w:rPr>
            </w:pPr>
          </w:p>
          <w:p w14:paraId="4DA01B26" w14:textId="77777777" w:rsidR="00CF6D08" w:rsidRPr="004A7D27" w:rsidRDefault="005718ED" w:rsidP="005718ED">
            <w:pPr>
              <w:autoSpaceDE w:val="0"/>
              <w:autoSpaceDN w:val="0"/>
              <w:adjustRightInd w:val="0"/>
              <w:jc w:val="both"/>
              <w:rPr>
                <w:b/>
                <w:color w:val="000000"/>
              </w:rPr>
            </w:pPr>
            <w:r>
              <w:rPr>
                <w:color w:val="000000"/>
              </w:rPr>
              <w:t xml:space="preserve">Dans la prochaine, étape le projet s’intéressera aux jeunes des partis politiques à travers un appui du PNUD en partenariat avec l’ONG NDI. </w:t>
            </w:r>
            <w:r>
              <w:rPr>
                <w:b/>
                <w:color w:val="000000"/>
              </w:rPr>
              <w:lastRenderedPageBreak/>
              <w:t>Cette activité sera</w:t>
            </w:r>
            <w:r w:rsidR="00375167" w:rsidRPr="004A7D27">
              <w:rPr>
                <w:b/>
                <w:color w:val="000000"/>
              </w:rPr>
              <w:t xml:space="preserve"> </w:t>
            </w:r>
            <w:r>
              <w:rPr>
                <w:b/>
                <w:color w:val="000000"/>
              </w:rPr>
              <w:t>orientée sur</w:t>
            </w:r>
            <w:r w:rsidR="00375167" w:rsidRPr="004A7D27">
              <w:rPr>
                <w:b/>
                <w:color w:val="000000"/>
              </w:rPr>
              <w:t xml:space="preserve"> la formation </w:t>
            </w:r>
            <w:r>
              <w:rPr>
                <w:b/>
                <w:color w:val="000000"/>
              </w:rPr>
              <w:t xml:space="preserve">en leadership et le renforcement de capacités </w:t>
            </w:r>
            <w:r w:rsidR="00375167" w:rsidRPr="004A7D27">
              <w:rPr>
                <w:b/>
                <w:color w:val="000000"/>
              </w:rPr>
              <w:t xml:space="preserve">de jeunes leaders des partis politiques </w:t>
            </w:r>
            <w:r>
              <w:rPr>
                <w:b/>
                <w:color w:val="000000"/>
              </w:rPr>
              <w:t>sur le management des partis politiques, la connaissance de la constitution et l’entrée par les programmes. Cette activité s’inscrit dans le cadre de l’accompagnement des leaders politiques dans la mise en place d’une gestion conforme aux principes de la construction et du renforcement d’une Nations à travers la coexistence pacifique et cohésion sociale</w:t>
            </w:r>
            <w:r w:rsidR="00925A53" w:rsidRPr="004A7D27">
              <w:rPr>
                <w:b/>
                <w:color w:val="000000"/>
              </w:rPr>
              <w:t xml:space="preserve">. </w:t>
            </w:r>
            <w:r w:rsidR="00375167" w:rsidRPr="004A7D27">
              <w:rPr>
                <w:b/>
                <w:color w:val="000000"/>
              </w:rPr>
              <w:t>Des discussions sont e</w:t>
            </w:r>
            <w:r w:rsidR="00D62294" w:rsidRPr="004A7D27">
              <w:rPr>
                <w:b/>
                <w:color w:val="000000"/>
              </w:rPr>
              <w:t>n cours avec NDI</w:t>
            </w:r>
            <w:r w:rsidR="00375167" w:rsidRPr="004A7D27">
              <w:rPr>
                <w:color w:val="000000"/>
              </w:rPr>
              <w:t xml:space="preserve"> </w:t>
            </w:r>
          </w:p>
          <w:p w14:paraId="123E5E51" w14:textId="77777777" w:rsidR="00CF6D08" w:rsidRPr="004A7D27" w:rsidRDefault="00CF6D08" w:rsidP="005718ED">
            <w:pPr>
              <w:autoSpaceDE w:val="0"/>
              <w:autoSpaceDN w:val="0"/>
              <w:adjustRightInd w:val="0"/>
              <w:jc w:val="both"/>
              <w:rPr>
                <w:color w:val="000000"/>
              </w:rPr>
            </w:pPr>
          </w:p>
          <w:p w14:paraId="7DB51746" w14:textId="77777777" w:rsidR="00CF6D08" w:rsidRPr="004A7D27" w:rsidRDefault="00CF6D08" w:rsidP="005718ED">
            <w:pPr>
              <w:autoSpaceDE w:val="0"/>
              <w:autoSpaceDN w:val="0"/>
              <w:adjustRightInd w:val="0"/>
              <w:jc w:val="both"/>
              <w:rPr>
                <w:color w:val="000000"/>
              </w:rPr>
            </w:pPr>
          </w:p>
          <w:p w14:paraId="274ACE12" w14:textId="77777777" w:rsidR="00CF6D08" w:rsidRPr="004A7D27" w:rsidRDefault="00CF6D08" w:rsidP="005718ED">
            <w:pPr>
              <w:autoSpaceDE w:val="0"/>
              <w:autoSpaceDN w:val="0"/>
              <w:adjustRightInd w:val="0"/>
              <w:jc w:val="both"/>
              <w:rPr>
                <w:color w:val="000000"/>
              </w:rPr>
            </w:pPr>
          </w:p>
          <w:p w14:paraId="7BD042E8" w14:textId="77777777" w:rsidR="00CF6D08" w:rsidRPr="004A7D27" w:rsidRDefault="00CF6D08" w:rsidP="005718ED">
            <w:pPr>
              <w:autoSpaceDE w:val="0"/>
              <w:autoSpaceDN w:val="0"/>
              <w:adjustRightInd w:val="0"/>
              <w:jc w:val="both"/>
              <w:rPr>
                <w:color w:val="000000"/>
              </w:rPr>
            </w:pPr>
          </w:p>
          <w:p w14:paraId="7FA3AB39" w14:textId="77777777" w:rsidR="00CF6D08" w:rsidRPr="004A7D27" w:rsidRDefault="00CF6D08" w:rsidP="005718ED">
            <w:pPr>
              <w:autoSpaceDE w:val="0"/>
              <w:autoSpaceDN w:val="0"/>
              <w:adjustRightInd w:val="0"/>
              <w:jc w:val="both"/>
              <w:rPr>
                <w:color w:val="000000"/>
              </w:rPr>
            </w:pPr>
          </w:p>
          <w:p w14:paraId="44ECAE1B" w14:textId="77777777" w:rsidR="00CF6D08" w:rsidRPr="004A7D27" w:rsidRDefault="00CF6D08" w:rsidP="005718ED">
            <w:pPr>
              <w:autoSpaceDE w:val="0"/>
              <w:autoSpaceDN w:val="0"/>
              <w:adjustRightInd w:val="0"/>
              <w:jc w:val="both"/>
              <w:rPr>
                <w:color w:val="000000"/>
              </w:rPr>
            </w:pPr>
          </w:p>
          <w:p w14:paraId="46E01A26" w14:textId="77777777" w:rsidR="00CF6D08" w:rsidRPr="004A7D27" w:rsidRDefault="00CF6D08" w:rsidP="005718ED">
            <w:pPr>
              <w:autoSpaceDE w:val="0"/>
              <w:autoSpaceDN w:val="0"/>
              <w:adjustRightInd w:val="0"/>
              <w:jc w:val="both"/>
              <w:rPr>
                <w:color w:val="000000"/>
              </w:rPr>
            </w:pPr>
          </w:p>
          <w:p w14:paraId="1E580391" w14:textId="77777777" w:rsidR="00CF6D08" w:rsidRPr="004A7D27" w:rsidRDefault="00CF6D08" w:rsidP="005718ED">
            <w:pPr>
              <w:autoSpaceDE w:val="0"/>
              <w:autoSpaceDN w:val="0"/>
              <w:adjustRightInd w:val="0"/>
              <w:jc w:val="both"/>
              <w:rPr>
                <w:color w:val="000000"/>
              </w:rPr>
            </w:pPr>
          </w:p>
          <w:p w14:paraId="318D8A66" w14:textId="77777777" w:rsidR="00CF6D08" w:rsidRPr="004A7D27" w:rsidRDefault="00CF6D08" w:rsidP="005718ED">
            <w:pPr>
              <w:autoSpaceDE w:val="0"/>
              <w:autoSpaceDN w:val="0"/>
              <w:adjustRightInd w:val="0"/>
              <w:jc w:val="both"/>
              <w:rPr>
                <w:color w:val="000000"/>
              </w:rPr>
            </w:pPr>
          </w:p>
          <w:p w14:paraId="1E0331CA" w14:textId="77777777" w:rsidR="00CF6D08" w:rsidRPr="004A7D27" w:rsidRDefault="00CF6D08" w:rsidP="005718ED">
            <w:pPr>
              <w:autoSpaceDE w:val="0"/>
              <w:autoSpaceDN w:val="0"/>
              <w:adjustRightInd w:val="0"/>
              <w:jc w:val="both"/>
              <w:rPr>
                <w:color w:val="000000"/>
              </w:rPr>
            </w:pPr>
          </w:p>
          <w:p w14:paraId="7B99D7D7" w14:textId="77777777" w:rsidR="00CF6D08" w:rsidRPr="004A7D27" w:rsidRDefault="00CF6D08" w:rsidP="005718ED">
            <w:pPr>
              <w:autoSpaceDE w:val="0"/>
              <w:autoSpaceDN w:val="0"/>
              <w:adjustRightInd w:val="0"/>
              <w:jc w:val="both"/>
              <w:rPr>
                <w:color w:val="000000"/>
              </w:rPr>
            </w:pPr>
          </w:p>
          <w:p w14:paraId="57FA3B8E" w14:textId="77777777" w:rsidR="00CF6D08" w:rsidRPr="004A7D27" w:rsidRDefault="00CF6D08" w:rsidP="005718ED">
            <w:pPr>
              <w:autoSpaceDE w:val="0"/>
              <w:autoSpaceDN w:val="0"/>
              <w:adjustRightInd w:val="0"/>
              <w:jc w:val="both"/>
              <w:rPr>
                <w:color w:val="000000"/>
              </w:rPr>
            </w:pPr>
          </w:p>
          <w:p w14:paraId="35CB9885" w14:textId="77777777" w:rsidR="00CF6D08" w:rsidRPr="004A7D27" w:rsidRDefault="00CF6D08" w:rsidP="005718ED">
            <w:pPr>
              <w:autoSpaceDE w:val="0"/>
              <w:autoSpaceDN w:val="0"/>
              <w:adjustRightInd w:val="0"/>
              <w:jc w:val="both"/>
              <w:rPr>
                <w:color w:val="000000"/>
              </w:rPr>
            </w:pPr>
          </w:p>
          <w:p w14:paraId="5EA6E94D" w14:textId="77777777" w:rsidR="00CF6D08" w:rsidRPr="004A7D27" w:rsidRDefault="00CF6D08" w:rsidP="005718ED">
            <w:pPr>
              <w:autoSpaceDE w:val="0"/>
              <w:autoSpaceDN w:val="0"/>
              <w:adjustRightInd w:val="0"/>
              <w:jc w:val="both"/>
              <w:rPr>
                <w:color w:val="000000"/>
              </w:rPr>
            </w:pPr>
          </w:p>
          <w:p w14:paraId="445117A6" w14:textId="77777777" w:rsidR="00CF6D08" w:rsidRPr="004A7D27" w:rsidRDefault="00CF6D08" w:rsidP="005718ED">
            <w:pPr>
              <w:autoSpaceDE w:val="0"/>
              <w:autoSpaceDN w:val="0"/>
              <w:adjustRightInd w:val="0"/>
              <w:jc w:val="both"/>
              <w:rPr>
                <w:color w:val="000000"/>
              </w:rPr>
            </w:pPr>
          </w:p>
          <w:p w14:paraId="76050BA0" w14:textId="77777777" w:rsidR="00CF6D08" w:rsidRPr="004A7D27" w:rsidRDefault="00CF6D08" w:rsidP="005718ED">
            <w:pPr>
              <w:autoSpaceDE w:val="0"/>
              <w:autoSpaceDN w:val="0"/>
              <w:adjustRightInd w:val="0"/>
              <w:jc w:val="both"/>
              <w:rPr>
                <w:color w:val="000000"/>
              </w:rPr>
            </w:pPr>
          </w:p>
          <w:p w14:paraId="3A9BEE8A" w14:textId="77777777" w:rsidR="00CF6D08" w:rsidRPr="004A7D27" w:rsidRDefault="00CF6D08" w:rsidP="005718ED">
            <w:pPr>
              <w:autoSpaceDE w:val="0"/>
              <w:autoSpaceDN w:val="0"/>
              <w:adjustRightInd w:val="0"/>
              <w:jc w:val="both"/>
              <w:rPr>
                <w:color w:val="000000"/>
              </w:rPr>
            </w:pPr>
          </w:p>
          <w:p w14:paraId="0B1AEFE4" w14:textId="77777777" w:rsidR="00CF6D08" w:rsidRPr="004A7D27" w:rsidRDefault="00CF6D08" w:rsidP="005718ED">
            <w:pPr>
              <w:autoSpaceDE w:val="0"/>
              <w:autoSpaceDN w:val="0"/>
              <w:adjustRightInd w:val="0"/>
              <w:jc w:val="both"/>
              <w:rPr>
                <w:color w:val="000000"/>
              </w:rPr>
            </w:pPr>
          </w:p>
          <w:p w14:paraId="2371A372" w14:textId="77777777" w:rsidR="00CF6D08" w:rsidRPr="004A7D27" w:rsidRDefault="00CF6D08" w:rsidP="005718ED">
            <w:pPr>
              <w:autoSpaceDE w:val="0"/>
              <w:autoSpaceDN w:val="0"/>
              <w:adjustRightInd w:val="0"/>
              <w:jc w:val="both"/>
              <w:rPr>
                <w:color w:val="000000"/>
              </w:rPr>
            </w:pPr>
          </w:p>
          <w:p w14:paraId="599806EF" w14:textId="77777777" w:rsidR="00CF6D08" w:rsidRPr="004A7D27" w:rsidRDefault="00CF6D08" w:rsidP="005718ED">
            <w:pPr>
              <w:autoSpaceDE w:val="0"/>
              <w:autoSpaceDN w:val="0"/>
              <w:adjustRightInd w:val="0"/>
              <w:jc w:val="both"/>
              <w:rPr>
                <w:color w:val="000000"/>
              </w:rPr>
            </w:pPr>
          </w:p>
          <w:p w14:paraId="384ED358" w14:textId="77777777" w:rsidR="00CF6D08" w:rsidRPr="004A7D27" w:rsidRDefault="00CF6D08" w:rsidP="005718ED">
            <w:pPr>
              <w:autoSpaceDE w:val="0"/>
              <w:autoSpaceDN w:val="0"/>
              <w:adjustRightInd w:val="0"/>
              <w:jc w:val="both"/>
              <w:rPr>
                <w:color w:val="000000"/>
              </w:rPr>
            </w:pPr>
          </w:p>
          <w:p w14:paraId="430EAC9D" w14:textId="77777777" w:rsidR="00CF6D08" w:rsidRPr="004A7D27" w:rsidRDefault="00CF6D08" w:rsidP="005718ED">
            <w:pPr>
              <w:autoSpaceDE w:val="0"/>
              <w:autoSpaceDN w:val="0"/>
              <w:adjustRightInd w:val="0"/>
              <w:jc w:val="both"/>
              <w:rPr>
                <w:color w:val="000000"/>
              </w:rPr>
            </w:pPr>
          </w:p>
          <w:p w14:paraId="2500CE1E" w14:textId="77777777" w:rsidR="00CF6D08" w:rsidRPr="004A7D27" w:rsidRDefault="00CF6D08" w:rsidP="005718ED">
            <w:pPr>
              <w:autoSpaceDE w:val="0"/>
              <w:autoSpaceDN w:val="0"/>
              <w:adjustRightInd w:val="0"/>
              <w:jc w:val="both"/>
              <w:rPr>
                <w:color w:val="000000"/>
              </w:rPr>
            </w:pPr>
          </w:p>
          <w:p w14:paraId="2AF00887" w14:textId="77777777" w:rsidR="00CF6D08" w:rsidRPr="004A7D27" w:rsidRDefault="00CF6D08" w:rsidP="005718ED">
            <w:pPr>
              <w:autoSpaceDE w:val="0"/>
              <w:autoSpaceDN w:val="0"/>
              <w:adjustRightInd w:val="0"/>
              <w:jc w:val="both"/>
              <w:rPr>
                <w:color w:val="000000"/>
              </w:rPr>
            </w:pPr>
          </w:p>
          <w:p w14:paraId="5583DC4A" w14:textId="77777777" w:rsidR="00CF6D08" w:rsidRPr="004A7D27" w:rsidRDefault="00CF6D08" w:rsidP="005718ED">
            <w:pPr>
              <w:autoSpaceDE w:val="0"/>
              <w:autoSpaceDN w:val="0"/>
              <w:adjustRightInd w:val="0"/>
              <w:jc w:val="both"/>
              <w:rPr>
                <w:color w:val="000000"/>
              </w:rPr>
            </w:pPr>
          </w:p>
          <w:p w14:paraId="3EA6D408" w14:textId="77777777" w:rsidR="00CF6D08" w:rsidRPr="004A7D27" w:rsidRDefault="00CF6D08" w:rsidP="005718ED">
            <w:pPr>
              <w:autoSpaceDE w:val="0"/>
              <w:autoSpaceDN w:val="0"/>
              <w:adjustRightInd w:val="0"/>
              <w:jc w:val="both"/>
              <w:rPr>
                <w:color w:val="000000"/>
              </w:rPr>
            </w:pPr>
          </w:p>
          <w:p w14:paraId="212105E2" w14:textId="77777777" w:rsidR="00CF6D08" w:rsidRPr="004A7D27" w:rsidRDefault="00CF6D08" w:rsidP="005718ED">
            <w:pPr>
              <w:autoSpaceDE w:val="0"/>
              <w:autoSpaceDN w:val="0"/>
              <w:adjustRightInd w:val="0"/>
              <w:jc w:val="both"/>
              <w:rPr>
                <w:color w:val="000000"/>
              </w:rPr>
            </w:pPr>
          </w:p>
          <w:p w14:paraId="0AEB73D0" w14:textId="77777777" w:rsidR="00CF6D08" w:rsidRPr="004A7D27" w:rsidRDefault="00CF6D08" w:rsidP="005718ED">
            <w:pPr>
              <w:autoSpaceDE w:val="0"/>
              <w:autoSpaceDN w:val="0"/>
              <w:adjustRightInd w:val="0"/>
              <w:jc w:val="both"/>
              <w:rPr>
                <w:color w:val="000000"/>
              </w:rPr>
            </w:pPr>
          </w:p>
          <w:p w14:paraId="05C6BBB2" w14:textId="77777777" w:rsidR="00CF6D08" w:rsidRPr="004A7D27" w:rsidRDefault="00CF6D08" w:rsidP="005718ED">
            <w:pPr>
              <w:autoSpaceDE w:val="0"/>
              <w:autoSpaceDN w:val="0"/>
              <w:adjustRightInd w:val="0"/>
              <w:jc w:val="both"/>
              <w:rPr>
                <w:color w:val="000000"/>
              </w:rPr>
            </w:pPr>
          </w:p>
          <w:p w14:paraId="341B59EE" w14:textId="77777777" w:rsidR="00CF6D08" w:rsidRPr="004A7D27" w:rsidRDefault="00CF6D08" w:rsidP="005718ED">
            <w:pPr>
              <w:autoSpaceDE w:val="0"/>
              <w:autoSpaceDN w:val="0"/>
              <w:adjustRightInd w:val="0"/>
              <w:jc w:val="both"/>
              <w:rPr>
                <w:color w:val="000000"/>
              </w:rPr>
            </w:pPr>
          </w:p>
          <w:p w14:paraId="1855D721" w14:textId="77777777" w:rsidR="00CF6D08" w:rsidRPr="004A7D27" w:rsidRDefault="00CF6D08" w:rsidP="005718ED">
            <w:pPr>
              <w:autoSpaceDE w:val="0"/>
              <w:autoSpaceDN w:val="0"/>
              <w:adjustRightInd w:val="0"/>
              <w:jc w:val="both"/>
            </w:pPr>
          </w:p>
          <w:p w14:paraId="302AD465" w14:textId="77777777" w:rsidR="00CF6D08" w:rsidRPr="004A7D27" w:rsidRDefault="00CF6D08" w:rsidP="005718ED">
            <w:pPr>
              <w:autoSpaceDE w:val="0"/>
              <w:autoSpaceDN w:val="0"/>
              <w:adjustRightInd w:val="0"/>
              <w:jc w:val="both"/>
            </w:pPr>
          </w:p>
        </w:tc>
      </w:tr>
    </w:tbl>
    <w:p w14:paraId="38708C3A" w14:textId="77777777" w:rsidR="00CF6D08" w:rsidRPr="004A7D27" w:rsidRDefault="00CF6D08" w:rsidP="00913BF5">
      <w:pPr>
        <w:outlineLvl w:val="0"/>
      </w:pPr>
    </w:p>
    <w:p w14:paraId="50C04BEF" w14:textId="77777777" w:rsidR="00CF6D08" w:rsidRPr="004A7D27" w:rsidRDefault="00CF6D08" w:rsidP="00F11DAC">
      <w:pPr>
        <w:outlineLvl w:val="0"/>
      </w:pPr>
    </w:p>
    <w:p w14:paraId="7C2DF8DF" w14:textId="77777777" w:rsidR="00CF6D08" w:rsidRPr="004A7D27" w:rsidRDefault="00CF6D08" w:rsidP="00F11DAC">
      <w:pPr>
        <w:outlineLvl w:val="0"/>
        <w:sectPr w:rsidR="00CF6D08" w:rsidRPr="004A7D27" w:rsidSect="00444BDC">
          <w:footerReference w:type="even" r:id="rId10"/>
          <w:footerReference w:type="default" r:id="rId11"/>
          <w:pgSz w:w="12240" w:h="15840"/>
          <w:pgMar w:top="0" w:right="1800" w:bottom="562" w:left="1800" w:header="720" w:footer="720" w:gutter="0"/>
          <w:pgNumType w:start="1"/>
          <w:cols w:space="720"/>
          <w:docGrid w:linePitch="360"/>
        </w:sectPr>
      </w:pPr>
    </w:p>
    <w:p w14:paraId="0AB1762E" w14:textId="77777777" w:rsidR="00CF6D08" w:rsidRPr="004A7D27" w:rsidRDefault="00CF6D08" w:rsidP="00F11DAC">
      <w:r w:rsidRPr="004A7D27">
        <w:rPr>
          <w:b/>
          <w:lang w:eastAsia="en-US"/>
        </w:rPr>
        <w:lastRenderedPageBreak/>
        <w:t>EVALUATION DE LA PERFORMANCE A PARTIR D’INDICATEURS:</w:t>
      </w:r>
      <w:r w:rsidRPr="004A7D27">
        <w:rPr>
          <w:b/>
        </w:rPr>
        <w:t xml:space="preserve"> </w:t>
      </w:r>
      <w:r w:rsidR="009A739E" w:rsidRPr="004A7D27">
        <w:rPr>
          <w:bCs/>
          <w:i/>
        </w:rPr>
        <w:t xml:space="preserve"> </w:t>
      </w:r>
    </w:p>
    <w:p w14:paraId="550F7D3B" w14:textId="77777777" w:rsidR="00CF6D08" w:rsidRPr="004A7D27" w:rsidRDefault="00CF6D08" w:rsidP="00F11DAC">
      <w:pPr>
        <w:outlineLvl w:val="0"/>
      </w:pPr>
    </w:p>
    <w:tbl>
      <w:tblPr>
        <w:tblpPr w:leftFromText="141" w:rightFromText="141" w:vertAnchor="text" w:tblpY="1"/>
        <w:tblOverlap w:val="never"/>
        <w:tblW w:w="15472"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980"/>
        <w:gridCol w:w="1932"/>
        <w:gridCol w:w="2290"/>
        <w:gridCol w:w="2430"/>
        <w:gridCol w:w="3150"/>
        <w:gridCol w:w="2160"/>
      </w:tblGrid>
      <w:tr w:rsidR="00CF6D08" w:rsidRPr="004A7D27" w14:paraId="549549CF" w14:textId="77777777" w:rsidTr="004A7D27">
        <w:tc>
          <w:tcPr>
            <w:tcW w:w="1530" w:type="dxa"/>
          </w:tcPr>
          <w:p w14:paraId="4E4414F4" w14:textId="77777777" w:rsidR="00CF6D08" w:rsidRPr="004A7D27" w:rsidRDefault="00CF6D08" w:rsidP="004A7D27">
            <w:pPr>
              <w:jc w:val="center"/>
              <w:rPr>
                <w:b/>
              </w:rPr>
            </w:pPr>
          </w:p>
        </w:tc>
        <w:tc>
          <w:tcPr>
            <w:tcW w:w="1980" w:type="dxa"/>
          </w:tcPr>
          <w:p w14:paraId="24E4AA49" w14:textId="77777777" w:rsidR="00CF6D08" w:rsidRPr="004A7D27" w:rsidRDefault="00CF6D08" w:rsidP="004A7D27">
            <w:pPr>
              <w:jc w:val="center"/>
              <w:outlineLvl w:val="0"/>
              <w:rPr>
                <w:b/>
              </w:rPr>
            </w:pPr>
            <w:r w:rsidRPr="004A7D27">
              <w:rPr>
                <w:b/>
              </w:rPr>
              <w:t>Indicateurs de performance</w:t>
            </w:r>
          </w:p>
        </w:tc>
        <w:tc>
          <w:tcPr>
            <w:tcW w:w="1932" w:type="dxa"/>
          </w:tcPr>
          <w:p w14:paraId="73657D98" w14:textId="77777777" w:rsidR="00CF6D08" w:rsidRPr="004A7D27" w:rsidRDefault="00CF6D08" w:rsidP="004A7D27">
            <w:pPr>
              <w:jc w:val="center"/>
              <w:outlineLvl w:val="0"/>
              <w:rPr>
                <w:b/>
              </w:rPr>
            </w:pPr>
            <w:r w:rsidRPr="004A7D27">
              <w:rPr>
                <w:b/>
              </w:rPr>
              <w:t>Données de référence en tant qu’indicateurs</w:t>
            </w:r>
          </w:p>
        </w:tc>
        <w:tc>
          <w:tcPr>
            <w:tcW w:w="2290" w:type="dxa"/>
          </w:tcPr>
          <w:p w14:paraId="17903093" w14:textId="77777777" w:rsidR="00CF6D08" w:rsidRPr="004A7D27" w:rsidRDefault="00CF6D08" w:rsidP="004A7D27">
            <w:pPr>
              <w:jc w:val="center"/>
              <w:outlineLvl w:val="0"/>
              <w:rPr>
                <w:b/>
              </w:rPr>
            </w:pPr>
            <w:r w:rsidRPr="004A7D27">
              <w:rPr>
                <w:b/>
              </w:rPr>
              <w:t>Cibles fixées en termes d’indicateurs</w:t>
            </w:r>
          </w:p>
        </w:tc>
        <w:tc>
          <w:tcPr>
            <w:tcW w:w="2430" w:type="dxa"/>
          </w:tcPr>
          <w:p w14:paraId="11A430BA" w14:textId="77777777" w:rsidR="00CF6D08" w:rsidRPr="004A7D27" w:rsidRDefault="00CF6D08" w:rsidP="004A7D27">
            <w:pPr>
              <w:jc w:val="center"/>
              <w:outlineLvl w:val="0"/>
              <w:rPr>
                <w:b/>
              </w:rPr>
            </w:pPr>
            <w:r w:rsidRPr="004A7D27">
              <w:rPr>
                <w:b/>
              </w:rPr>
              <w:t>Cibles atteintes</w:t>
            </w:r>
          </w:p>
        </w:tc>
        <w:tc>
          <w:tcPr>
            <w:tcW w:w="3150" w:type="dxa"/>
          </w:tcPr>
          <w:p w14:paraId="62EE0152" w14:textId="77777777" w:rsidR="00CF6D08" w:rsidRPr="004A7D27" w:rsidRDefault="00CF6D08" w:rsidP="004A7D27">
            <w:pPr>
              <w:jc w:val="center"/>
              <w:outlineLvl w:val="0"/>
              <w:rPr>
                <w:b/>
              </w:rPr>
            </w:pPr>
            <w:r w:rsidRPr="004A7D27">
              <w:rPr>
                <w:b/>
              </w:rPr>
              <w:t>Raisons expliquant l’écart éventuel</w:t>
            </w:r>
          </w:p>
        </w:tc>
        <w:tc>
          <w:tcPr>
            <w:tcW w:w="2160" w:type="dxa"/>
          </w:tcPr>
          <w:p w14:paraId="5FB59801" w14:textId="77777777" w:rsidR="00CF6D08" w:rsidRPr="004A7D27" w:rsidRDefault="00CF6D08" w:rsidP="004A7D27">
            <w:pPr>
              <w:jc w:val="center"/>
              <w:outlineLvl w:val="0"/>
              <w:rPr>
                <w:b/>
              </w:rPr>
            </w:pPr>
            <w:r w:rsidRPr="004A7D27">
              <w:rPr>
                <w:b/>
              </w:rPr>
              <w:t>Risques</w:t>
            </w:r>
          </w:p>
        </w:tc>
      </w:tr>
      <w:tr w:rsidR="00CF6D08" w:rsidRPr="004A7D27" w14:paraId="09FDC559" w14:textId="77777777" w:rsidTr="004A7D27">
        <w:trPr>
          <w:trHeight w:val="422"/>
        </w:trPr>
        <w:tc>
          <w:tcPr>
            <w:tcW w:w="1530" w:type="dxa"/>
          </w:tcPr>
          <w:p w14:paraId="7E3D762B" w14:textId="77777777" w:rsidR="00CF6D08" w:rsidRPr="004A7D27" w:rsidRDefault="00CF6D08" w:rsidP="004A7D27">
            <w:r w:rsidRPr="004A7D27">
              <w:t>Produit  2</w:t>
            </w:r>
          </w:p>
          <w:p w14:paraId="16EB4603" w14:textId="77777777" w:rsidR="00CF6D08" w:rsidRPr="004A7D27" w:rsidRDefault="00746C5B" w:rsidP="004A7D27">
            <w:pPr>
              <w:rPr>
                <w:b/>
              </w:rPr>
            </w:pPr>
            <w:r w:rsidRPr="004A7D27">
              <w:t>Promotion d’une culture de la paix et de non violence en période pré et post électorale</w:t>
            </w:r>
          </w:p>
        </w:tc>
        <w:tc>
          <w:tcPr>
            <w:tcW w:w="1980" w:type="dxa"/>
          </w:tcPr>
          <w:p w14:paraId="5AE99444" w14:textId="77777777" w:rsidR="00CF6D08" w:rsidRPr="004A7D27" w:rsidRDefault="00CF6D08" w:rsidP="004A7D27">
            <w:pPr>
              <w:jc w:val="both"/>
            </w:pPr>
            <w:r w:rsidRPr="004A7D27">
              <w:t>Indicateur</w:t>
            </w:r>
          </w:p>
          <w:p w14:paraId="4DE9D0DD" w14:textId="77777777" w:rsidR="00746C5B" w:rsidRPr="004A7D27" w:rsidRDefault="00746C5B" w:rsidP="004A7D27">
            <w:pPr>
              <w:jc w:val="both"/>
            </w:pPr>
            <w:r w:rsidRPr="004A7D27">
              <w:t>Les membres de l’ONG Conscience Citoyenne ont participé à la création de 130 Clubs d’éducation à la paix</w:t>
            </w:r>
          </w:p>
          <w:p w14:paraId="1DFE9829" w14:textId="77777777" w:rsidR="00AC22F5" w:rsidRPr="004A7D27" w:rsidRDefault="00AC22F5" w:rsidP="004A7D27">
            <w:pPr>
              <w:jc w:val="both"/>
            </w:pPr>
          </w:p>
          <w:p w14:paraId="4B20299F" w14:textId="77777777" w:rsidR="00AC22F5" w:rsidRPr="004A7D27" w:rsidRDefault="00AC22F5" w:rsidP="004A7D27">
            <w:pPr>
              <w:jc w:val="both"/>
            </w:pPr>
          </w:p>
          <w:p w14:paraId="2BE9929A" w14:textId="77777777" w:rsidR="00AC22F5" w:rsidRPr="004A7D27" w:rsidRDefault="00AC22F5" w:rsidP="004A7D27">
            <w:pPr>
              <w:jc w:val="both"/>
            </w:pPr>
          </w:p>
          <w:p w14:paraId="3AA9EF9E" w14:textId="77777777" w:rsidR="00AC22F5" w:rsidRPr="004A7D27" w:rsidRDefault="00AC22F5" w:rsidP="004A7D27">
            <w:pPr>
              <w:jc w:val="both"/>
            </w:pPr>
          </w:p>
          <w:p w14:paraId="245A59CA" w14:textId="77777777" w:rsidR="00AC22F5" w:rsidRPr="004A7D27" w:rsidRDefault="00AC22F5" w:rsidP="004A7D27">
            <w:pPr>
              <w:jc w:val="both"/>
            </w:pPr>
          </w:p>
          <w:p w14:paraId="3933689C" w14:textId="77777777" w:rsidR="00AC22F5" w:rsidRPr="004A7D27" w:rsidRDefault="00AC22F5" w:rsidP="004A7D27">
            <w:pPr>
              <w:jc w:val="both"/>
            </w:pPr>
          </w:p>
          <w:p w14:paraId="0440F46E" w14:textId="77777777" w:rsidR="00AC22F5" w:rsidRPr="004A7D27" w:rsidRDefault="00AC22F5" w:rsidP="004A7D27">
            <w:pPr>
              <w:jc w:val="both"/>
            </w:pPr>
          </w:p>
          <w:p w14:paraId="4AEDC593" w14:textId="77777777" w:rsidR="00AC22F5" w:rsidRPr="004A7D27" w:rsidRDefault="00AC22F5" w:rsidP="004A7D27">
            <w:pPr>
              <w:jc w:val="both"/>
            </w:pPr>
          </w:p>
          <w:p w14:paraId="1EC17949" w14:textId="77777777" w:rsidR="00AC22F5" w:rsidRPr="004A7D27" w:rsidRDefault="00AC22F5" w:rsidP="004A7D27">
            <w:pPr>
              <w:jc w:val="both"/>
            </w:pPr>
          </w:p>
          <w:p w14:paraId="7F56BA09" w14:textId="77777777" w:rsidR="00AC22F5" w:rsidRPr="004A7D27" w:rsidRDefault="00AC22F5" w:rsidP="004A7D27">
            <w:pPr>
              <w:jc w:val="both"/>
            </w:pPr>
          </w:p>
          <w:p w14:paraId="3D2BE747" w14:textId="77777777" w:rsidR="00AC22F5" w:rsidRPr="004A7D27" w:rsidRDefault="00AC22F5" w:rsidP="004A7D27">
            <w:pPr>
              <w:jc w:val="both"/>
            </w:pPr>
          </w:p>
          <w:p w14:paraId="585459F2" w14:textId="77777777" w:rsidR="00AC22F5" w:rsidRPr="004A7D27" w:rsidRDefault="00AC22F5" w:rsidP="004A7D27">
            <w:pPr>
              <w:jc w:val="both"/>
            </w:pPr>
          </w:p>
          <w:p w14:paraId="370B79DF" w14:textId="77777777" w:rsidR="00AC22F5" w:rsidRPr="004A7D27" w:rsidRDefault="00AC22F5" w:rsidP="004A7D27">
            <w:pPr>
              <w:jc w:val="both"/>
            </w:pPr>
          </w:p>
          <w:p w14:paraId="4E4F3B80" w14:textId="77777777" w:rsidR="00AC22F5" w:rsidRPr="004A7D27" w:rsidRDefault="00AC22F5" w:rsidP="004A7D27">
            <w:pPr>
              <w:jc w:val="both"/>
            </w:pPr>
          </w:p>
          <w:p w14:paraId="50AA6F05" w14:textId="77777777" w:rsidR="00AC22F5" w:rsidRPr="004A7D27" w:rsidRDefault="00AC22F5" w:rsidP="004A7D27">
            <w:pPr>
              <w:jc w:val="both"/>
            </w:pPr>
          </w:p>
          <w:p w14:paraId="357204A2" w14:textId="77777777" w:rsidR="00AC22F5" w:rsidRPr="004A7D27" w:rsidRDefault="00AC22F5" w:rsidP="004A7D27">
            <w:pPr>
              <w:jc w:val="both"/>
            </w:pPr>
          </w:p>
          <w:p w14:paraId="72289151" w14:textId="77777777" w:rsidR="00AC22F5" w:rsidRPr="004A7D27" w:rsidRDefault="00AC22F5" w:rsidP="004A7D27">
            <w:pPr>
              <w:jc w:val="both"/>
            </w:pPr>
          </w:p>
          <w:p w14:paraId="195BC1CC" w14:textId="77777777" w:rsidR="00AC22F5" w:rsidRPr="004A7D27" w:rsidRDefault="00AC22F5" w:rsidP="004A7D27">
            <w:pPr>
              <w:jc w:val="both"/>
            </w:pPr>
          </w:p>
          <w:p w14:paraId="70265BD7" w14:textId="77777777" w:rsidR="00AC22F5" w:rsidRPr="004A7D27" w:rsidRDefault="00AC22F5" w:rsidP="004A7D27">
            <w:pPr>
              <w:jc w:val="both"/>
            </w:pPr>
          </w:p>
          <w:p w14:paraId="0A9E31CF" w14:textId="77777777" w:rsidR="00AC22F5" w:rsidRPr="004A7D27" w:rsidRDefault="00AC22F5" w:rsidP="004A7D27">
            <w:pPr>
              <w:jc w:val="both"/>
            </w:pPr>
          </w:p>
          <w:p w14:paraId="71E9787C" w14:textId="77777777" w:rsidR="00AC22F5" w:rsidRPr="004A7D27" w:rsidRDefault="00AC22F5" w:rsidP="004A7D27">
            <w:pPr>
              <w:jc w:val="both"/>
            </w:pPr>
          </w:p>
          <w:p w14:paraId="24C02648" w14:textId="77777777" w:rsidR="00AC22F5" w:rsidRPr="004A7D27" w:rsidRDefault="00AC22F5" w:rsidP="004A7D27">
            <w:pPr>
              <w:jc w:val="both"/>
            </w:pPr>
          </w:p>
          <w:p w14:paraId="7A896E19" w14:textId="77777777" w:rsidR="00AC22F5" w:rsidRPr="004A7D27" w:rsidRDefault="00AC22F5" w:rsidP="004A7D27">
            <w:pPr>
              <w:jc w:val="both"/>
            </w:pPr>
          </w:p>
          <w:p w14:paraId="05519C0A" w14:textId="77777777" w:rsidR="00AC22F5" w:rsidRPr="004A7D27" w:rsidRDefault="00AC22F5" w:rsidP="004A7D27">
            <w:pPr>
              <w:jc w:val="both"/>
            </w:pPr>
          </w:p>
          <w:p w14:paraId="26DBCEED" w14:textId="77777777" w:rsidR="00AC22F5" w:rsidRPr="004A7D27" w:rsidRDefault="00AC22F5" w:rsidP="004A7D27">
            <w:pPr>
              <w:jc w:val="both"/>
            </w:pPr>
          </w:p>
          <w:p w14:paraId="599E22C7" w14:textId="77777777" w:rsidR="00AC22F5" w:rsidRPr="004A7D27" w:rsidRDefault="00AC22F5" w:rsidP="004A7D27">
            <w:pPr>
              <w:jc w:val="both"/>
            </w:pPr>
          </w:p>
          <w:p w14:paraId="22A90D7A" w14:textId="77777777" w:rsidR="00AC22F5" w:rsidRPr="004A7D27" w:rsidRDefault="00AC22F5" w:rsidP="004A7D27">
            <w:pPr>
              <w:jc w:val="both"/>
            </w:pPr>
          </w:p>
          <w:p w14:paraId="4A76CB59" w14:textId="77777777" w:rsidR="00AC22F5" w:rsidRPr="004A7D27" w:rsidRDefault="00AC22F5" w:rsidP="004A7D27">
            <w:pPr>
              <w:jc w:val="both"/>
            </w:pPr>
          </w:p>
          <w:p w14:paraId="4A6400DB" w14:textId="77777777" w:rsidR="00AC22F5" w:rsidRPr="004A7D27" w:rsidRDefault="00AC22F5" w:rsidP="004A7D27">
            <w:pPr>
              <w:jc w:val="both"/>
            </w:pPr>
          </w:p>
          <w:p w14:paraId="79819E22" w14:textId="77777777" w:rsidR="00AC22F5" w:rsidRPr="004A7D27" w:rsidRDefault="00AC22F5" w:rsidP="004A7D27">
            <w:r w:rsidRPr="004A7D27">
              <w:t>Deux équipes de formateurs de la DNEC ont organisé des ateliers de formation en dans 7 préfectures en éducation à la citoyenneté et la culture de paix.</w:t>
            </w:r>
          </w:p>
          <w:p w14:paraId="7C9C709D" w14:textId="77777777" w:rsidR="00AC22F5" w:rsidRPr="004A7D27" w:rsidRDefault="00AC22F5" w:rsidP="004A7D27">
            <w:pPr>
              <w:jc w:val="both"/>
            </w:pPr>
          </w:p>
        </w:tc>
        <w:tc>
          <w:tcPr>
            <w:tcW w:w="1932" w:type="dxa"/>
          </w:tcPr>
          <w:p w14:paraId="18993764" w14:textId="77777777" w:rsidR="00CF6D08" w:rsidRPr="004A7D27" w:rsidRDefault="00CF6D08" w:rsidP="004A7D27"/>
        </w:tc>
        <w:tc>
          <w:tcPr>
            <w:tcW w:w="2290" w:type="dxa"/>
          </w:tcPr>
          <w:p w14:paraId="48EEB0A6" w14:textId="77777777" w:rsidR="00CF6D08" w:rsidRPr="004A7D27" w:rsidRDefault="00CF6D08" w:rsidP="004A7D27"/>
        </w:tc>
        <w:tc>
          <w:tcPr>
            <w:tcW w:w="2430" w:type="dxa"/>
          </w:tcPr>
          <w:p w14:paraId="07FBA86D" w14:textId="77777777" w:rsidR="00CF6D08" w:rsidRPr="004A7D27" w:rsidRDefault="00746C5B" w:rsidP="004A7D27">
            <w:r w:rsidRPr="004A7D27">
              <w:t>130 clubs d’</w:t>
            </w:r>
            <w:r w:rsidR="00AC22F5" w:rsidRPr="004A7D27">
              <w:t>animation d</w:t>
            </w:r>
            <w:r w:rsidRPr="004A7D27">
              <w:t>’éducation à la paix installés</w:t>
            </w:r>
          </w:p>
          <w:p w14:paraId="5C790216" w14:textId="77777777" w:rsidR="00746C5B" w:rsidRPr="004A7D27" w:rsidRDefault="00746C5B" w:rsidP="004A7D27">
            <w:pPr>
              <w:numPr>
                <w:ilvl w:val="0"/>
                <w:numId w:val="4"/>
              </w:numPr>
              <w:spacing w:before="60" w:after="60" w:line="276" w:lineRule="auto"/>
              <w:ind w:left="170" w:hanging="120"/>
              <w:rPr>
                <w:color w:val="000000"/>
              </w:rPr>
            </w:pPr>
            <w:r w:rsidRPr="004A7D27">
              <w:rPr>
                <w:color w:val="000000"/>
              </w:rPr>
              <w:t>8 réunions techniques d’orientation, de planification, de suivi et d’évaluation du projet organisées ;</w:t>
            </w:r>
          </w:p>
          <w:p w14:paraId="2951F171" w14:textId="77777777" w:rsidR="00746C5B" w:rsidRPr="004A7D27" w:rsidRDefault="00746C5B" w:rsidP="004A7D27">
            <w:pPr>
              <w:numPr>
                <w:ilvl w:val="0"/>
                <w:numId w:val="4"/>
              </w:numPr>
              <w:spacing w:before="60" w:after="60" w:line="276" w:lineRule="auto"/>
              <w:ind w:left="170" w:hanging="120"/>
              <w:rPr>
                <w:color w:val="000000"/>
              </w:rPr>
            </w:pPr>
            <w:r w:rsidRPr="004A7D27">
              <w:rPr>
                <w:color w:val="000000"/>
              </w:rPr>
              <w:t>130 séances de sensibilisation et d’information de proximité (porte à porte) sur les avantages du projet  organisées ;</w:t>
            </w:r>
          </w:p>
          <w:p w14:paraId="47A841A9" w14:textId="77777777" w:rsidR="00746C5B" w:rsidRPr="004A7D27" w:rsidRDefault="00AC22F5" w:rsidP="004A7D27">
            <w:pPr>
              <w:rPr>
                <w:color w:val="000000"/>
              </w:rPr>
            </w:pPr>
            <w:r w:rsidRPr="004A7D27">
              <w:rPr>
                <w:color w:val="000000"/>
              </w:rPr>
              <w:t>130 consultations restreintes sont organisées pour désigner et valider les listes des membres des clubs par quartier </w:t>
            </w:r>
          </w:p>
          <w:p w14:paraId="1CEBC06C" w14:textId="77777777" w:rsidR="00AC22F5" w:rsidRPr="004A7D27" w:rsidRDefault="00AC22F5" w:rsidP="004A7D27">
            <w:pPr>
              <w:numPr>
                <w:ilvl w:val="0"/>
                <w:numId w:val="4"/>
              </w:numPr>
              <w:spacing w:before="60" w:after="60" w:line="276" w:lineRule="auto"/>
              <w:ind w:left="170" w:hanging="120"/>
              <w:rPr>
                <w:color w:val="000000"/>
              </w:rPr>
            </w:pPr>
            <w:r w:rsidRPr="004A7D27">
              <w:rPr>
                <w:color w:val="000000"/>
              </w:rPr>
              <w:lastRenderedPageBreak/>
              <w:t>260 membres des clubs ont bénéficié de capacités en adéquation avec leur mission ;</w:t>
            </w:r>
          </w:p>
          <w:p w14:paraId="1B41A26A" w14:textId="77777777" w:rsidR="00AC22F5" w:rsidRPr="004A7D27" w:rsidRDefault="00AC22F5" w:rsidP="004A7D27">
            <w:pPr>
              <w:numPr>
                <w:ilvl w:val="0"/>
                <w:numId w:val="4"/>
              </w:numPr>
              <w:spacing w:before="60" w:after="60" w:line="276" w:lineRule="auto"/>
              <w:ind w:left="170" w:hanging="120"/>
              <w:rPr>
                <w:color w:val="000000"/>
              </w:rPr>
            </w:pPr>
            <w:r w:rsidRPr="004A7D27">
              <w:rPr>
                <w:color w:val="000000"/>
              </w:rPr>
              <w:t>130 ateliers de restitutions sont organisés par les clubs pour partager et diffuser les acquis ;</w:t>
            </w:r>
          </w:p>
          <w:p w14:paraId="4000724F" w14:textId="77777777" w:rsidR="00403CCD" w:rsidRPr="004A7D27" w:rsidRDefault="00403CCD" w:rsidP="004A7D27">
            <w:pPr>
              <w:spacing w:before="60" w:after="60" w:line="276" w:lineRule="auto"/>
              <w:rPr>
                <w:color w:val="000000"/>
              </w:rPr>
            </w:pPr>
          </w:p>
          <w:p w14:paraId="6C2E0435" w14:textId="77777777" w:rsidR="00403CCD" w:rsidRPr="004A7D27" w:rsidRDefault="00403CCD" w:rsidP="004A7D27">
            <w:pPr>
              <w:spacing w:before="60" w:after="60" w:line="276" w:lineRule="auto"/>
              <w:rPr>
                <w:color w:val="000000"/>
              </w:rPr>
            </w:pPr>
            <w:r w:rsidRPr="004A7D27">
              <w:rPr>
                <w:color w:val="000000"/>
              </w:rPr>
              <w:t xml:space="preserve">350 acteurs politiques organisations de  jeunes de femmes formés en éducation </w:t>
            </w:r>
          </w:p>
          <w:p w14:paraId="3C645858" w14:textId="77777777" w:rsidR="00AC22F5" w:rsidRPr="004A7D27" w:rsidRDefault="00403CCD" w:rsidP="004A7D27">
            <w:r w:rsidRPr="004A7D27">
              <w:t>à la citoyenneté et à la culture de paix</w:t>
            </w:r>
          </w:p>
          <w:p w14:paraId="709E01CE" w14:textId="77777777" w:rsidR="00403CCD" w:rsidRPr="004A7D27" w:rsidRDefault="00403CCD" w:rsidP="004A7D27"/>
          <w:p w14:paraId="78B833DE" w14:textId="77777777" w:rsidR="00403CCD" w:rsidRPr="004A7D27" w:rsidRDefault="00403CCD" w:rsidP="004A7D27">
            <w:r w:rsidRPr="004A7D27">
              <w:t>diffusion d’émissions radiophoniques sur l’éducation à la citoyenneté et à la culture de paix (radio rurale et communautaire)</w:t>
            </w:r>
          </w:p>
        </w:tc>
        <w:tc>
          <w:tcPr>
            <w:tcW w:w="3150" w:type="dxa"/>
          </w:tcPr>
          <w:p w14:paraId="4DAACB8D" w14:textId="77777777" w:rsidR="00CF6D08" w:rsidRPr="004A7D27" w:rsidRDefault="00CF6D08" w:rsidP="004A7D27"/>
        </w:tc>
        <w:tc>
          <w:tcPr>
            <w:tcW w:w="2160" w:type="dxa"/>
          </w:tcPr>
          <w:p w14:paraId="2C4FBC76" w14:textId="77777777" w:rsidR="00CF6D08" w:rsidRPr="004A7D27" w:rsidRDefault="00CF6D08" w:rsidP="004A7D27"/>
        </w:tc>
      </w:tr>
    </w:tbl>
    <w:p w14:paraId="6788AFEF" w14:textId="77777777" w:rsidR="00CF6D08" w:rsidRPr="004A7D27" w:rsidRDefault="004A7D27" w:rsidP="00F11DAC">
      <w:pPr>
        <w:outlineLvl w:val="0"/>
      </w:pPr>
      <w:r>
        <w:lastRenderedPageBreak/>
        <w:br w:type="textWrapping" w:clear="all"/>
      </w:r>
    </w:p>
    <w:sectPr w:rsidR="00CF6D08" w:rsidRPr="004A7D27" w:rsidSect="00F11DAC">
      <w:head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FBC28" w14:textId="77777777" w:rsidR="00BF7527" w:rsidRDefault="00BF7527">
      <w:r>
        <w:separator/>
      </w:r>
    </w:p>
  </w:endnote>
  <w:endnote w:type="continuationSeparator" w:id="0">
    <w:p w14:paraId="4C099100" w14:textId="77777777" w:rsidR="00BF7527" w:rsidRDefault="00B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CE71" w14:textId="77777777" w:rsidR="00BF7527" w:rsidRDefault="00BF7527"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14:paraId="332D94DA" w14:textId="77777777" w:rsidR="00BF7527" w:rsidRDefault="00BF7527" w:rsidP="00A54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348A" w14:textId="77777777" w:rsidR="00BF7527" w:rsidRDefault="00BF7527"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4336DF">
      <w:rPr>
        <w:rStyle w:val="PageNumber"/>
        <w:rFonts w:cs="Tahoma"/>
        <w:noProof/>
      </w:rPr>
      <w:t>1</w:t>
    </w:r>
    <w:r>
      <w:rPr>
        <w:rStyle w:val="PageNumber"/>
        <w:rFonts w:cs="Tahoma"/>
      </w:rPr>
      <w:fldChar w:fldCharType="end"/>
    </w:r>
  </w:p>
  <w:p w14:paraId="662D7AF5" w14:textId="77777777" w:rsidR="00BF7527" w:rsidRDefault="00BF7527" w:rsidP="00A540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B71C" w14:textId="77777777" w:rsidR="00BF7527" w:rsidRDefault="00BF7527" w:rsidP="00F11DAC">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4336DF">
      <w:rPr>
        <w:rStyle w:val="PageNumber"/>
        <w:rFonts w:cs="Tahoma"/>
        <w:noProof/>
      </w:rPr>
      <w:t>6</w:t>
    </w:r>
    <w:r>
      <w:rPr>
        <w:rStyle w:val="PageNumber"/>
        <w:rFonts w:cs="Tahoma"/>
      </w:rPr>
      <w:fldChar w:fldCharType="end"/>
    </w:r>
  </w:p>
  <w:p w14:paraId="0994A583" w14:textId="77777777" w:rsidR="00BF7527" w:rsidRDefault="00BF7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52D4" w14:textId="77777777" w:rsidR="00BF7527" w:rsidRDefault="00BF7527">
      <w:r>
        <w:separator/>
      </w:r>
    </w:p>
  </w:footnote>
  <w:footnote w:type="continuationSeparator" w:id="0">
    <w:p w14:paraId="1450566E" w14:textId="77777777" w:rsidR="00BF7527" w:rsidRDefault="00BF7527">
      <w:r>
        <w:continuationSeparator/>
      </w:r>
    </w:p>
  </w:footnote>
  <w:footnote w:id="1">
    <w:p w14:paraId="395AB92F" w14:textId="77777777" w:rsidR="00BF7527" w:rsidRPr="005C2770" w:rsidRDefault="00BF7527" w:rsidP="00913BF5">
      <w:pPr>
        <w:pStyle w:val="FootnoteText"/>
        <w:rPr>
          <w:lang w:val="fr-FR"/>
        </w:rPr>
      </w:pPr>
      <w:r w:rsidRPr="00831E8E">
        <w:rPr>
          <w:rStyle w:val="FootnoteReference"/>
          <w:sz w:val="18"/>
          <w:szCs w:val="18"/>
        </w:rPr>
        <w:footnoteRef/>
      </w:r>
      <w:r w:rsidRPr="00831E8E">
        <w:rPr>
          <w:sz w:val="18"/>
          <w:szCs w:val="18"/>
          <w:lang w:val="fr-FR"/>
        </w:rPr>
        <w:t xml:space="preserve"> Veuillez noter que, s’il y a plusieurs organes, un seul rapport de projet – consolidé - doit être soumis. </w:t>
      </w:r>
    </w:p>
  </w:footnote>
  <w:footnote w:id="2">
    <w:p w14:paraId="687F2453" w14:textId="77777777" w:rsidR="00BF7527" w:rsidRPr="005C2770" w:rsidRDefault="00BF7527" w:rsidP="00913BF5">
      <w:pPr>
        <w:pStyle w:val="FootnoteText"/>
        <w:rPr>
          <w:lang w:val="fr-FR"/>
        </w:rPr>
      </w:pPr>
      <w:r w:rsidRPr="00831E8E">
        <w:rPr>
          <w:rStyle w:val="FootnoteReference"/>
          <w:sz w:val="18"/>
          <w:szCs w:val="18"/>
        </w:rPr>
        <w:footnoteRef/>
      </w:r>
      <w:r w:rsidRPr="00831E8E">
        <w:rPr>
          <w:sz w:val="18"/>
          <w:szCs w:val="18"/>
          <w:lang w:val="fr-FR"/>
        </w:rPr>
        <w:t xml:space="preserve"> Par </w:t>
      </w:r>
      <w:r>
        <w:rPr>
          <w:sz w:val="18"/>
          <w:szCs w:val="18"/>
          <w:lang w:val="fr-FR"/>
        </w:rPr>
        <w:t>« </w:t>
      </w:r>
      <w:r w:rsidRPr="00831E8E">
        <w:rPr>
          <w:sz w:val="18"/>
          <w:szCs w:val="18"/>
          <w:lang w:val="fr-FR"/>
        </w:rPr>
        <w:t>budget approuvé</w:t>
      </w:r>
      <w:r>
        <w:rPr>
          <w:sz w:val="18"/>
          <w:szCs w:val="18"/>
          <w:lang w:val="fr-FR"/>
        </w:rPr>
        <w:t> »</w:t>
      </w:r>
      <w:r w:rsidRPr="00831E8E">
        <w:rPr>
          <w:sz w:val="18"/>
          <w:szCs w:val="18"/>
          <w:lang w:val="fr-FR"/>
        </w:rPr>
        <w:t xml:space="preserve">, il faut entendre le montant total des fonds versés aux </w:t>
      </w:r>
      <w:r>
        <w:rPr>
          <w:sz w:val="18"/>
          <w:szCs w:val="18"/>
          <w:lang w:val="fr-FR"/>
        </w:rPr>
        <w:t>organe</w:t>
      </w:r>
      <w:r w:rsidRPr="00831E8E">
        <w:rPr>
          <w:sz w:val="18"/>
          <w:szCs w:val="18"/>
          <w:lang w:val="fr-FR"/>
        </w:rPr>
        <w:t xml:space="preserve">s bénéficiaires. </w:t>
      </w:r>
    </w:p>
  </w:footnote>
  <w:footnote w:id="3">
    <w:p w14:paraId="70A185B3" w14:textId="77777777" w:rsidR="00BF7527" w:rsidRPr="005C2770" w:rsidRDefault="00BF7527" w:rsidP="00CA7429">
      <w:pPr>
        <w:pStyle w:val="FootnoteText"/>
        <w:rPr>
          <w:lang w:val="fr-FR"/>
        </w:rPr>
      </w:pPr>
      <w:r w:rsidRPr="00831E8E">
        <w:rPr>
          <w:rStyle w:val="FootnoteReference"/>
          <w:sz w:val="18"/>
          <w:szCs w:val="18"/>
        </w:rPr>
        <w:footnoteRef/>
      </w:r>
      <w:r w:rsidRPr="00831E8E">
        <w:rPr>
          <w:sz w:val="18"/>
          <w:szCs w:val="18"/>
          <w:lang w:val="fr-FR"/>
        </w:rPr>
        <w:t xml:space="preserve"> Par </w:t>
      </w:r>
      <w:r>
        <w:rPr>
          <w:sz w:val="18"/>
          <w:szCs w:val="18"/>
          <w:lang w:val="fr-FR"/>
        </w:rPr>
        <w:t>« </w:t>
      </w:r>
      <w:r w:rsidRPr="00831E8E">
        <w:rPr>
          <w:sz w:val="18"/>
          <w:szCs w:val="18"/>
          <w:lang w:val="fr-FR"/>
        </w:rPr>
        <w:t>Fonds engagés</w:t>
      </w:r>
      <w:r>
        <w:rPr>
          <w:sz w:val="18"/>
          <w:szCs w:val="18"/>
          <w:lang w:val="fr-FR"/>
        </w:rPr>
        <w:t> »</w:t>
      </w:r>
      <w:r w:rsidRPr="00831E8E">
        <w:rPr>
          <w:sz w:val="18"/>
          <w:szCs w:val="18"/>
          <w:lang w:val="fr-FR"/>
        </w:rPr>
        <w:t xml:space="preserve">, il faut entendre les engagements de services et d’activités pris dans le cadre de contrats juridiques, conformément aux règles et procédures financiers des </w:t>
      </w:r>
      <w:r>
        <w:rPr>
          <w:sz w:val="18"/>
          <w:szCs w:val="18"/>
          <w:lang w:val="fr-FR"/>
        </w:rPr>
        <w:t>organe</w:t>
      </w:r>
      <w:r w:rsidRPr="00831E8E">
        <w:rPr>
          <w:sz w:val="18"/>
          <w:szCs w:val="18"/>
          <w:lang w:val="fr-FR"/>
        </w:rPr>
        <w:t xml:space="preserve">s bénéficiaires </w:t>
      </w:r>
    </w:p>
  </w:footnote>
  <w:footnote w:id="4">
    <w:p w14:paraId="7F932666" w14:textId="77777777" w:rsidR="00BF7527" w:rsidRPr="005C2770" w:rsidRDefault="00BF7527">
      <w:pPr>
        <w:pStyle w:val="FootnoteText"/>
        <w:rPr>
          <w:lang w:val="fr-FR"/>
        </w:rPr>
      </w:pPr>
      <w:r w:rsidRPr="00831E8E">
        <w:rPr>
          <w:rStyle w:val="FootnoteReference"/>
          <w:sz w:val="18"/>
          <w:szCs w:val="18"/>
        </w:rPr>
        <w:footnoteRef/>
      </w:r>
      <w:r w:rsidRPr="00831E8E">
        <w:rPr>
          <w:sz w:val="18"/>
          <w:szCs w:val="18"/>
          <w:lang w:val="fr-FR"/>
        </w:rPr>
        <w:t xml:space="preserve"> Paiements effectifs (contrats, services, travaux), dans le cadre des engagements pris.</w:t>
      </w:r>
    </w:p>
  </w:footnote>
  <w:footnote w:id="5">
    <w:p w14:paraId="4B35195B" w14:textId="77777777" w:rsidR="00BF7527" w:rsidRPr="005C2770" w:rsidRDefault="00BF7527">
      <w:pPr>
        <w:pStyle w:val="FootnoteText"/>
        <w:rPr>
          <w:lang w:val="fr-FR"/>
        </w:rPr>
      </w:pPr>
      <w:r w:rsidRPr="00831E8E">
        <w:rPr>
          <w:rStyle w:val="FootnoteReference"/>
          <w:sz w:val="18"/>
          <w:szCs w:val="18"/>
        </w:rPr>
        <w:footnoteRef/>
      </w:r>
      <w:r w:rsidRPr="00831E8E">
        <w:rPr>
          <w:sz w:val="18"/>
          <w:szCs w:val="18"/>
          <w:lang w:val="fr-FR"/>
        </w:rPr>
        <w:t xml:space="preserve"> Se référer aux domaines définis dans le cadre du Plan des priorités ou du Plan directeur du PBF</w:t>
      </w:r>
      <w:r>
        <w:rPr>
          <w:sz w:val="18"/>
          <w:szCs w:val="18"/>
          <w:lang w:val="fr-FR"/>
        </w:rPr>
        <w:t xml:space="preserve"> (PMP)</w:t>
      </w:r>
      <w:r w:rsidRPr="00831E8E">
        <w:rPr>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C262" w14:textId="77777777" w:rsidR="00BF7527" w:rsidRDefault="00BF7527" w:rsidP="00EC1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AF20E" w14:textId="77777777" w:rsidR="00BF7527" w:rsidRDefault="00BF7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B89"/>
    <w:multiLevelType w:val="hybridMultilevel"/>
    <w:tmpl w:val="7C6E151C"/>
    <w:lvl w:ilvl="0" w:tplc="ABA0A9BE">
      <w:start w:val="1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0ED7BDA"/>
    <w:multiLevelType w:val="hybridMultilevel"/>
    <w:tmpl w:val="4FAA8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91353F"/>
    <w:multiLevelType w:val="hybridMultilevel"/>
    <w:tmpl w:val="B6A8E208"/>
    <w:lvl w:ilvl="0" w:tplc="0D7CBBFA">
      <w:numFmt w:val="bullet"/>
      <w:lvlText w:val="-"/>
      <w:lvlJc w:val="left"/>
      <w:pPr>
        <w:ind w:left="720" w:hanging="360"/>
      </w:pPr>
      <w:rPr>
        <w:rFonts w:ascii="Candara" w:eastAsia="Times New Roman" w:hAnsi="Candara"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AD0516"/>
    <w:multiLevelType w:val="hybridMultilevel"/>
    <w:tmpl w:val="7D5CA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781"/>
    <w:rsid w:val="00000B40"/>
    <w:rsid w:val="00001E49"/>
    <w:rsid w:val="00003415"/>
    <w:rsid w:val="00004401"/>
    <w:rsid w:val="0000600A"/>
    <w:rsid w:val="00006D54"/>
    <w:rsid w:val="00007B30"/>
    <w:rsid w:val="00007BC1"/>
    <w:rsid w:val="000116C1"/>
    <w:rsid w:val="0001585B"/>
    <w:rsid w:val="00015C58"/>
    <w:rsid w:val="000164AE"/>
    <w:rsid w:val="00022ACB"/>
    <w:rsid w:val="000232E0"/>
    <w:rsid w:val="000234F4"/>
    <w:rsid w:val="000256FA"/>
    <w:rsid w:val="00026454"/>
    <w:rsid w:val="000314C3"/>
    <w:rsid w:val="0003210A"/>
    <w:rsid w:val="00033959"/>
    <w:rsid w:val="00036291"/>
    <w:rsid w:val="00036E35"/>
    <w:rsid w:val="000435B1"/>
    <w:rsid w:val="000440E9"/>
    <w:rsid w:val="00044194"/>
    <w:rsid w:val="000445F1"/>
    <w:rsid w:val="00044EF4"/>
    <w:rsid w:val="0004701E"/>
    <w:rsid w:val="00047A98"/>
    <w:rsid w:val="00050376"/>
    <w:rsid w:val="00051516"/>
    <w:rsid w:val="00051E3A"/>
    <w:rsid w:val="00054DCB"/>
    <w:rsid w:val="00055CA5"/>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815B9"/>
    <w:rsid w:val="00083FC2"/>
    <w:rsid w:val="0009016D"/>
    <w:rsid w:val="000909BE"/>
    <w:rsid w:val="00091616"/>
    <w:rsid w:val="000949C9"/>
    <w:rsid w:val="000961B9"/>
    <w:rsid w:val="000A14A2"/>
    <w:rsid w:val="000A21E7"/>
    <w:rsid w:val="000A483D"/>
    <w:rsid w:val="000A5A77"/>
    <w:rsid w:val="000B08F7"/>
    <w:rsid w:val="000B1923"/>
    <w:rsid w:val="000B3020"/>
    <w:rsid w:val="000B4388"/>
    <w:rsid w:val="000B7AFA"/>
    <w:rsid w:val="000C1E2D"/>
    <w:rsid w:val="000C663B"/>
    <w:rsid w:val="000D3582"/>
    <w:rsid w:val="000D5162"/>
    <w:rsid w:val="000D637F"/>
    <w:rsid w:val="000D6F3F"/>
    <w:rsid w:val="000D7806"/>
    <w:rsid w:val="000E20A9"/>
    <w:rsid w:val="000E20E0"/>
    <w:rsid w:val="000E222E"/>
    <w:rsid w:val="000E2244"/>
    <w:rsid w:val="000E4422"/>
    <w:rsid w:val="000E5282"/>
    <w:rsid w:val="000E56D7"/>
    <w:rsid w:val="000E5DD6"/>
    <w:rsid w:val="000E7CC1"/>
    <w:rsid w:val="000E7FB6"/>
    <w:rsid w:val="000F04C6"/>
    <w:rsid w:val="000F17B2"/>
    <w:rsid w:val="000F3A75"/>
    <w:rsid w:val="00105995"/>
    <w:rsid w:val="001079CC"/>
    <w:rsid w:val="00110DDD"/>
    <w:rsid w:val="00111C9C"/>
    <w:rsid w:val="00112D95"/>
    <w:rsid w:val="0011440F"/>
    <w:rsid w:val="00114717"/>
    <w:rsid w:val="0011559A"/>
    <w:rsid w:val="00116120"/>
    <w:rsid w:val="001169F1"/>
    <w:rsid w:val="00122DC1"/>
    <w:rsid w:val="0012466B"/>
    <w:rsid w:val="00131EE4"/>
    <w:rsid w:val="00132CB9"/>
    <w:rsid w:val="00133BD3"/>
    <w:rsid w:val="001377E8"/>
    <w:rsid w:val="0014011C"/>
    <w:rsid w:val="00140706"/>
    <w:rsid w:val="001473C0"/>
    <w:rsid w:val="001519D1"/>
    <w:rsid w:val="00151F6F"/>
    <w:rsid w:val="00152115"/>
    <w:rsid w:val="00152378"/>
    <w:rsid w:val="001527E8"/>
    <w:rsid w:val="00152E92"/>
    <w:rsid w:val="00154290"/>
    <w:rsid w:val="001576EA"/>
    <w:rsid w:val="001607BA"/>
    <w:rsid w:val="00163695"/>
    <w:rsid w:val="001662E1"/>
    <w:rsid w:val="001700D9"/>
    <w:rsid w:val="00170556"/>
    <w:rsid w:val="00171F6E"/>
    <w:rsid w:val="00172EA3"/>
    <w:rsid w:val="00173E5B"/>
    <w:rsid w:val="0017581B"/>
    <w:rsid w:val="001822CA"/>
    <w:rsid w:val="001836FF"/>
    <w:rsid w:val="00184AD1"/>
    <w:rsid w:val="00184B1C"/>
    <w:rsid w:val="00192C0F"/>
    <w:rsid w:val="001A222A"/>
    <w:rsid w:val="001A37C9"/>
    <w:rsid w:val="001A43F0"/>
    <w:rsid w:val="001A5E0B"/>
    <w:rsid w:val="001A6CBC"/>
    <w:rsid w:val="001B6574"/>
    <w:rsid w:val="001B67A1"/>
    <w:rsid w:val="001C171D"/>
    <w:rsid w:val="001C3D48"/>
    <w:rsid w:val="001C6983"/>
    <w:rsid w:val="001D1819"/>
    <w:rsid w:val="001D280D"/>
    <w:rsid w:val="001D2AAC"/>
    <w:rsid w:val="001E4DCF"/>
    <w:rsid w:val="001E5296"/>
    <w:rsid w:val="001E5490"/>
    <w:rsid w:val="001E79E5"/>
    <w:rsid w:val="001F0026"/>
    <w:rsid w:val="001F269E"/>
    <w:rsid w:val="001F33F1"/>
    <w:rsid w:val="001F40E3"/>
    <w:rsid w:val="001F47E7"/>
    <w:rsid w:val="001F6F2F"/>
    <w:rsid w:val="001F7C1C"/>
    <w:rsid w:val="00202126"/>
    <w:rsid w:val="002036CC"/>
    <w:rsid w:val="00203C63"/>
    <w:rsid w:val="0021092C"/>
    <w:rsid w:val="002139A1"/>
    <w:rsid w:val="00216361"/>
    <w:rsid w:val="002167F3"/>
    <w:rsid w:val="0021731C"/>
    <w:rsid w:val="00223DF7"/>
    <w:rsid w:val="0022562F"/>
    <w:rsid w:val="0022642C"/>
    <w:rsid w:val="00231319"/>
    <w:rsid w:val="00231573"/>
    <w:rsid w:val="00231E0F"/>
    <w:rsid w:val="00231E45"/>
    <w:rsid w:val="00240103"/>
    <w:rsid w:val="00240E17"/>
    <w:rsid w:val="00241E68"/>
    <w:rsid w:val="0024221A"/>
    <w:rsid w:val="00243BD4"/>
    <w:rsid w:val="0024567C"/>
    <w:rsid w:val="00246D67"/>
    <w:rsid w:val="0024716E"/>
    <w:rsid w:val="00247557"/>
    <w:rsid w:val="0025103B"/>
    <w:rsid w:val="002518FB"/>
    <w:rsid w:val="00252830"/>
    <w:rsid w:val="002534D1"/>
    <w:rsid w:val="00253822"/>
    <w:rsid w:val="00253B25"/>
    <w:rsid w:val="00257F89"/>
    <w:rsid w:val="0026324A"/>
    <w:rsid w:val="0027031A"/>
    <w:rsid w:val="002715AD"/>
    <w:rsid w:val="00272907"/>
    <w:rsid w:val="00272BDB"/>
    <w:rsid w:val="0027398B"/>
    <w:rsid w:val="00275D16"/>
    <w:rsid w:val="0028032D"/>
    <w:rsid w:val="00282180"/>
    <w:rsid w:val="002828C1"/>
    <w:rsid w:val="00283362"/>
    <w:rsid w:val="00287829"/>
    <w:rsid w:val="00293B3A"/>
    <w:rsid w:val="00294791"/>
    <w:rsid w:val="0029694B"/>
    <w:rsid w:val="00297385"/>
    <w:rsid w:val="00297516"/>
    <w:rsid w:val="002A4481"/>
    <w:rsid w:val="002A4982"/>
    <w:rsid w:val="002B056D"/>
    <w:rsid w:val="002B0660"/>
    <w:rsid w:val="002B1876"/>
    <w:rsid w:val="002B222B"/>
    <w:rsid w:val="002B31EF"/>
    <w:rsid w:val="002B32E5"/>
    <w:rsid w:val="002C20F1"/>
    <w:rsid w:val="002C5958"/>
    <w:rsid w:val="002C6D27"/>
    <w:rsid w:val="002C73D4"/>
    <w:rsid w:val="002D105C"/>
    <w:rsid w:val="002D1712"/>
    <w:rsid w:val="002D359A"/>
    <w:rsid w:val="002D3F09"/>
    <w:rsid w:val="002D4116"/>
    <w:rsid w:val="002D5DF4"/>
    <w:rsid w:val="002D7970"/>
    <w:rsid w:val="002D7D73"/>
    <w:rsid w:val="002E0C2B"/>
    <w:rsid w:val="002E39FB"/>
    <w:rsid w:val="002E5AE5"/>
    <w:rsid w:val="002E78FA"/>
    <w:rsid w:val="002F17D3"/>
    <w:rsid w:val="002F29D9"/>
    <w:rsid w:val="002F672E"/>
    <w:rsid w:val="002F69C6"/>
    <w:rsid w:val="002F6F9A"/>
    <w:rsid w:val="0030076E"/>
    <w:rsid w:val="003029D7"/>
    <w:rsid w:val="00302A7B"/>
    <w:rsid w:val="00304929"/>
    <w:rsid w:val="00304C5E"/>
    <w:rsid w:val="003056C7"/>
    <w:rsid w:val="00310519"/>
    <w:rsid w:val="00310E18"/>
    <w:rsid w:val="003153D6"/>
    <w:rsid w:val="00316BDB"/>
    <w:rsid w:val="00317C09"/>
    <w:rsid w:val="00317EDC"/>
    <w:rsid w:val="003236F5"/>
    <w:rsid w:val="00332795"/>
    <w:rsid w:val="00332F6C"/>
    <w:rsid w:val="003344F4"/>
    <w:rsid w:val="003411B4"/>
    <w:rsid w:val="003423D0"/>
    <w:rsid w:val="00342CAC"/>
    <w:rsid w:val="00343FB0"/>
    <w:rsid w:val="00345956"/>
    <w:rsid w:val="00347FBC"/>
    <w:rsid w:val="00351BF9"/>
    <w:rsid w:val="00351DC5"/>
    <w:rsid w:val="00352446"/>
    <w:rsid w:val="00354BF1"/>
    <w:rsid w:val="0035519D"/>
    <w:rsid w:val="00362F26"/>
    <w:rsid w:val="00370882"/>
    <w:rsid w:val="003717E7"/>
    <w:rsid w:val="0037226B"/>
    <w:rsid w:val="0037263B"/>
    <w:rsid w:val="00373CAF"/>
    <w:rsid w:val="00374251"/>
    <w:rsid w:val="00375167"/>
    <w:rsid w:val="00382990"/>
    <w:rsid w:val="00384C8C"/>
    <w:rsid w:val="0038672F"/>
    <w:rsid w:val="003917BB"/>
    <w:rsid w:val="00391CBF"/>
    <w:rsid w:val="003976B5"/>
    <w:rsid w:val="003A069A"/>
    <w:rsid w:val="003A4E7F"/>
    <w:rsid w:val="003B0A11"/>
    <w:rsid w:val="003B3457"/>
    <w:rsid w:val="003B5289"/>
    <w:rsid w:val="003C3526"/>
    <w:rsid w:val="003C377A"/>
    <w:rsid w:val="003C40C4"/>
    <w:rsid w:val="003C4DF5"/>
    <w:rsid w:val="003C5543"/>
    <w:rsid w:val="003D1A08"/>
    <w:rsid w:val="003D1AA7"/>
    <w:rsid w:val="003D50C7"/>
    <w:rsid w:val="003E4838"/>
    <w:rsid w:val="003E48F9"/>
    <w:rsid w:val="003E791B"/>
    <w:rsid w:val="003E7E5E"/>
    <w:rsid w:val="003F01A8"/>
    <w:rsid w:val="003F17F5"/>
    <w:rsid w:val="003F3DA5"/>
    <w:rsid w:val="004021CB"/>
    <w:rsid w:val="00403CCD"/>
    <w:rsid w:val="0040574D"/>
    <w:rsid w:val="00406858"/>
    <w:rsid w:val="00414041"/>
    <w:rsid w:val="004154D6"/>
    <w:rsid w:val="00415EFE"/>
    <w:rsid w:val="0042137C"/>
    <w:rsid w:val="00425304"/>
    <w:rsid w:val="00425664"/>
    <w:rsid w:val="004259C7"/>
    <w:rsid w:val="004266A6"/>
    <w:rsid w:val="00433561"/>
    <w:rsid w:val="004336DF"/>
    <w:rsid w:val="00435D0C"/>
    <w:rsid w:val="00437CA3"/>
    <w:rsid w:val="00440713"/>
    <w:rsid w:val="00443DB4"/>
    <w:rsid w:val="00444BDC"/>
    <w:rsid w:val="0044507A"/>
    <w:rsid w:val="00445B9D"/>
    <w:rsid w:val="00450B6E"/>
    <w:rsid w:val="00450BB2"/>
    <w:rsid w:val="00450F6C"/>
    <w:rsid w:val="00451B93"/>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801A7"/>
    <w:rsid w:val="004855DB"/>
    <w:rsid w:val="0048739A"/>
    <w:rsid w:val="0049081F"/>
    <w:rsid w:val="004925FD"/>
    <w:rsid w:val="004958E3"/>
    <w:rsid w:val="004A44E3"/>
    <w:rsid w:val="004A5EDB"/>
    <w:rsid w:val="004A760C"/>
    <w:rsid w:val="004A7D27"/>
    <w:rsid w:val="004B68F6"/>
    <w:rsid w:val="004B708D"/>
    <w:rsid w:val="004B7EBF"/>
    <w:rsid w:val="004C210D"/>
    <w:rsid w:val="004D445C"/>
    <w:rsid w:val="004D4C2B"/>
    <w:rsid w:val="004D5E5E"/>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6CBC"/>
    <w:rsid w:val="005070D8"/>
    <w:rsid w:val="0051171E"/>
    <w:rsid w:val="00511EF1"/>
    <w:rsid w:val="005161F9"/>
    <w:rsid w:val="00517642"/>
    <w:rsid w:val="00517BFC"/>
    <w:rsid w:val="005206D6"/>
    <w:rsid w:val="005206F2"/>
    <w:rsid w:val="0052365C"/>
    <w:rsid w:val="00526AC9"/>
    <w:rsid w:val="00527264"/>
    <w:rsid w:val="00527731"/>
    <w:rsid w:val="0053054F"/>
    <w:rsid w:val="00530B10"/>
    <w:rsid w:val="005327CC"/>
    <w:rsid w:val="00532CBB"/>
    <w:rsid w:val="00537241"/>
    <w:rsid w:val="00537D9F"/>
    <w:rsid w:val="005440CA"/>
    <w:rsid w:val="005501B5"/>
    <w:rsid w:val="005511BA"/>
    <w:rsid w:val="00553721"/>
    <w:rsid w:val="005562ED"/>
    <w:rsid w:val="00557073"/>
    <w:rsid w:val="00557348"/>
    <w:rsid w:val="0056097D"/>
    <w:rsid w:val="005642EE"/>
    <w:rsid w:val="0056460A"/>
    <w:rsid w:val="005675A0"/>
    <w:rsid w:val="00567F17"/>
    <w:rsid w:val="005718ED"/>
    <w:rsid w:val="00573D5E"/>
    <w:rsid w:val="00580626"/>
    <w:rsid w:val="0058079E"/>
    <w:rsid w:val="005809F9"/>
    <w:rsid w:val="00580D38"/>
    <w:rsid w:val="00582B7A"/>
    <w:rsid w:val="00585B55"/>
    <w:rsid w:val="00587925"/>
    <w:rsid w:val="005901F5"/>
    <w:rsid w:val="00595EE4"/>
    <w:rsid w:val="005A085D"/>
    <w:rsid w:val="005A110A"/>
    <w:rsid w:val="005A2963"/>
    <w:rsid w:val="005A2AF5"/>
    <w:rsid w:val="005A4AE8"/>
    <w:rsid w:val="005A4E98"/>
    <w:rsid w:val="005A55C8"/>
    <w:rsid w:val="005A7566"/>
    <w:rsid w:val="005B053A"/>
    <w:rsid w:val="005B2CC8"/>
    <w:rsid w:val="005B7EEA"/>
    <w:rsid w:val="005C00DE"/>
    <w:rsid w:val="005C2770"/>
    <w:rsid w:val="005C37E3"/>
    <w:rsid w:val="005C661D"/>
    <w:rsid w:val="005C7355"/>
    <w:rsid w:val="005C73A2"/>
    <w:rsid w:val="005C7AFA"/>
    <w:rsid w:val="005D2620"/>
    <w:rsid w:val="005D42D6"/>
    <w:rsid w:val="005D6AF3"/>
    <w:rsid w:val="005D6E70"/>
    <w:rsid w:val="005E1A95"/>
    <w:rsid w:val="005E2839"/>
    <w:rsid w:val="005E7678"/>
    <w:rsid w:val="005F26F8"/>
    <w:rsid w:val="005F5182"/>
    <w:rsid w:val="005F52EC"/>
    <w:rsid w:val="00601040"/>
    <w:rsid w:val="00601804"/>
    <w:rsid w:val="0060279C"/>
    <w:rsid w:val="00603A46"/>
    <w:rsid w:val="00607912"/>
    <w:rsid w:val="0061159E"/>
    <w:rsid w:val="00611BD1"/>
    <w:rsid w:val="00611DE4"/>
    <w:rsid w:val="006132F7"/>
    <w:rsid w:val="00613450"/>
    <w:rsid w:val="006149E7"/>
    <w:rsid w:val="00616DE0"/>
    <w:rsid w:val="00622157"/>
    <w:rsid w:val="00622814"/>
    <w:rsid w:val="00623F06"/>
    <w:rsid w:val="00625E7A"/>
    <w:rsid w:val="00627724"/>
    <w:rsid w:val="00627A59"/>
    <w:rsid w:val="006329C7"/>
    <w:rsid w:val="00637CE9"/>
    <w:rsid w:val="00643882"/>
    <w:rsid w:val="00643DBE"/>
    <w:rsid w:val="00645321"/>
    <w:rsid w:val="0065640A"/>
    <w:rsid w:val="00656AC7"/>
    <w:rsid w:val="0066211F"/>
    <w:rsid w:val="00663FC1"/>
    <w:rsid w:val="00667123"/>
    <w:rsid w:val="00667365"/>
    <w:rsid w:val="00667E31"/>
    <w:rsid w:val="00673BC8"/>
    <w:rsid w:val="00676026"/>
    <w:rsid w:val="00677142"/>
    <w:rsid w:val="00680CD8"/>
    <w:rsid w:val="0068295C"/>
    <w:rsid w:val="006908A9"/>
    <w:rsid w:val="00690D2A"/>
    <w:rsid w:val="00690DE0"/>
    <w:rsid w:val="00691A52"/>
    <w:rsid w:val="006942CF"/>
    <w:rsid w:val="006944F3"/>
    <w:rsid w:val="00694A8D"/>
    <w:rsid w:val="006A1C9C"/>
    <w:rsid w:val="006A259B"/>
    <w:rsid w:val="006A599A"/>
    <w:rsid w:val="006B2089"/>
    <w:rsid w:val="006B2124"/>
    <w:rsid w:val="006B301D"/>
    <w:rsid w:val="006B3AC1"/>
    <w:rsid w:val="006B4A98"/>
    <w:rsid w:val="006B5076"/>
    <w:rsid w:val="006B5D15"/>
    <w:rsid w:val="006B605D"/>
    <w:rsid w:val="006B7E2D"/>
    <w:rsid w:val="006C1F0A"/>
    <w:rsid w:val="006C3F9B"/>
    <w:rsid w:val="006C59A7"/>
    <w:rsid w:val="006C6313"/>
    <w:rsid w:val="006C7E2F"/>
    <w:rsid w:val="006D13E5"/>
    <w:rsid w:val="006D73C0"/>
    <w:rsid w:val="006E014B"/>
    <w:rsid w:val="006E1149"/>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1087B"/>
    <w:rsid w:val="0071258C"/>
    <w:rsid w:val="007140CB"/>
    <w:rsid w:val="00716A5B"/>
    <w:rsid w:val="00716F13"/>
    <w:rsid w:val="007244B1"/>
    <w:rsid w:val="0072545E"/>
    <w:rsid w:val="007300F6"/>
    <w:rsid w:val="00730F04"/>
    <w:rsid w:val="0073108D"/>
    <w:rsid w:val="00731564"/>
    <w:rsid w:val="0073224A"/>
    <w:rsid w:val="007335B1"/>
    <w:rsid w:val="00737024"/>
    <w:rsid w:val="007416DD"/>
    <w:rsid w:val="00741F65"/>
    <w:rsid w:val="00742904"/>
    <w:rsid w:val="00744768"/>
    <w:rsid w:val="00745FC8"/>
    <w:rsid w:val="007461D0"/>
    <w:rsid w:val="00746C5B"/>
    <w:rsid w:val="00750CAC"/>
    <w:rsid w:val="00752660"/>
    <w:rsid w:val="00753C6A"/>
    <w:rsid w:val="0075558F"/>
    <w:rsid w:val="00755737"/>
    <w:rsid w:val="00756D2F"/>
    <w:rsid w:val="00756D7C"/>
    <w:rsid w:val="007573FA"/>
    <w:rsid w:val="00760368"/>
    <w:rsid w:val="00761EDA"/>
    <w:rsid w:val="00764328"/>
    <w:rsid w:val="00764709"/>
    <w:rsid w:val="00766CF9"/>
    <w:rsid w:val="00770115"/>
    <w:rsid w:val="00770526"/>
    <w:rsid w:val="00771E3E"/>
    <w:rsid w:val="00777DAD"/>
    <w:rsid w:val="007817A1"/>
    <w:rsid w:val="0078215C"/>
    <w:rsid w:val="00784BB6"/>
    <w:rsid w:val="00784F14"/>
    <w:rsid w:val="00785B5F"/>
    <w:rsid w:val="00785C6C"/>
    <w:rsid w:val="00785CD3"/>
    <w:rsid w:val="00787D3C"/>
    <w:rsid w:val="00787D76"/>
    <w:rsid w:val="0079095F"/>
    <w:rsid w:val="00791B47"/>
    <w:rsid w:val="00793A5E"/>
    <w:rsid w:val="007A43DF"/>
    <w:rsid w:val="007A4F00"/>
    <w:rsid w:val="007B051D"/>
    <w:rsid w:val="007B1131"/>
    <w:rsid w:val="007B1985"/>
    <w:rsid w:val="007B3CA7"/>
    <w:rsid w:val="007B635C"/>
    <w:rsid w:val="007C3D5B"/>
    <w:rsid w:val="007C61A9"/>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63E3"/>
    <w:rsid w:val="00802856"/>
    <w:rsid w:val="00802E6F"/>
    <w:rsid w:val="00803746"/>
    <w:rsid w:val="008041E4"/>
    <w:rsid w:val="00804CDB"/>
    <w:rsid w:val="00806D23"/>
    <w:rsid w:val="0081222C"/>
    <w:rsid w:val="008160EF"/>
    <w:rsid w:val="0081739C"/>
    <w:rsid w:val="00820564"/>
    <w:rsid w:val="00823C02"/>
    <w:rsid w:val="00823CA4"/>
    <w:rsid w:val="00827568"/>
    <w:rsid w:val="00827FA1"/>
    <w:rsid w:val="008301FA"/>
    <w:rsid w:val="00830E72"/>
    <w:rsid w:val="00831E8E"/>
    <w:rsid w:val="00833289"/>
    <w:rsid w:val="00833C9B"/>
    <w:rsid w:val="008541D9"/>
    <w:rsid w:val="0086516A"/>
    <w:rsid w:val="008671CB"/>
    <w:rsid w:val="008671F8"/>
    <w:rsid w:val="0087190C"/>
    <w:rsid w:val="008728B9"/>
    <w:rsid w:val="008735CC"/>
    <w:rsid w:val="00873FA0"/>
    <w:rsid w:val="008740B7"/>
    <w:rsid w:val="00876B94"/>
    <w:rsid w:val="00880C23"/>
    <w:rsid w:val="00881E8E"/>
    <w:rsid w:val="008836A5"/>
    <w:rsid w:val="008836CD"/>
    <w:rsid w:val="00890EED"/>
    <w:rsid w:val="00895424"/>
    <w:rsid w:val="00896457"/>
    <w:rsid w:val="00896D16"/>
    <w:rsid w:val="00897798"/>
    <w:rsid w:val="008A66FC"/>
    <w:rsid w:val="008A6E9C"/>
    <w:rsid w:val="008B4A4C"/>
    <w:rsid w:val="008B5E07"/>
    <w:rsid w:val="008C0690"/>
    <w:rsid w:val="008C2B2E"/>
    <w:rsid w:val="008C320C"/>
    <w:rsid w:val="008C4D11"/>
    <w:rsid w:val="008C5C72"/>
    <w:rsid w:val="008D082E"/>
    <w:rsid w:val="008D0F26"/>
    <w:rsid w:val="008D13D5"/>
    <w:rsid w:val="008D155A"/>
    <w:rsid w:val="008D1AA6"/>
    <w:rsid w:val="008D4411"/>
    <w:rsid w:val="008D71B6"/>
    <w:rsid w:val="008E1419"/>
    <w:rsid w:val="008E1F81"/>
    <w:rsid w:val="008E4C0F"/>
    <w:rsid w:val="008E5CC1"/>
    <w:rsid w:val="008E5E1B"/>
    <w:rsid w:val="008E6CF2"/>
    <w:rsid w:val="008E7654"/>
    <w:rsid w:val="008E7DB9"/>
    <w:rsid w:val="008F4692"/>
    <w:rsid w:val="008F5157"/>
    <w:rsid w:val="008F67C2"/>
    <w:rsid w:val="008F6FE5"/>
    <w:rsid w:val="008F7FBA"/>
    <w:rsid w:val="00900CF7"/>
    <w:rsid w:val="00902AD2"/>
    <w:rsid w:val="00904594"/>
    <w:rsid w:val="0091170F"/>
    <w:rsid w:val="00913321"/>
    <w:rsid w:val="00913BF5"/>
    <w:rsid w:val="00917FB2"/>
    <w:rsid w:val="00920048"/>
    <w:rsid w:val="00923401"/>
    <w:rsid w:val="009239B2"/>
    <w:rsid w:val="00924095"/>
    <w:rsid w:val="00925A53"/>
    <w:rsid w:val="00927152"/>
    <w:rsid w:val="00930386"/>
    <w:rsid w:val="009323FE"/>
    <w:rsid w:val="00934E2F"/>
    <w:rsid w:val="009401FB"/>
    <w:rsid w:val="009407A9"/>
    <w:rsid w:val="0094204B"/>
    <w:rsid w:val="00945DBC"/>
    <w:rsid w:val="00945E8E"/>
    <w:rsid w:val="00946194"/>
    <w:rsid w:val="009471BC"/>
    <w:rsid w:val="009474A4"/>
    <w:rsid w:val="00950F75"/>
    <w:rsid w:val="00957239"/>
    <w:rsid w:val="00960C89"/>
    <w:rsid w:val="00960ECC"/>
    <w:rsid w:val="00964057"/>
    <w:rsid w:val="009666E0"/>
    <w:rsid w:val="0097055D"/>
    <w:rsid w:val="0097355D"/>
    <w:rsid w:val="00973C48"/>
    <w:rsid w:val="00975686"/>
    <w:rsid w:val="00980921"/>
    <w:rsid w:val="00982BA9"/>
    <w:rsid w:val="009831F3"/>
    <w:rsid w:val="00983F69"/>
    <w:rsid w:val="009871FA"/>
    <w:rsid w:val="009902EB"/>
    <w:rsid w:val="00991457"/>
    <w:rsid w:val="00995596"/>
    <w:rsid w:val="009970C2"/>
    <w:rsid w:val="009A0711"/>
    <w:rsid w:val="009A1749"/>
    <w:rsid w:val="009A208D"/>
    <w:rsid w:val="009A4A08"/>
    <w:rsid w:val="009A6009"/>
    <w:rsid w:val="009A7264"/>
    <w:rsid w:val="009A739E"/>
    <w:rsid w:val="009A7BCC"/>
    <w:rsid w:val="009B1FA8"/>
    <w:rsid w:val="009B244B"/>
    <w:rsid w:val="009B4FC4"/>
    <w:rsid w:val="009B5AB0"/>
    <w:rsid w:val="009C1AF6"/>
    <w:rsid w:val="009C3829"/>
    <w:rsid w:val="009C66AE"/>
    <w:rsid w:val="009D13ED"/>
    <w:rsid w:val="009D14FE"/>
    <w:rsid w:val="009D64E0"/>
    <w:rsid w:val="009D7AD5"/>
    <w:rsid w:val="009D7AE1"/>
    <w:rsid w:val="009E1227"/>
    <w:rsid w:val="009E38C8"/>
    <w:rsid w:val="009E56DE"/>
    <w:rsid w:val="009E5F65"/>
    <w:rsid w:val="009F32D8"/>
    <w:rsid w:val="009F3E8C"/>
    <w:rsid w:val="009F418C"/>
    <w:rsid w:val="00A05311"/>
    <w:rsid w:val="00A06CA8"/>
    <w:rsid w:val="00A107AB"/>
    <w:rsid w:val="00A10D82"/>
    <w:rsid w:val="00A13E6B"/>
    <w:rsid w:val="00A17619"/>
    <w:rsid w:val="00A20B71"/>
    <w:rsid w:val="00A2353B"/>
    <w:rsid w:val="00A23A5A"/>
    <w:rsid w:val="00A24EBB"/>
    <w:rsid w:val="00A2645A"/>
    <w:rsid w:val="00A27755"/>
    <w:rsid w:val="00A27CB9"/>
    <w:rsid w:val="00A3088C"/>
    <w:rsid w:val="00A31D45"/>
    <w:rsid w:val="00A342B9"/>
    <w:rsid w:val="00A34445"/>
    <w:rsid w:val="00A36FBE"/>
    <w:rsid w:val="00A37A88"/>
    <w:rsid w:val="00A41893"/>
    <w:rsid w:val="00A42965"/>
    <w:rsid w:val="00A4631F"/>
    <w:rsid w:val="00A51D26"/>
    <w:rsid w:val="00A530F0"/>
    <w:rsid w:val="00A54051"/>
    <w:rsid w:val="00A54FBF"/>
    <w:rsid w:val="00A61201"/>
    <w:rsid w:val="00A622AB"/>
    <w:rsid w:val="00A63BA0"/>
    <w:rsid w:val="00A64338"/>
    <w:rsid w:val="00A65A61"/>
    <w:rsid w:val="00A67C1A"/>
    <w:rsid w:val="00A7117E"/>
    <w:rsid w:val="00A71221"/>
    <w:rsid w:val="00A7134A"/>
    <w:rsid w:val="00A730B6"/>
    <w:rsid w:val="00A735A5"/>
    <w:rsid w:val="00A81DEF"/>
    <w:rsid w:val="00A81F66"/>
    <w:rsid w:val="00A831D6"/>
    <w:rsid w:val="00A83E99"/>
    <w:rsid w:val="00A8480A"/>
    <w:rsid w:val="00A848CE"/>
    <w:rsid w:val="00A84AA1"/>
    <w:rsid w:val="00A86967"/>
    <w:rsid w:val="00A875A2"/>
    <w:rsid w:val="00A92BD7"/>
    <w:rsid w:val="00A93624"/>
    <w:rsid w:val="00AA0EA3"/>
    <w:rsid w:val="00AA0EA4"/>
    <w:rsid w:val="00AA137D"/>
    <w:rsid w:val="00AA1F14"/>
    <w:rsid w:val="00AA2B6B"/>
    <w:rsid w:val="00AA5460"/>
    <w:rsid w:val="00AA5E24"/>
    <w:rsid w:val="00AA6398"/>
    <w:rsid w:val="00AA6817"/>
    <w:rsid w:val="00AA7090"/>
    <w:rsid w:val="00AA7BA6"/>
    <w:rsid w:val="00AB1406"/>
    <w:rsid w:val="00AB1F97"/>
    <w:rsid w:val="00AB3457"/>
    <w:rsid w:val="00AB6227"/>
    <w:rsid w:val="00AB7CFA"/>
    <w:rsid w:val="00AC0261"/>
    <w:rsid w:val="00AC1523"/>
    <w:rsid w:val="00AC165B"/>
    <w:rsid w:val="00AC22F5"/>
    <w:rsid w:val="00AC2685"/>
    <w:rsid w:val="00AC344F"/>
    <w:rsid w:val="00AC4B9A"/>
    <w:rsid w:val="00AC62AE"/>
    <w:rsid w:val="00AC656D"/>
    <w:rsid w:val="00AD0CEA"/>
    <w:rsid w:val="00AD17CB"/>
    <w:rsid w:val="00AE14EC"/>
    <w:rsid w:val="00AE1932"/>
    <w:rsid w:val="00AE6D6C"/>
    <w:rsid w:val="00AF16E1"/>
    <w:rsid w:val="00AF2097"/>
    <w:rsid w:val="00AF26DE"/>
    <w:rsid w:val="00AF26E4"/>
    <w:rsid w:val="00AF4C40"/>
    <w:rsid w:val="00AF711A"/>
    <w:rsid w:val="00B01031"/>
    <w:rsid w:val="00B0515E"/>
    <w:rsid w:val="00B05DCC"/>
    <w:rsid w:val="00B10763"/>
    <w:rsid w:val="00B1096B"/>
    <w:rsid w:val="00B13496"/>
    <w:rsid w:val="00B16FBD"/>
    <w:rsid w:val="00B173A1"/>
    <w:rsid w:val="00B1793B"/>
    <w:rsid w:val="00B218D9"/>
    <w:rsid w:val="00B22C27"/>
    <w:rsid w:val="00B22E49"/>
    <w:rsid w:val="00B233D6"/>
    <w:rsid w:val="00B235FF"/>
    <w:rsid w:val="00B23DA9"/>
    <w:rsid w:val="00B276DC"/>
    <w:rsid w:val="00B33934"/>
    <w:rsid w:val="00B459BE"/>
    <w:rsid w:val="00B46A7B"/>
    <w:rsid w:val="00B5121A"/>
    <w:rsid w:val="00B515EC"/>
    <w:rsid w:val="00B51784"/>
    <w:rsid w:val="00B560EA"/>
    <w:rsid w:val="00B56FC4"/>
    <w:rsid w:val="00B57829"/>
    <w:rsid w:val="00B65841"/>
    <w:rsid w:val="00B65997"/>
    <w:rsid w:val="00B66979"/>
    <w:rsid w:val="00B66DD3"/>
    <w:rsid w:val="00B67B28"/>
    <w:rsid w:val="00B717C2"/>
    <w:rsid w:val="00B756AB"/>
    <w:rsid w:val="00B75711"/>
    <w:rsid w:val="00B75B82"/>
    <w:rsid w:val="00B81307"/>
    <w:rsid w:val="00B81CF0"/>
    <w:rsid w:val="00B82901"/>
    <w:rsid w:val="00B8292A"/>
    <w:rsid w:val="00B83B3D"/>
    <w:rsid w:val="00B87E11"/>
    <w:rsid w:val="00B9025B"/>
    <w:rsid w:val="00B9187E"/>
    <w:rsid w:val="00B9613A"/>
    <w:rsid w:val="00BA3313"/>
    <w:rsid w:val="00BA382F"/>
    <w:rsid w:val="00BA6E35"/>
    <w:rsid w:val="00BA7E5E"/>
    <w:rsid w:val="00BB251D"/>
    <w:rsid w:val="00BB2676"/>
    <w:rsid w:val="00BB34FA"/>
    <w:rsid w:val="00BB56A2"/>
    <w:rsid w:val="00BC03BA"/>
    <w:rsid w:val="00BC20CB"/>
    <w:rsid w:val="00BC69E4"/>
    <w:rsid w:val="00BD0E0C"/>
    <w:rsid w:val="00BD1FAC"/>
    <w:rsid w:val="00BD2621"/>
    <w:rsid w:val="00BD643A"/>
    <w:rsid w:val="00BD77C2"/>
    <w:rsid w:val="00BE0155"/>
    <w:rsid w:val="00BE7463"/>
    <w:rsid w:val="00BF2B26"/>
    <w:rsid w:val="00BF321A"/>
    <w:rsid w:val="00BF5C4A"/>
    <w:rsid w:val="00BF67E9"/>
    <w:rsid w:val="00BF7527"/>
    <w:rsid w:val="00C0022F"/>
    <w:rsid w:val="00C002C1"/>
    <w:rsid w:val="00C07552"/>
    <w:rsid w:val="00C11431"/>
    <w:rsid w:val="00C13380"/>
    <w:rsid w:val="00C1386E"/>
    <w:rsid w:val="00C149A1"/>
    <w:rsid w:val="00C17453"/>
    <w:rsid w:val="00C20FD2"/>
    <w:rsid w:val="00C220C7"/>
    <w:rsid w:val="00C23239"/>
    <w:rsid w:val="00C24FB2"/>
    <w:rsid w:val="00C250A8"/>
    <w:rsid w:val="00C252BB"/>
    <w:rsid w:val="00C27397"/>
    <w:rsid w:val="00C27EF3"/>
    <w:rsid w:val="00C304A0"/>
    <w:rsid w:val="00C30E7F"/>
    <w:rsid w:val="00C32220"/>
    <w:rsid w:val="00C35FEA"/>
    <w:rsid w:val="00C36A08"/>
    <w:rsid w:val="00C37A84"/>
    <w:rsid w:val="00C37F0F"/>
    <w:rsid w:val="00C40DDE"/>
    <w:rsid w:val="00C412C4"/>
    <w:rsid w:val="00C41FE1"/>
    <w:rsid w:val="00C421E4"/>
    <w:rsid w:val="00C45BDD"/>
    <w:rsid w:val="00C47534"/>
    <w:rsid w:val="00C4759A"/>
    <w:rsid w:val="00C47B25"/>
    <w:rsid w:val="00C50326"/>
    <w:rsid w:val="00C510EC"/>
    <w:rsid w:val="00C51D09"/>
    <w:rsid w:val="00C529E6"/>
    <w:rsid w:val="00C601CB"/>
    <w:rsid w:val="00C60E63"/>
    <w:rsid w:val="00C61771"/>
    <w:rsid w:val="00C61E4A"/>
    <w:rsid w:val="00C6579B"/>
    <w:rsid w:val="00C658E9"/>
    <w:rsid w:val="00C74F38"/>
    <w:rsid w:val="00C75C04"/>
    <w:rsid w:val="00C76E94"/>
    <w:rsid w:val="00C777C6"/>
    <w:rsid w:val="00C80F34"/>
    <w:rsid w:val="00C81E96"/>
    <w:rsid w:val="00C82844"/>
    <w:rsid w:val="00C83328"/>
    <w:rsid w:val="00C835B3"/>
    <w:rsid w:val="00C848B9"/>
    <w:rsid w:val="00C8565B"/>
    <w:rsid w:val="00C91AD3"/>
    <w:rsid w:val="00C94D3D"/>
    <w:rsid w:val="00C94DCE"/>
    <w:rsid w:val="00C95957"/>
    <w:rsid w:val="00CA18F6"/>
    <w:rsid w:val="00CA1AE6"/>
    <w:rsid w:val="00CA4FCE"/>
    <w:rsid w:val="00CA5E13"/>
    <w:rsid w:val="00CA62E4"/>
    <w:rsid w:val="00CA7429"/>
    <w:rsid w:val="00CB13ED"/>
    <w:rsid w:val="00CB1A69"/>
    <w:rsid w:val="00CB2032"/>
    <w:rsid w:val="00CB491D"/>
    <w:rsid w:val="00CB5F92"/>
    <w:rsid w:val="00CC0FDE"/>
    <w:rsid w:val="00CC5677"/>
    <w:rsid w:val="00CC7E8A"/>
    <w:rsid w:val="00CD0722"/>
    <w:rsid w:val="00CD13D1"/>
    <w:rsid w:val="00CD1C2C"/>
    <w:rsid w:val="00CD31C0"/>
    <w:rsid w:val="00CD67A6"/>
    <w:rsid w:val="00CD788A"/>
    <w:rsid w:val="00CE1D08"/>
    <w:rsid w:val="00CE3F19"/>
    <w:rsid w:val="00CE5026"/>
    <w:rsid w:val="00CE53C8"/>
    <w:rsid w:val="00CE5424"/>
    <w:rsid w:val="00CF046E"/>
    <w:rsid w:val="00CF14E6"/>
    <w:rsid w:val="00CF423C"/>
    <w:rsid w:val="00CF4C3A"/>
    <w:rsid w:val="00CF6D08"/>
    <w:rsid w:val="00CF7162"/>
    <w:rsid w:val="00CF7795"/>
    <w:rsid w:val="00D05D28"/>
    <w:rsid w:val="00D06D29"/>
    <w:rsid w:val="00D201C8"/>
    <w:rsid w:val="00D21953"/>
    <w:rsid w:val="00D2249A"/>
    <w:rsid w:val="00D22A18"/>
    <w:rsid w:val="00D35637"/>
    <w:rsid w:val="00D357E5"/>
    <w:rsid w:val="00D36EED"/>
    <w:rsid w:val="00D50023"/>
    <w:rsid w:val="00D505AF"/>
    <w:rsid w:val="00D56077"/>
    <w:rsid w:val="00D577A0"/>
    <w:rsid w:val="00D60B18"/>
    <w:rsid w:val="00D62294"/>
    <w:rsid w:val="00D6336D"/>
    <w:rsid w:val="00D64E7F"/>
    <w:rsid w:val="00D65CCB"/>
    <w:rsid w:val="00D710D2"/>
    <w:rsid w:val="00D7514F"/>
    <w:rsid w:val="00D772A9"/>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29E7"/>
    <w:rsid w:val="00DC4B6B"/>
    <w:rsid w:val="00DC5C44"/>
    <w:rsid w:val="00DD5414"/>
    <w:rsid w:val="00DE0446"/>
    <w:rsid w:val="00DE1133"/>
    <w:rsid w:val="00DE16C5"/>
    <w:rsid w:val="00DE3246"/>
    <w:rsid w:val="00DE34D4"/>
    <w:rsid w:val="00DE5B3E"/>
    <w:rsid w:val="00DE62A4"/>
    <w:rsid w:val="00DE709A"/>
    <w:rsid w:val="00DF01D0"/>
    <w:rsid w:val="00DF0872"/>
    <w:rsid w:val="00DF306C"/>
    <w:rsid w:val="00DF31D1"/>
    <w:rsid w:val="00DF3A59"/>
    <w:rsid w:val="00DF6AF0"/>
    <w:rsid w:val="00DF6EB6"/>
    <w:rsid w:val="00DF749D"/>
    <w:rsid w:val="00E01F94"/>
    <w:rsid w:val="00E020E6"/>
    <w:rsid w:val="00E02A2F"/>
    <w:rsid w:val="00E05225"/>
    <w:rsid w:val="00E06B10"/>
    <w:rsid w:val="00E10553"/>
    <w:rsid w:val="00E2120D"/>
    <w:rsid w:val="00E2128C"/>
    <w:rsid w:val="00E250F7"/>
    <w:rsid w:val="00E2586E"/>
    <w:rsid w:val="00E25A69"/>
    <w:rsid w:val="00E25DC9"/>
    <w:rsid w:val="00E260A8"/>
    <w:rsid w:val="00E26B20"/>
    <w:rsid w:val="00E27CFE"/>
    <w:rsid w:val="00E3324E"/>
    <w:rsid w:val="00E3344A"/>
    <w:rsid w:val="00E35ED8"/>
    <w:rsid w:val="00E43B35"/>
    <w:rsid w:val="00E43E1F"/>
    <w:rsid w:val="00E44F5D"/>
    <w:rsid w:val="00E452D4"/>
    <w:rsid w:val="00E523FE"/>
    <w:rsid w:val="00E536D6"/>
    <w:rsid w:val="00E539CB"/>
    <w:rsid w:val="00E62BD4"/>
    <w:rsid w:val="00E630B6"/>
    <w:rsid w:val="00E66865"/>
    <w:rsid w:val="00E671FF"/>
    <w:rsid w:val="00E67AFE"/>
    <w:rsid w:val="00E71738"/>
    <w:rsid w:val="00E7462A"/>
    <w:rsid w:val="00E752F7"/>
    <w:rsid w:val="00E87F26"/>
    <w:rsid w:val="00E9243C"/>
    <w:rsid w:val="00E92C65"/>
    <w:rsid w:val="00E93327"/>
    <w:rsid w:val="00E975ED"/>
    <w:rsid w:val="00EA1E5D"/>
    <w:rsid w:val="00EB0E59"/>
    <w:rsid w:val="00EB399B"/>
    <w:rsid w:val="00EB42CD"/>
    <w:rsid w:val="00EC1D2B"/>
    <w:rsid w:val="00ED0039"/>
    <w:rsid w:val="00ED0CEC"/>
    <w:rsid w:val="00ED4898"/>
    <w:rsid w:val="00ED62A1"/>
    <w:rsid w:val="00ED6697"/>
    <w:rsid w:val="00ED765A"/>
    <w:rsid w:val="00EE165E"/>
    <w:rsid w:val="00EE23AC"/>
    <w:rsid w:val="00EE50E9"/>
    <w:rsid w:val="00EE6554"/>
    <w:rsid w:val="00EE6724"/>
    <w:rsid w:val="00EF01C0"/>
    <w:rsid w:val="00EF0D04"/>
    <w:rsid w:val="00EF2232"/>
    <w:rsid w:val="00EF46C5"/>
    <w:rsid w:val="00EF6332"/>
    <w:rsid w:val="00F049C1"/>
    <w:rsid w:val="00F07CF1"/>
    <w:rsid w:val="00F10751"/>
    <w:rsid w:val="00F10FB2"/>
    <w:rsid w:val="00F11DAC"/>
    <w:rsid w:val="00F12830"/>
    <w:rsid w:val="00F12AFD"/>
    <w:rsid w:val="00F14BCA"/>
    <w:rsid w:val="00F17308"/>
    <w:rsid w:val="00F17F99"/>
    <w:rsid w:val="00F20FBD"/>
    <w:rsid w:val="00F2216A"/>
    <w:rsid w:val="00F24CEE"/>
    <w:rsid w:val="00F25876"/>
    <w:rsid w:val="00F3284D"/>
    <w:rsid w:val="00F32B63"/>
    <w:rsid w:val="00F34CDF"/>
    <w:rsid w:val="00F34E56"/>
    <w:rsid w:val="00F34F6A"/>
    <w:rsid w:val="00F37E13"/>
    <w:rsid w:val="00F42EE7"/>
    <w:rsid w:val="00F43423"/>
    <w:rsid w:val="00F4723A"/>
    <w:rsid w:val="00F477B0"/>
    <w:rsid w:val="00F502AD"/>
    <w:rsid w:val="00F512CF"/>
    <w:rsid w:val="00F6198B"/>
    <w:rsid w:val="00F7321F"/>
    <w:rsid w:val="00F74BA5"/>
    <w:rsid w:val="00F76F16"/>
    <w:rsid w:val="00F80466"/>
    <w:rsid w:val="00F80DE8"/>
    <w:rsid w:val="00F82B72"/>
    <w:rsid w:val="00F832BF"/>
    <w:rsid w:val="00F8396F"/>
    <w:rsid w:val="00F844A6"/>
    <w:rsid w:val="00F86BCF"/>
    <w:rsid w:val="00F90734"/>
    <w:rsid w:val="00F90A92"/>
    <w:rsid w:val="00F9520E"/>
    <w:rsid w:val="00F95A45"/>
    <w:rsid w:val="00F95F7A"/>
    <w:rsid w:val="00F960A2"/>
    <w:rsid w:val="00FA2501"/>
    <w:rsid w:val="00FA299A"/>
    <w:rsid w:val="00FA3EAC"/>
    <w:rsid w:val="00FA44BB"/>
    <w:rsid w:val="00FA45F3"/>
    <w:rsid w:val="00FA78C0"/>
    <w:rsid w:val="00FA7B6B"/>
    <w:rsid w:val="00FB07A7"/>
    <w:rsid w:val="00FB4A3A"/>
    <w:rsid w:val="00FB5633"/>
    <w:rsid w:val="00FB5FE3"/>
    <w:rsid w:val="00FB7D2F"/>
    <w:rsid w:val="00FC0747"/>
    <w:rsid w:val="00FC0976"/>
    <w:rsid w:val="00FC3721"/>
    <w:rsid w:val="00FC3905"/>
    <w:rsid w:val="00FD06AF"/>
    <w:rsid w:val="00FD351A"/>
    <w:rsid w:val="00FD4016"/>
    <w:rsid w:val="00FD5155"/>
    <w:rsid w:val="00FE15B0"/>
    <w:rsid w:val="00FE6E13"/>
    <w:rsid w:val="00FF0E0A"/>
    <w:rsid w:val="00FF1974"/>
    <w:rsid w:val="00FF19B5"/>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uiPriority w:val="99"/>
    <w:rsid w:val="00913BF5"/>
    <w:pPr>
      <w:widowControl w:val="0"/>
    </w:pPr>
    <w:rPr>
      <w:lang w:val="en-GB"/>
    </w:rPr>
  </w:style>
  <w:style w:type="character" w:customStyle="1" w:styleId="FootnoteTextChar">
    <w:name w:val="Footnote Text Char"/>
    <w:basedOn w:val="DefaultParagraphFont"/>
    <w:link w:val="FootnoteText"/>
    <w:uiPriority w:val="99"/>
    <w:locked/>
    <w:rsid w:val="00913BF5"/>
    <w:rPr>
      <w:snapToGrid w:val="0"/>
      <w:sz w:val="24"/>
      <w:lang w:val="en-GB" w:eastAsia="fr-FR"/>
    </w:rPr>
  </w:style>
  <w:style w:type="character" w:styleId="FootnoteReference">
    <w:name w:val="footnote reference"/>
    <w:basedOn w:val="DefaultParagraphFont"/>
    <w:uiPriority w:val="99"/>
    <w:rsid w:val="00913BF5"/>
    <w:rPr>
      <w:rFonts w:cs="Times New Roman"/>
      <w:vertAlign w:val="superscript"/>
    </w:rPr>
  </w:style>
  <w:style w:type="table" w:styleId="TableGrid">
    <w:name w:val="Table Grid"/>
    <w:basedOn w:val="TableNormal"/>
    <w:uiPriority w:val="9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781"/>
    <w:rPr>
      <w:rFonts w:ascii="Tahoma" w:hAnsi="Tahoma" w:cs="Tahoma"/>
      <w:sz w:val="16"/>
      <w:szCs w:val="16"/>
    </w:rPr>
  </w:style>
  <w:style w:type="character" w:customStyle="1" w:styleId="BalloonTextChar">
    <w:name w:val="Balloon Text Char"/>
    <w:basedOn w:val="DefaultParagraphFont"/>
    <w:link w:val="BalloonText"/>
    <w:uiPriority w:val="99"/>
    <w:semiHidden/>
    <w:rsid w:val="00000781"/>
    <w:rPr>
      <w:rFonts w:ascii="Tahoma" w:hAnsi="Tahoma" w:cs="Tahoma"/>
      <w:sz w:val="16"/>
      <w:szCs w:val="16"/>
      <w:lang w:val="fr-FR" w:eastAsia="fr-FR"/>
    </w:rPr>
  </w:style>
  <w:style w:type="paragraph" w:styleId="NormalWeb">
    <w:name w:val="Normal (Web)"/>
    <w:basedOn w:val="Normal"/>
    <w:uiPriority w:val="99"/>
    <w:semiHidden/>
    <w:unhideWhenUsed/>
    <w:rsid w:val="007B1985"/>
  </w:style>
  <w:style w:type="paragraph" w:styleId="ListParagraph">
    <w:name w:val="List Paragraph"/>
    <w:basedOn w:val="Normal"/>
    <w:uiPriority w:val="34"/>
    <w:qFormat/>
    <w:rsid w:val="000E5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uiPriority w:val="99"/>
    <w:rsid w:val="00913BF5"/>
    <w:pPr>
      <w:widowControl w:val="0"/>
    </w:pPr>
    <w:rPr>
      <w:lang w:val="en-GB"/>
    </w:rPr>
  </w:style>
  <w:style w:type="character" w:customStyle="1" w:styleId="FootnoteTextChar">
    <w:name w:val="Footnote Text Char"/>
    <w:basedOn w:val="DefaultParagraphFont"/>
    <w:link w:val="FootnoteText"/>
    <w:uiPriority w:val="99"/>
    <w:locked/>
    <w:rsid w:val="00913BF5"/>
    <w:rPr>
      <w:snapToGrid w:val="0"/>
      <w:sz w:val="24"/>
      <w:lang w:val="en-GB" w:eastAsia="fr-FR"/>
    </w:rPr>
  </w:style>
  <w:style w:type="character" w:styleId="FootnoteReference">
    <w:name w:val="footnote reference"/>
    <w:basedOn w:val="DefaultParagraphFont"/>
    <w:uiPriority w:val="99"/>
    <w:rsid w:val="00913BF5"/>
    <w:rPr>
      <w:rFonts w:cs="Times New Roman"/>
      <w:vertAlign w:val="superscript"/>
    </w:rPr>
  </w:style>
  <w:style w:type="table" w:styleId="TableGrid">
    <w:name w:val="Table Grid"/>
    <w:basedOn w:val="TableNormal"/>
    <w:uiPriority w:val="9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781"/>
    <w:rPr>
      <w:rFonts w:ascii="Tahoma" w:hAnsi="Tahoma" w:cs="Tahoma"/>
      <w:sz w:val="16"/>
      <w:szCs w:val="16"/>
    </w:rPr>
  </w:style>
  <w:style w:type="character" w:customStyle="1" w:styleId="BalloonTextChar">
    <w:name w:val="Balloon Text Char"/>
    <w:basedOn w:val="DefaultParagraphFont"/>
    <w:link w:val="BalloonText"/>
    <w:uiPriority w:val="99"/>
    <w:semiHidden/>
    <w:rsid w:val="00000781"/>
    <w:rPr>
      <w:rFonts w:ascii="Tahoma" w:hAnsi="Tahoma" w:cs="Tahoma"/>
      <w:sz w:val="16"/>
      <w:szCs w:val="16"/>
      <w:lang w:val="fr-FR" w:eastAsia="fr-FR"/>
    </w:rPr>
  </w:style>
  <w:style w:type="paragraph" w:styleId="NormalWeb">
    <w:name w:val="Normal (Web)"/>
    <w:basedOn w:val="Normal"/>
    <w:uiPriority w:val="99"/>
    <w:semiHidden/>
    <w:unhideWhenUsed/>
    <w:rsid w:val="007B1985"/>
  </w:style>
  <w:style w:type="paragraph" w:styleId="ListParagraph">
    <w:name w:val="List Paragraph"/>
    <w:basedOn w:val="Normal"/>
    <w:uiPriority w:val="34"/>
    <w:qFormat/>
    <w:rsid w:val="000E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063">
      <w:bodyDiv w:val="1"/>
      <w:marLeft w:val="0"/>
      <w:marRight w:val="0"/>
      <w:marTop w:val="0"/>
      <w:marBottom w:val="0"/>
      <w:divBdr>
        <w:top w:val="none" w:sz="0" w:space="0" w:color="auto"/>
        <w:left w:val="none" w:sz="0" w:space="0" w:color="auto"/>
        <w:bottom w:val="none" w:sz="0" w:space="0" w:color="auto"/>
        <w:right w:val="none" w:sz="0" w:space="0" w:color="auto"/>
      </w:divBdr>
      <w:divsChild>
        <w:div w:id="212607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7609</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4.3</vt:lpstr>
      <vt:lpstr>Partie E-TEMPLATE 4.3</vt:lpstr>
    </vt:vector>
  </TitlesOfParts>
  <Company>Microsoft</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4.3</dc:title>
  <dc:creator>Karamo Cherif</dc:creator>
  <cp:lastModifiedBy>Mitsy Jean-Louis</cp:lastModifiedBy>
  <cp:revision>2</cp:revision>
  <dcterms:created xsi:type="dcterms:W3CDTF">2014-08-08T19:06:00Z</dcterms:created>
  <dcterms:modified xsi:type="dcterms:W3CDTF">2014-08-08T19:06:00Z</dcterms:modified>
</cp:coreProperties>
</file>