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5F" w:rsidRPr="0023655F" w:rsidRDefault="0023655F" w:rsidP="0023655F">
      <w:pPr>
        <w:jc w:val="center"/>
        <w:rPr>
          <w:noProof/>
          <w:spacing w:val="-3"/>
        </w:rPr>
      </w:pPr>
      <w:r w:rsidRPr="0023655F">
        <w:rPr>
          <w:noProof/>
          <w:spacing w:val="-3"/>
        </w:rPr>
        <w:t xml:space="preserve">  </w:t>
      </w:r>
      <w:r w:rsidRPr="0023655F">
        <w:rPr>
          <w:noProof/>
          <w:spacing w:val="-3"/>
        </w:rPr>
        <w:tab/>
        <w:t xml:space="preserve">             </w:t>
      </w:r>
      <w:r w:rsidRPr="0023655F">
        <w:rPr>
          <w:noProof/>
          <w:spacing w:val="-3"/>
        </w:rPr>
        <w:tab/>
      </w:r>
      <w:r w:rsidRPr="0023655F">
        <w:rPr>
          <w:spacing w:val="-3"/>
        </w:rPr>
        <w:tab/>
      </w:r>
    </w:p>
    <w:tbl>
      <w:tblPr>
        <w:tblW w:w="0" w:type="auto"/>
        <w:jc w:val="center"/>
        <w:tblLook w:val="04A0" w:firstRow="1" w:lastRow="0" w:firstColumn="1" w:lastColumn="0" w:noHBand="0" w:noVBand="1"/>
      </w:tblPr>
      <w:tblGrid>
        <w:gridCol w:w="4985"/>
        <w:gridCol w:w="4985"/>
      </w:tblGrid>
      <w:tr w:rsidR="0023655F" w:rsidRPr="0023655F" w:rsidTr="00EF7594">
        <w:trPr>
          <w:trHeight w:val="878"/>
          <w:jc w:val="center"/>
        </w:trPr>
        <w:tc>
          <w:tcPr>
            <w:tcW w:w="4985" w:type="dxa"/>
            <w:hideMark/>
          </w:tcPr>
          <w:p w:rsidR="0023655F" w:rsidRPr="0023655F" w:rsidRDefault="0023655F" w:rsidP="0023655F">
            <w:pPr>
              <w:jc w:val="center"/>
              <w:rPr>
                <w:noProof/>
                <w:spacing w:val="-3"/>
                <w:lang w:val="en-US"/>
              </w:rPr>
            </w:pPr>
            <w:r w:rsidRPr="0023655F">
              <w:rPr>
                <w:noProof/>
                <w:spacing w:val="-3"/>
                <w:lang w:val="en-US"/>
              </w:rPr>
              <w:t xml:space="preserve">                   </w:t>
            </w:r>
            <w:r w:rsidRPr="0023655F">
              <w:rPr>
                <w:noProof/>
                <w:color w:val="EEECE1"/>
                <w:lang w:val="en-US" w:eastAsia="en-US"/>
              </w:rPr>
              <w:drawing>
                <wp:inline distT="0" distB="0" distL="0" distR="0" wp14:anchorId="3595234B" wp14:editId="3577B715">
                  <wp:extent cx="595630" cy="58547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630" cy="585470"/>
                          </a:xfrm>
                          <a:prstGeom prst="rect">
                            <a:avLst/>
                          </a:prstGeom>
                          <a:noFill/>
                          <a:ln>
                            <a:noFill/>
                          </a:ln>
                        </pic:spPr>
                      </pic:pic>
                    </a:graphicData>
                  </a:graphic>
                </wp:inline>
              </w:drawing>
            </w:r>
            <w:r w:rsidRPr="0023655F">
              <w:rPr>
                <w:noProof/>
                <w:spacing w:val="-3"/>
                <w:lang w:val="en-US"/>
              </w:rPr>
              <w:t xml:space="preserve">                       </w:t>
            </w:r>
            <w:r w:rsidRPr="0023655F">
              <w:rPr>
                <w:noProof/>
                <w:spacing w:val="-3"/>
                <w:lang w:val="en-US" w:eastAsia="en-US"/>
              </w:rPr>
              <w:drawing>
                <wp:inline distT="0" distB="0" distL="0" distR="0" wp14:anchorId="4CB77B5E" wp14:editId="36049DB7">
                  <wp:extent cx="606425" cy="585470"/>
                  <wp:effectExtent l="0" t="0" r="3175" b="5080"/>
                  <wp:docPr id="4" name="Image 4" descr="Description : Description :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Description : UN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585470"/>
                          </a:xfrm>
                          <a:prstGeom prst="rect">
                            <a:avLst/>
                          </a:prstGeom>
                          <a:noFill/>
                          <a:ln>
                            <a:noFill/>
                          </a:ln>
                        </pic:spPr>
                      </pic:pic>
                    </a:graphicData>
                  </a:graphic>
                </wp:inline>
              </w:drawing>
            </w:r>
          </w:p>
          <w:p w:rsidR="0023655F" w:rsidRPr="0023655F" w:rsidRDefault="0023655F" w:rsidP="0023655F">
            <w:pPr>
              <w:jc w:val="center"/>
              <w:rPr>
                <w:noProof/>
                <w:spacing w:val="-3"/>
                <w:lang w:val="en-US"/>
              </w:rPr>
            </w:pPr>
            <w:r w:rsidRPr="0023655F">
              <w:rPr>
                <w:noProof/>
                <w:spacing w:val="-3"/>
                <w:lang w:val="en-US"/>
              </w:rPr>
              <w:t xml:space="preserve">  </w:t>
            </w:r>
            <w:r w:rsidRPr="0023655F">
              <w:rPr>
                <w:noProof/>
                <w:spacing w:val="-3"/>
                <w:lang w:val="en-US"/>
              </w:rPr>
              <w:tab/>
              <w:t xml:space="preserve">                                   </w:t>
            </w:r>
          </w:p>
        </w:tc>
        <w:tc>
          <w:tcPr>
            <w:tcW w:w="4985" w:type="dxa"/>
            <w:hideMark/>
          </w:tcPr>
          <w:p w:rsidR="0023655F" w:rsidRPr="0023655F" w:rsidRDefault="0023655F" w:rsidP="0023655F">
            <w:pPr>
              <w:jc w:val="center"/>
              <w:rPr>
                <w:noProof/>
                <w:spacing w:val="-3"/>
                <w:lang w:val="en-US"/>
              </w:rPr>
            </w:pPr>
            <w:r w:rsidRPr="0023655F">
              <w:rPr>
                <w:noProof/>
                <w:spacing w:val="-3"/>
                <w:lang w:val="en-US"/>
              </w:rPr>
              <w:t xml:space="preserve">   </w:t>
            </w:r>
            <w:r w:rsidRPr="0023655F">
              <w:rPr>
                <w:noProof/>
                <w:spacing w:val="-3"/>
                <w:lang w:val="en-US" w:eastAsia="en-US"/>
              </w:rPr>
              <w:drawing>
                <wp:inline distT="0" distB="0" distL="0" distR="0" wp14:anchorId="6A2343C7" wp14:editId="65EC2260">
                  <wp:extent cx="626745" cy="544830"/>
                  <wp:effectExtent l="0" t="0" r="1905" b="7620"/>
                  <wp:docPr id="3" name="Image 3" descr="Description : P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PB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745" cy="544830"/>
                          </a:xfrm>
                          <a:prstGeom prst="rect">
                            <a:avLst/>
                          </a:prstGeom>
                          <a:noFill/>
                          <a:ln>
                            <a:noFill/>
                          </a:ln>
                        </pic:spPr>
                      </pic:pic>
                    </a:graphicData>
                  </a:graphic>
                </wp:inline>
              </w:drawing>
            </w:r>
          </w:p>
        </w:tc>
      </w:tr>
    </w:tbl>
    <w:p w:rsidR="00264361" w:rsidRPr="0023655F" w:rsidRDefault="00264361" w:rsidP="004D18B1">
      <w:pPr>
        <w:jc w:val="center"/>
        <w:rPr>
          <w:b/>
          <w:u w:val="single"/>
        </w:rPr>
      </w:pPr>
      <w:r w:rsidRPr="0023655F">
        <w:rPr>
          <w:spacing w:val="-3"/>
        </w:rPr>
        <w:tab/>
      </w:r>
    </w:p>
    <w:p w:rsidR="00264361" w:rsidRPr="0023655F" w:rsidRDefault="00264361" w:rsidP="004D18B1">
      <w:pPr>
        <w:jc w:val="center"/>
        <w:rPr>
          <w:b/>
        </w:rPr>
      </w:pPr>
      <w:r w:rsidRPr="0023655F">
        <w:rPr>
          <w:b/>
        </w:rPr>
        <w:t>FONDS POUR LA CONSOLIDATION DE LA PAIX (PBF)</w:t>
      </w:r>
    </w:p>
    <w:p w:rsidR="00E97538" w:rsidRPr="0023655F" w:rsidRDefault="00264361" w:rsidP="00E9753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aps/>
        </w:rPr>
      </w:pPr>
      <w:r w:rsidRPr="0023655F">
        <w:rPr>
          <w:b/>
          <w:bCs/>
          <w:caps/>
        </w:rPr>
        <w:t xml:space="preserve">RAPPORT D’ACTIVITE </w:t>
      </w:r>
      <w:r w:rsidR="00E70EAF" w:rsidRPr="0023655F">
        <w:rPr>
          <w:b/>
          <w:bCs/>
          <w:caps/>
        </w:rPr>
        <w:t xml:space="preserve">DU PROJET D’APPUI AU MONITORING ELECTORAL Y COMPRIS DE LA SITATION DES DROITS DE l’HOMME EN GUINEE </w:t>
      </w:r>
    </w:p>
    <w:p w:rsidR="00264361" w:rsidRPr="0023655F" w:rsidRDefault="00264361" w:rsidP="004D18B1">
      <w:pPr>
        <w:jc w:val="center"/>
        <w:rPr>
          <w:b/>
          <w:bCs/>
          <w:caps/>
        </w:rPr>
      </w:pPr>
    </w:p>
    <w:p w:rsidR="00264361" w:rsidRPr="0023655F" w:rsidRDefault="00264361" w:rsidP="004D18B1">
      <w:pPr>
        <w:jc w:val="center"/>
        <w:rPr>
          <w:b/>
          <w:bCs/>
          <w:caps/>
        </w:rPr>
      </w:pPr>
      <w:r w:rsidRPr="0023655F">
        <w:rPr>
          <w:b/>
          <w:bCs/>
          <w:caps/>
        </w:rPr>
        <w:t xml:space="preserve">PERIODE COUVERTE PAR LE RAPPORT: </w:t>
      </w:r>
      <w:r w:rsidR="0061203B">
        <w:rPr>
          <w:b/>
          <w:bCs/>
          <w:caps/>
        </w:rPr>
        <w:t>janvier</w:t>
      </w:r>
      <w:r w:rsidR="00D0295D" w:rsidRPr="0023655F">
        <w:rPr>
          <w:b/>
          <w:bCs/>
          <w:caps/>
        </w:rPr>
        <w:t xml:space="preserve"> </w:t>
      </w:r>
      <w:r w:rsidR="008066FA" w:rsidRPr="0023655F">
        <w:rPr>
          <w:b/>
          <w:bCs/>
          <w:caps/>
        </w:rPr>
        <w:t>–</w:t>
      </w:r>
      <w:r w:rsidR="00D0295D" w:rsidRPr="0023655F">
        <w:rPr>
          <w:b/>
          <w:bCs/>
          <w:caps/>
        </w:rPr>
        <w:t xml:space="preserve"> </w:t>
      </w:r>
      <w:r w:rsidR="0061203B">
        <w:rPr>
          <w:b/>
          <w:bCs/>
          <w:caps/>
        </w:rPr>
        <w:t>decembre 2013</w:t>
      </w:r>
    </w:p>
    <w:p w:rsidR="00264361" w:rsidRPr="0023655F" w:rsidRDefault="00264361" w:rsidP="004D18B1">
      <w:pPr>
        <w:jc w:val="center"/>
        <w:rPr>
          <w:b/>
          <w:bCs/>
          <w:caps/>
        </w:rPr>
      </w:pPr>
    </w:p>
    <w:tbl>
      <w:tblPr>
        <w:tblW w:w="10386" w:type="dxa"/>
        <w:tblInd w:w="-72" w:type="dxa"/>
        <w:tblLayout w:type="fixed"/>
        <w:tblLook w:val="01E0" w:firstRow="1" w:lastRow="1" w:firstColumn="1" w:lastColumn="1" w:noHBand="0" w:noVBand="0"/>
      </w:tblPr>
      <w:tblGrid>
        <w:gridCol w:w="5142"/>
        <w:gridCol w:w="258"/>
        <w:gridCol w:w="4986"/>
      </w:tblGrid>
      <w:tr w:rsidR="00264361" w:rsidRPr="0023655F">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264361" w:rsidRPr="0023655F" w:rsidRDefault="00264361" w:rsidP="00AD6103">
            <w:pPr>
              <w:pStyle w:val="H1"/>
              <w:jc w:val="center"/>
              <w:rPr>
                <w:rFonts w:cs="Times New Roman"/>
                <w:szCs w:val="24"/>
                <w:lang w:val="fr-FR"/>
              </w:rPr>
            </w:pPr>
            <w:r w:rsidRPr="0023655F">
              <w:rPr>
                <w:rFonts w:cs="Times New Roman"/>
                <w:szCs w:val="24"/>
                <w:lang w:val="fr-FR"/>
              </w:rPr>
              <w:t>Intitulé du programme &amp; Numéro du projet</w:t>
            </w:r>
          </w:p>
        </w:tc>
        <w:tc>
          <w:tcPr>
            <w:tcW w:w="258" w:type="dxa"/>
            <w:vMerge w:val="restart"/>
            <w:tcBorders>
              <w:left w:val="single" w:sz="4" w:space="0" w:color="auto"/>
              <w:right w:val="single" w:sz="4" w:space="0" w:color="auto"/>
            </w:tcBorders>
            <w:vAlign w:val="center"/>
          </w:tcPr>
          <w:p w:rsidR="00264361" w:rsidRPr="0023655F" w:rsidRDefault="00264361" w:rsidP="00595EB4">
            <w:pPr>
              <w:jc w:val="center"/>
            </w:pPr>
          </w:p>
        </w:tc>
        <w:tc>
          <w:tcPr>
            <w:tcW w:w="4986" w:type="dxa"/>
            <w:tcBorders>
              <w:top w:val="single" w:sz="4" w:space="0" w:color="auto"/>
              <w:left w:val="single" w:sz="4" w:space="0" w:color="auto"/>
              <w:right w:val="single" w:sz="4" w:space="0" w:color="auto"/>
            </w:tcBorders>
            <w:shd w:val="clear" w:color="auto" w:fill="F3F3F3"/>
            <w:vAlign w:val="center"/>
          </w:tcPr>
          <w:p w:rsidR="00264361" w:rsidRPr="0023655F" w:rsidRDefault="00264361" w:rsidP="00B65A82">
            <w:pPr>
              <w:pStyle w:val="H1"/>
              <w:jc w:val="center"/>
              <w:rPr>
                <w:rFonts w:cs="Times New Roman"/>
                <w:szCs w:val="24"/>
                <w:lang w:val="fr-FR"/>
              </w:rPr>
            </w:pPr>
            <w:r w:rsidRPr="0023655F">
              <w:rPr>
                <w:rFonts w:cs="Times New Roman"/>
                <w:szCs w:val="24"/>
                <w:lang w:val="fr-FR"/>
              </w:rPr>
              <w:t>Pays, Localité(s), Secteur(s) prioritaire(s) / Résultats stratégiques</w:t>
            </w:r>
          </w:p>
        </w:tc>
      </w:tr>
      <w:tr w:rsidR="00264361" w:rsidRPr="0023655F">
        <w:trPr>
          <w:trHeight w:val="300"/>
        </w:trPr>
        <w:tc>
          <w:tcPr>
            <w:tcW w:w="5142" w:type="dxa"/>
            <w:vMerge w:val="restart"/>
            <w:tcBorders>
              <w:left w:val="single" w:sz="4" w:space="0" w:color="auto"/>
              <w:right w:val="single" w:sz="4" w:space="0" w:color="auto"/>
            </w:tcBorders>
          </w:tcPr>
          <w:p w:rsidR="00E70EAF" w:rsidRPr="0023655F" w:rsidRDefault="00264361" w:rsidP="00BD7198">
            <w:pPr>
              <w:pStyle w:val="BodyText"/>
              <w:numPr>
                <w:ilvl w:val="0"/>
                <w:numId w:val="3"/>
              </w:numPr>
              <w:spacing w:before="60" w:after="60"/>
              <w:ind w:left="342"/>
              <w:jc w:val="both"/>
              <w:rPr>
                <w:rFonts w:ascii="Times New Roman" w:hAnsi="Times New Roman" w:cs="Times New Roman"/>
                <w:bCs/>
                <w:i/>
                <w:iCs/>
                <w:snapToGrid w:val="0"/>
                <w:sz w:val="24"/>
                <w:szCs w:val="24"/>
                <w:lang w:val="fr-FR"/>
              </w:rPr>
            </w:pPr>
            <w:r w:rsidRPr="0023655F">
              <w:rPr>
                <w:rFonts w:ascii="Times New Roman" w:hAnsi="Times New Roman" w:cs="Times New Roman"/>
                <w:bCs/>
                <w:iCs/>
                <w:snapToGrid w:val="0"/>
                <w:sz w:val="24"/>
                <w:szCs w:val="24"/>
                <w:lang w:val="fr-FR"/>
              </w:rPr>
              <w:t>Intitulé du pro</w:t>
            </w:r>
            <w:r w:rsidR="00E70EAF" w:rsidRPr="0023655F">
              <w:rPr>
                <w:rFonts w:ascii="Times New Roman" w:hAnsi="Times New Roman" w:cs="Times New Roman"/>
                <w:bCs/>
                <w:iCs/>
                <w:snapToGrid w:val="0"/>
                <w:sz w:val="24"/>
                <w:szCs w:val="24"/>
                <w:lang w:val="fr-FR"/>
              </w:rPr>
              <w:t>jet</w:t>
            </w:r>
            <w:r w:rsidRPr="0023655F">
              <w:rPr>
                <w:rFonts w:ascii="Times New Roman" w:hAnsi="Times New Roman" w:cs="Times New Roman"/>
                <w:bCs/>
                <w:iCs/>
                <w:snapToGrid w:val="0"/>
                <w:sz w:val="24"/>
                <w:szCs w:val="24"/>
                <w:lang w:val="fr-FR"/>
              </w:rPr>
              <w:t>:</w:t>
            </w:r>
            <w:r w:rsidR="00E97538" w:rsidRPr="0023655F">
              <w:rPr>
                <w:rFonts w:ascii="Times New Roman" w:hAnsi="Times New Roman" w:cs="Times New Roman"/>
                <w:sz w:val="24"/>
                <w:szCs w:val="24"/>
                <w:lang w:val="fr-BE"/>
              </w:rPr>
              <w:t xml:space="preserve"> </w:t>
            </w:r>
            <w:r w:rsidR="00E70EAF" w:rsidRPr="0023655F">
              <w:rPr>
                <w:rFonts w:ascii="Times New Roman" w:hAnsi="Times New Roman" w:cs="Times New Roman"/>
                <w:bCs/>
                <w:iCs/>
                <w:snapToGrid w:val="0"/>
                <w:sz w:val="24"/>
                <w:szCs w:val="24"/>
                <w:lang w:val="fr-FR"/>
              </w:rPr>
              <w:t xml:space="preserve">Projet d’Appui au Monitoring Electoral y compris de la Situation des Droits de l’Homme en </w:t>
            </w:r>
            <w:r w:rsidR="008B0EB2" w:rsidRPr="0023655F">
              <w:rPr>
                <w:rFonts w:ascii="Times New Roman" w:hAnsi="Times New Roman" w:cs="Times New Roman"/>
                <w:bCs/>
                <w:iCs/>
                <w:snapToGrid w:val="0"/>
                <w:sz w:val="24"/>
                <w:szCs w:val="24"/>
                <w:lang w:val="fr-FR"/>
              </w:rPr>
              <w:t>Guinée</w:t>
            </w:r>
            <w:r w:rsidR="00E70EAF" w:rsidRPr="0023655F">
              <w:rPr>
                <w:rFonts w:ascii="Times New Roman" w:hAnsi="Times New Roman" w:cs="Times New Roman"/>
                <w:sz w:val="24"/>
                <w:szCs w:val="24"/>
                <w:lang w:val="fr-BE"/>
              </w:rPr>
              <w:t xml:space="preserve"> </w:t>
            </w:r>
          </w:p>
          <w:p w:rsidR="0038642F" w:rsidRPr="0023655F" w:rsidRDefault="00264361" w:rsidP="00BD7198">
            <w:pPr>
              <w:pStyle w:val="BodyText"/>
              <w:numPr>
                <w:ilvl w:val="0"/>
                <w:numId w:val="3"/>
              </w:numPr>
              <w:spacing w:before="60" w:after="60"/>
              <w:ind w:left="342"/>
              <w:jc w:val="both"/>
              <w:rPr>
                <w:rFonts w:ascii="Times New Roman" w:hAnsi="Times New Roman" w:cs="Times New Roman"/>
                <w:bCs/>
                <w:i/>
                <w:iCs/>
                <w:snapToGrid w:val="0"/>
                <w:sz w:val="24"/>
                <w:szCs w:val="24"/>
                <w:lang w:val="fr-FR"/>
              </w:rPr>
            </w:pPr>
            <w:r w:rsidRPr="0023655F">
              <w:rPr>
                <w:rFonts w:ascii="Times New Roman" w:hAnsi="Times New Roman" w:cs="Times New Roman"/>
                <w:bCs/>
                <w:iCs/>
                <w:snapToGrid w:val="0"/>
                <w:sz w:val="24"/>
                <w:szCs w:val="24"/>
                <w:lang w:val="fr-FR"/>
              </w:rPr>
              <w:t xml:space="preserve">Numéro du programme: </w:t>
            </w:r>
            <w:r w:rsidR="0061203B">
              <w:rPr>
                <w:rFonts w:ascii="Times New Roman" w:hAnsi="Times New Roman" w:cs="Times New Roman"/>
                <w:b/>
                <w:bCs/>
                <w:iCs/>
                <w:snapToGrid w:val="0"/>
                <w:sz w:val="24"/>
                <w:szCs w:val="24"/>
                <w:lang w:val="fr-FR"/>
              </w:rPr>
              <w:t>00087</w:t>
            </w:r>
            <w:r w:rsidR="0038642F" w:rsidRPr="0023655F">
              <w:rPr>
                <w:rFonts w:ascii="Times New Roman" w:hAnsi="Times New Roman" w:cs="Times New Roman"/>
                <w:b/>
                <w:bCs/>
                <w:iCs/>
                <w:snapToGrid w:val="0"/>
                <w:sz w:val="24"/>
                <w:szCs w:val="24"/>
                <w:lang w:val="fr-FR"/>
              </w:rPr>
              <w:t>600</w:t>
            </w:r>
          </w:p>
          <w:p w:rsidR="00264361" w:rsidRPr="0023655F" w:rsidRDefault="00264361" w:rsidP="0038642F">
            <w:pPr>
              <w:pStyle w:val="BodyText"/>
              <w:spacing w:before="60" w:after="60"/>
              <w:jc w:val="both"/>
              <w:rPr>
                <w:rFonts w:ascii="Times New Roman" w:hAnsi="Times New Roman" w:cs="Times New Roman"/>
                <w:bCs/>
                <w:i/>
                <w:iCs/>
                <w:snapToGrid w:val="0"/>
                <w:sz w:val="24"/>
                <w:szCs w:val="24"/>
                <w:lang w:val="fr-FR"/>
              </w:rPr>
            </w:pPr>
          </w:p>
          <w:p w:rsidR="00264361" w:rsidRPr="0023655F" w:rsidRDefault="00264361" w:rsidP="00BD7198">
            <w:pPr>
              <w:pStyle w:val="BodyText"/>
              <w:numPr>
                <w:ilvl w:val="0"/>
                <w:numId w:val="3"/>
              </w:numPr>
              <w:spacing w:before="60" w:after="60"/>
              <w:ind w:left="342"/>
              <w:jc w:val="both"/>
              <w:rPr>
                <w:rFonts w:ascii="Times New Roman" w:hAnsi="Times New Roman" w:cs="Times New Roman"/>
                <w:i/>
                <w:sz w:val="24"/>
                <w:szCs w:val="24"/>
                <w:lang w:val="fr-FR"/>
              </w:rPr>
            </w:pPr>
            <w:r w:rsidRPr="0023655F">
              <w:rPr>
                <w:rFonts w:ascii="Times New Roman" w:hAnsi="Times New Roman" w:cs="Times New Roman"/>
                <w:bCs/>
                <w:iCs/>
                <w:snapToGrid w:val="0"/>
                <w:sz w:val="24"/>
                <w:szCs w:val="24"/>
                <w:lang w:val="fr-FR"/>
              </w:rPr>
              <w:t>Numéro de référence du projet au MPTF:</w:t>
            </w:r>
            <w:r w:rsidR="00E97538" w:rsidRPr="0023655F">
              <w:rPr>
                <w:rFonts w:ascii="Times New Roman" w:hAnsi="Times New Roman" w:cs="Times New Roman"/>
                <w:sz w:val="24"/>
                <w:szCs w:val="24"/>
                <w:lang w:val="fr-FR"/>
              </w:rPr>
              <w:t xml:space="preserve"> </w:t>
            </w:r>
            <w:r w:rsidR="0038642F" w:rsidRPr="0023655F">
              <w:rPr>
                <w:rFonts w:ascii="Times New Roman" w:hAnsi="Times New Roman" w:cs="Times New Roman"/>
                <w:b/>
                <w:sz w:val="24"/>
                <w:szCs w:val="24"/>
                <w:lang w:val="fr-BE"/>
              </w:rPr>
              <w:t>PBF/GIN/A-7</w:t>
            </w:r>
          </w:p>
        </w:tc>
        <w:tc>
          <w:tcPr>
            <w:tcW w:w="258" w:type="dxa"/>
            <w:vMerge/>
            <w:tcBorders>
              <w:left w:val="single" w:sz="4" w:space="0" w:color="auto"/>
              <w:right w:val="single" w:sz="4" w:space="0" w:color="auto"/>
            </w:tcBorders>
          </w:tcPr>
          <w:p w:rsidR="00264361" w:rsidRPr="0023655F" w:rsidRDefault="00264361" w:rsidP="00595EB4">
            <w:pPr>
              <w:pStyle w:val="BodyText"/>
              <w:rPr>
                <w:rFonts w:ascii="Times New Roman" w:hAnsi="Times New Roman" w:cs="Times New Roman"/>
                <w:sz w:val="24"/>
                <w:szCs w:val="24"/>
                <w:lang w:val="fr-FR"/>
              </w:rPr>
            </w:pPr>
          </w:p>
        </w:tc>
        <w:tc>
          <w:tcPr>
            <w:tcW w:w="4986" w:type="dxa"/>
            <w:tcBorders>
              <w:left w:val="single" w:sz="4" w:space="0" w:color="auto"/>
              <w:bottom w:val="single" w:sz="4" w:space="0" w:color="auto"/>
              <w:right w:val="single" w:sz="4" w:space="0" w:color="auto"/>
            </w:tcBorders>
          </w:tcPr>
          <w:p w:rsidR="00F7429A" w:rsidRPr="0023655F" w:rsidRDefault="00F7429A" w:rsidP="00595EB4">
            <w:pPr>
              <w:pStyle w:val="BodyText"/>
              <w:rPr>
                <w:rFonts w:ascii="Times New Roman" w:hAnsi="Times New Roman" w:cs="Times New Roman"/>
                <w:bCs/>
                <w:i/>
                <w:iCs/>
                <w:snapToGrid w:val="0"/>
                <w:sz w:val="24"/>
                <w:szCs w:val="24"/>
                <w:lang w:val="fr-FR"/>
              </w:rPr>
            </w:pPr>
            <w:r w:rsidRPr="0023655F">
              <w:rPr>
                <w:rFonts w:ascii="Times New Roman" w:hAnsi="Times New Roman" w:cs="Times New Roman"/>
                <w:bCs/>
                <w:i/>
                <w:iCs/>
                <w:snapToGrid w:val="0"/>
                <w:sz w:val="24"/>
                <w:szCs w:val="24"/>
                <w:lang w:val="fr-FR"/>
              </w:rPr>
              <w:t xml:space="preserve">Pays : </w:t>
            </w:r>
            <w:r w:rsidRPr="0023655F">
              <w:rPr>
                <w:rFonts w:ascii="Times New Roman" w:hAnsi="Times New Roman" w:cs="Times New Roman"/>
                <w:bCs/>
                <w:iCs/>
                <w:snapToGrid w:val="0"/>
                <w:sz w:val="24"/>
                <w:szCs w:val="24"/>
                <w:lang w:val="fr-FR"/>
              </w:rPr>
              <w:t>Guinée</w:t>
            </w:r>
          </w:p>
          <w:p w:rsidR="00264361" w:rsidRPr="0023655F" w:rsidRDefault="00264361" w:rsidP="00595EB4">
            <w:pPr>
              <w:pStyle w:val="BodyText"/>
              <w:rPr>
                <w:rFonts w:ascii="Times New Roman" w:hAnsi="Times New Roman" w:cs="Times New Roman"/>
                <w:bCs/>
                <w:iCs/>
                <w:snapToGrid w:val="0"/>
                <w:sz w:val="24"/>
                <w:szCs w:val="24"/>
                <w:lang w:val="fr-FR"/>
              </w:rPr>
            </w:pPr>
            <w:r w:rsidRPr="0023655F">
              <w:rPr>
                <w:rFonts w:ascii="Times New Roman" w:hAnsi="Times New Roman" w:cs="Times New Roman"/>
                <w:bCs/>
                <w:i/>
                <w:iCs/>
                <w:snapToGrid w:val="0"/>
                <w:sz w:val="24"/>
                <w:szCs w:val="24"/>
                <w:lang w:val="fr-FR"/>
              </w:rPr>
              <w:t>Région</w:t>
            </w:r>
            <w:r w:rsidR="00F7429A" w:rsidRPr="0023655F">
              <w:rPr>
                <w:rFonts w:ascii="Times New Roman" w:hAnsi="Times New Roman" w:cs="Times New Roman"/>
                <w:bCs/>
                <w:i/>
                <w:iCs/>
                <w:snapToGrid w:val="0"/>
                <w:sz w:val="24"/>
                <w:szCs w:val="24"/>
                <w:lang w:val="fr-FR"/>
              </w:rPr>
              <w:t> :</w:t>
            </w:r>
            <w:r w:rsidR="00E97538" w:rsidRPr="0023655F">
              <w:rPr>
                <w:rFonts w:ascii="Times New Roman" w:hAnsi="Times New Roman" w:cs="Times New Roman"/>
                <w:bCs/>
                <w:i/>
                <w:iCs/>
                <w:sz w:val="24"/>
                <w:szCs w:val="24"/>
                <w:lang w:val="fr-FR"/>
              </w:rPr>
              <w:t xml:space="preserve"> </w:t>
            </w:r>
            <w:r w:rsidR="00E70EAF" w:rsidRPr="0023655F">
              <w:rPr>
                <w:rFonts w:ascii="Times New Roman" w:hAnsi="Times New Roman" w:cs="Times New Roman"/>
                <w:bCs/>
                <w:iCs/>
                <w:snapToGrid w:val="0"/>
                <w:sz w:val="24"/>
                <w:szCs w:val="24"/>
                <w:lang w:val="fr-FR"/>
              </w:rPr>
              <w:t xml:space="preserve">Conakry et toutes les Régions Administratives. </w:t>
            </w:r>
            <w:bookmarkStart w:id="0" w:name="_GoBack"/>
            <w:bookmarkEnd w:id="0"/>
          </w:p>
          <w:p w:rsidR="00264361" w:rsidRPr="0023655F" w:rsidRDefault="00264361" w:rsidP="00595EB4">
            <w:pPr>
              <w:pStyle w:val="BodyText"/>
              <w:rPr>
                <w:rFonts w:ascii="Times New Roman" w:hAnsi="Times New Roman" w:cs="Times New Roman"/>
                <w:sz w:val="24"/>
                <w:szCs w:val="24"/>
                <w:lang w:val="fr-FR"/>
              </w:rPr>
            </w:pPr>
          </w:p>
        </w:tc>
      </w:tr>
      <w:tr w:rsidR="00264361" w:rsidRPr="0023655F">
        <w:trPr>
          <w:trHeight w:val="426"/>
        </w:trPr>
        <w:tc>
          <w:tcPr>
            <w:tcW w:w="5142" w:type="dxa"/>
            <w:vMerge/>
            <w:tcBorders>
              <w:left w:val="single" w:sz="4" w:space="0" w:color="auto"/>
              <w:bottom w:val="single" w:sz="4" w:space="0" w:color="auto"/>
              <w:right w:val="single" w:sz="4" w:space="0" w:color="auto"/>
            </w:tcBorders>
          </w:tcPr>
          <w:p w:rsidR="00264361" w:rsidRPr="0023655F" w:rsidRDefault="00264361" w:rsidP="00BD7198">
            <w:pPr>
              <w:pStyle w:val="BodyText"/>
              <w:numPr>
                <w:ilvl w:val="0"/>
                <w:numId w:val="3"/>
              </w:numPr>
              <w:spacing w:before="60" w:after="60"/>
              <w:ind w:left="342"/>
              <w:jc w:val="both"/>
              <w:rPr>
                <w:rFonts w:ascii="Times New Roman" w:hAnsi="Times New Roman" w:cs="Times New Roman"/>
                <w:bCs/>
                <w:iCs/>
                <w:snapToGrid w:val="0"/>
                <w:sz w:val="24"/>
                <w:szCs w:val="24"/>
                <w:lang w:val="fr-FR"/>
              </w:rPr>
            </w:pPr>
          </w:p>
        </w:tc>
        <w:tc>
          <w:tcPr>
            <w:tcW w:w="258" w:type="dxa"/>
            <w:vMerge/>
            <w:tcBorders>
              <w:left w:val="single" w:sz="4" w:space="0" w:color="auto"/>
              <w:right w:val="single" w:sz="4" w:space="0" w:color="auto"/>
            </w:tcBorders>
          </w:tcPr>
          <w:p w:rsidR="00264361" w:rsidRPr="0023655F" w:rsidRDefault="00264361" w:rsidP="00595EB4">
            <w:pPr>
              <w:pStyle w:val="BodyText"/>
              <w:rPr>
                <w:rFonts w:ascii="Times New Roman" w:hAnsi="Times New Roman" w:cs="Times New Roman"/>
                <w:sz w:val="24"/>
                <w:szCs w:val="24"/>
                <w:lang w:val="fr-FR"/>
              </w:rPr>
            </w:pPr>
          </w:p>
        </w:tc>
        <w:tc>
          <w:tcPr>
            <w:tcW w:w="4986" w:type="dxa"/>
            <w:tcBorders>
              <w:top w:val="single" w:sz="4" w:space="0" w:color="auto"/>
              <w:left w:val="single" w:sz="4" w:space="0" w:color="auto"/>
              <w:bottom w:val="single" w:sz="4" w:space="0" w:color="auto"/>
              <w:right w:val="single" w:sz="4" w:space="0" w:color="auto"/>
            </w:tcBorders>
          </w:tcPr>
          <w:p w:rsidR="00351AD5" w:rsidRPr="0023655F" w:rsidRDefault="00264361" w:rsidP="00351AD5">
            <w:pPr>
              <w:pStyle w:val="BodyText"/>
              <w:rPr>
                <w:rFonts w:ascii="Times New Roman" w:hAnsi="Times New Roman" w:cs="Times New Roman"/>
                <w:bCs/>
                <w:i/>
                <w:iCs/>
                <w:snapToGrid w:val="0"/>
                <w:sz w:val="24"/>
                <w:szCs w:val="24"/>
                <w:lang w:val="fr-FR"/>
              </w:rPr>
            </w:pPr>
            <w:r w:rsidRPr="0023655F">
              <w:rPr>
                <w:rFonts w:ascii="Times New Roman" w:hAnsi="Times New Roman" w:cs="Times New Roman"/>
                <w:bCs/>
                <w:i/>
                <w:iCs/>
                <w:snapToGrid w:val="0"/>
                <w:sz w:val="24"/>
                <w:szCs w:val="24"/>
                <w:lang w:val="fr-FR"/>
              </w:rPr>
              <w:t xml:space="preserve">Domaine prioritaire/ résultats stratégiques </w:t>
            </w:r>
          </w:p>
          <w:p w:rsidR="00E97538" w:rsidRPr="0023655F" w:rsidRDefault="00E97538" w:rsidP="00351AD5">
            <w:pPr>
              <w:pStyle w:val="BodyText"/>
              <w:rPr>
                <w:rFonts w:ascii="Times New Roman" w:hAnsi="Times New Roman" w:cs="Times New Roman"/>
                <w:bCs/>
                <w:i/>
                <w:iCs/>
                <w:snapToGrid w:val="0"/>
                <w:sz w:val="24"/>
                <w:szCs w:val="24"/>
                <w:lang w:val="fr-FR"/>
              </w:rPr>
            </w:pPr>
            <w:r w:rsidRPr="0023655F">
              <w:rPr>
                <w:rFonts w:ascii="Times New Roman" w:hAnsi="Times New Roman" w:cs="Times New Roman"/>
                <w:bCs/>
                <w:iCs/>
                <w:snapToGrid w:val="0"/>
                <w:sz w:val="24"/>
                <w:szCs w:val="24"/>
                <w:lang w:val="fr-FR"/>
              </w:rPr>
              <w:t>Domaine Prioritaire 1 : Appui a la mise en œuvre des accords de paix et de dialogue politique ; Domaine Prioritaire 2 : Prévention et résolution de conflits et la coexistence pacifique</w:t>
            </w:r>
          </w:p>
        </w:tc>
      </w:tr>
    </w:tbl>
    <w:p w:rsidR="00264361" w:rsidRPr="0023655F" w:rsidRDefault="00264361" w:rsidP="004D18B1">
      <w:pPr>
        <w:jc w:val="center"/>
        <w:rPr>
          <w:b/>
          <w:bCs/>
          <w:caps/>
        </w:rPr>
      </w:pPr>
    </w:p>
    <w:tbl>
      <w:tblPr>
        <w:tblW w:w="10386" w:type="dxa"/>
        <w:tblInd w:w="-72" w:type="dxa"/>
        <w:tblLayout w:type="fixed"/>
        <w:tblLook w:val="01E0" w:firstRow="1" w:lastRow="1" w:firstColumn="1" w:lastColumn="1" w:noHBand="0" w:noVBand="0"/>
      </w:tblPr>
      <w:tblGrid>
        <w:gridCol w:w="5142"/>
        <w:gridCol w:w="258"/>
        <w:gridCol w:w="4986"/>
      </w:tblGrid>
      <w:tr w:rsidR="00264361" w:rsidRPr="0023655F">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264361" w:rsidRPr="0023655F" w:rsidRDefault="00264361" w:rsidP="00595EB4">
            <w:pPr>
              <w:pStyle w:val="H1"/>
              <w:jc w:val="center"/>
              <w:rPr>
                <w:rFonts w:cs="Times New Roman"/>
                <w:szCs w:val="24"/>
                <w:lang w:val="fr-FR"/>
              </w:rPr>
            </w:pPr>
            <w:r w:rsidRPr="0023655F">
              <w:rPr>
                <w:rFonts w:cs="Times New Roman"/>
                <w:szCs w:val="24"/>
                <w:lang w:val="fr-FR"/>
              </w:rPr>
              <w:t>Organisation(s) participante(s)</w:t>
            </w:r>
          </w:p>
        </w:tc>
        <w:tc>
          <w:tcPr>
            <w:tcW w:w="258" w:type="dxa"/>
            <w:vMerge w:val="restart"/>
            <w:tcBorders>
              <w:left w:val="single" w:sz="4" w:space="0" w:color="auto"/>
              <w:right w:val="single" w:sz="4" w:space="0" w:color="auto"/>
            </w:tcBorders>
            <w:vAlign w:val="center"/>
          </w:tcPr>
          <w:p w:rsidR="00264361" w:rsidRPr="0023655F" w:rsidRDefault="00264361" w:rsidP="00595EB4">
            <w:pPr>
              <w:jc w:val="center"/>
            </w:pPr>
          </w:p>
        </w:tc>
        <w:tc>
          <w:tcPr>
            <w:tcW w:w="4986" w:type="dxa"/>
            <w:tcBorders>
              <w:top w:val="single" w:sz="4" w:space="0" w:color="auto"/>
              <w:left w:val="single" w:sz="4" w:space="0" w:color="auto"/>
              <w:right w:val="single" w:sz="4" w:space="0" w:color="auto"/>
            </w:tcBorders>
            <w:shd w:val="clear" w:color="auto" w:fill="F3F3F3"/>
            <w:vAlign w:val="center"/>
          </w:tcPr>
          <w:p w:rsidR="00264361" w:rsidRPr="0023655F" w:rsidRDefault="00264361" w:rsidP="00595EB4">
            <w:pPr>
              <w:pStyle w:val="H1"/>
              <w:jc w:val="center"/>
              <w:rPr>
                <w:rFonts w:cs="Times New Roman"/>
                <w:szCs w:val="24"/>
                <w:lang w:val="fr-FR"/>
              </w:rPr>
            </w:pPr>
            <w:r w:rsidRPr="0023655F">
              <w:rPr>
                <w:rFonts w:cs="Times New Roman"/>
                <w:szCs w:val="24"/>
                <w:lang w:val="fr-FR"/>
              </w:rPr>
              <w:t>Partenaires d’exécution</w:t>
            </w:r>
          </w:p>
        </w:tc>
      </w:tr>
      <w:tr w:rsidR="00264361" w:rsidRPr="0023655F">
        <w:trPr>
          <w:trHeight w:val="495"/>
        </w:trPr>
        <w:tc>
          <w:tcPr>
            <w:tcW w:w="5142" w:type="dxa"/>
            <w:tcBorders>
              <w:left w:val="single" w:sz="4" w:space="0" w:color="auto"/>
              <w:bottom w:val="single" w:sz="4" w:space="0" w:color="auto"/>
              <w:right w:val="single" w:sz="4" w:space="0" w:color="auto"/>
            </w:tcBorders>
          </w:tcPr>
          <w:p w:rsidR="00264361" w:rsidRPr="0023655F" w:rsidRDefault="00E97538" w:rsidP="00BD7198">
            <w:pPr>
              <w:numPr>
                <w:ilvl w:val="0"/>
                <w:numId w:val="7"/>
              </w:numPr>
              <w:rPr>
                <w:i/>
              </w:rPr>
            </w:pPr>
            <w:r w:rsidRPr="0023655F">
              <w:t>PNUD</w:t>
            </w:r>
          </w:p>
          <w:p w:rsidR="00E70EAF" w:rsidRPr="0023655F" w:rsidRDefault="00E70EAF" w:rsidP="00BD7198">
            <w:pPr>
              <w:numPr>
                <w:ilvl w:val="0"/>
                <w:numId w:val="7"/>
              </w:numPr>
              <w:rPr>
                <w:i/>
              </w:rPr>
            </w:pPr>
            <w:r w:rsidRPr="0023655F">
              <w:t>HCDH</w:t>
            </w:r>
          </w:p>
          <w:p w:rsidR="00E70EAF" w:rsidRPr="0023655F" w:rsidRDefault="00E70EAF" w:rsidP="00BD7198">
            <w:pPr>
              <w:numPr>
                <w:ilvl w:val="0"/>
                <w:numId w:val="7"/>
              </w:numPr>
              <w:rPr>
                <w:i/>
              </w:rPr>
            </w:pPr>
            <w:r w:rsidRPr="0023655F">
              <w:t>UNESCO</w:t>
            </w:r>
          </w:p>
        </w:tc>
        <w:tc>
          <w:tcPr>
            <w:tcW w:w="258" w:type="dxa"/>
            <w:vMerge/>
            <w:tcBorders>
              <w:left w:val="single" w:sz="4" w:space="0" w:color="auto"/>
              <w:right w:val="single" w:sz="4" w:space="0" w:color="auto"/>
            </w:tcBorders>
          </w:tcPr>
          <w:p w:rsidR="00264361" w:rsidRPr="0023655F" w:rsidRDefault="00264361" w:rsidP="00595EB4">
            <w:pPr>
              <w:pStyle w:val="BodyText"/>
              <w:rPr>
                <w:rFonts w:ascii="Times New Roman" w:hAnsi="Times New Roman" w:cs="Times New Roman"/>
                <w:sz w:val="24"/>
                <w:szCs w:val="24"/>
                <w:lang w:val="fr-FR"/>
              </w:rPr>
            </w:pPr>
          </w:p>
        </w:tc>
        <w:tc>
          <w:tcPr>
            <w:tcW w:w="4986" w:type="dxa"/>
            <w:tcBorders>
              <w:left w:val="single" w:sz="4" w:space="0" w:color="auto"/>
              <w:bottom w:val="single" w:sz="4" w:space="0" w:color="auto"/>
              <w:right w:val="single" w:sz="4" w:space="0" w:color="auto"/>
            </w:tcBorders>
          </w:tcPr>
          <w:p w:rsidR="00E70EAF" w:rsidRPr="0023655F" w:rsidRDefault="00E70EAF" w:rsidP="00BD7198">
            <w:pPr>
              <w:pStyle w:val="BodyText"/>
              <w:numPr>
                <w:ilvl w:val="0"/>
                <w:numId w:val="4"/>
              </w:numPr>
              <w:ind w:left="374" w:hanging="357"/>
              <w:rPr>
                <w:rFonts w:ascii="Times New Roman" w:hAnsi="Times New Roman" w:cs="Times New Roman"/>
                <w:bCs/>
                <w:iCs/>
                <w:snapToGrid w:val="0"/>
                <w:color w:val="000000"/>
                <w:sz w:val="24"/>
                <w:szCs w:val="24"/>
                <w:lang w:val="fr-FR"/>
              </w:rPr>
            </w:pPr>
            <w:r w:rsidRPr="0023655F">
              <w:rPr>
                <w:rFonts w:ascii="Times New Roman" w:hAnsi="Times New Roman" w:cs="Times New Roman"/>
                <w:bCs/>
                <w:iCs/>
                <w:snapToGrid w:val="0"/>
                <w:color w:val="000000"/>
                <w:sz w:val="24"/>
                <w:szCs w:val="24"/>
                <w:lang w:val="fr-FR"/>
              </w:rPr>
              <w:t xml:space="preserve">Institut de Gorée </w:t>
            </w:r>
          </w:p>
          <w:p w:rsidR="00E70EAF" w:rsidRPr="0023655F" w:rsidRDefault="00E70EAF" w:rsidP="00BD7198">
            <w:pPr>
              <w:pStyle w:val="BodyText"/>
              <w:numPr>
                <w:ilvl w:val="0"/>
                <w:numId w:val="4"/>
              </w:numPr>
              <w:ind w:left="374" w:hanging="357"/>
              <w:rPr>
                <w:rFonts w:ascii="Times New Roman" w:hAnsi="Times New Roman" w:cs="Times New Roman"/>
                <w:bCs/>
                <w:iCs/>
                <w:snapToGrid w:val="0"/>
                <w:color w:val="000000"/>
                <w:sz w:val="24"/>
                <w:szCs w:val="24"/>
                <w:lang w:val="fr-FR"/>
              </w:rPr>
            </w:pPr>
            <w:r w:rsidRPr="0023655F">
              <w:rPr>
                <w:rFonts w:ascii="Times New Roman" w:hAnsi="Times New Roman" w:cs="Times New Roman"/>
                <w:bCs/>
                <w:iCs/>
                <w:snapToGrid w:val="0"/>
                <w:color w:val="000000"/>
                <w:sz w:val="24"/>
                <w:szCs w:val="24"/>
                <w:lang w:val="fr-FR"/>
              </w:rPr>
              <w:t>Dialogue, la Consolidation de la Paix et le Développement (COFFIG/DCPD)</w:t>
            </w:r>
          </w:p>
          <w:p w:rsidR="00E70EAF" w:rsidRPr="0023655F" w:rsidRDefault="00E70EAF" w:rsidP="00BD7198">
            <w:pPr>
              <w:pStyle w:val="BodyText"/>
              <w:numPr>
                <w:ilvl w:val="0"/>
                <w:numId w:val="4"/>
              </w:numPr>
              <w:ind w:left="374" w:hanging="357"/>
              <w:rPr>
                <w:rFonts w:ascii="Times New Roman" w:hAnsi="Times New Roman" w:cs="Times New Roman"/>
                <w:bCs/>
                <w:iCs/>
                <w:snapToGrid w:val="0"/>
                <w:color w:val="000000"/>
                <w:sz w:val="24"/>
                <w:szCs w:val="24"/>
                <w:lang w:val="fr-FR"/>
              </w:rPr>
            </w:pPr>
            <w:r w:rsidRPr="0023655F">
              <w:rPr>
                <w:rFonts w:ascii="Times New Roman" w:hAnsi="Times New Roman" w:cs="Times New Roman"/>
                <w:bCs/>
                <w:iCs/>
                <w:snapToGrid w:val="0"/>
                <w:color w:val="000000"/>
                <w:sz w:val="24"/>
                <w:szCs w:val="24"/>
                <w:lang w:val="fr-FR"/>
              </w:rPr>
              <w:t>Consortium pour l’observation Domestique du processus électoral en Guinée (CODE)</w:t>
            </w:r>
          </w:p>
          <w:p w:rsidR="00E70EAF" w:rsidRPr="0023655F" w:rsidRDefault="00E70EAF" w:rsidP="00BD7198">
            <w:pPr>
              <w:pStyle w:val="BodyText"/>
              <w:numPr>
                <w:ilvl w:val="0"/>
                <w:numId w:val="4"/>
              </w:numPr>
              <w:ind w:left="374" w:hanging="357"/>
              <w:rPr>
                <w:rFonts w:ascii="Times New Roman" w:hAnsi="Times New Roman" w:cs="Times New Roman"/>
                <w:bCs/>
                <w:iCs/>
                <w:snapToGrid w:val="0"/>
                <w:color w:val="000000"/>
                <w:sz w:val="24"/>
                <w:szCs w:val="24"/>
                <w:lang w:val="fr-FR"/>
              </w:rPr>
            </w:pPr>
            <w:r w:rsidRPr="0023655F">
              <w:rPr>
                <w:rFonts w:ascii="Times New Roman" w:hAnsi="Times New Roman" w:cs="Times New Roman"/>
                <w:bCs/>
                <w:iCs/>
                <w:snapToGrid w:val="0"/>
                <w:color w:val="000000"/>
                <w:sz w:val="24"/>
                <w:szCs w:val="24"/>
                <w:lang w:val="fr-FR"/>
              </w:rPr>
              <w:t>Réseau Jeunesse Afrique de Guinée</w:t>
            </w:r>
          </w:p>
          <w:p w:rsidR="00E70EAF" w:rsidRPr="0023655F" w:rsidRDefault="00E70EAF" w:rsidP="00BD7198">
            <w:pPr>
              <w:pStyle w:val="BodyText"/>
              <w:numPr>
                <w:ilvl w:val="0"/>
                <w:numId w:val="4"/>
              </w:numPr>
              <w:ind w:left="374" w:hanging="357"/>
              <w:rPr>
                <w:rFonts w:ascii="Times New Roman" w:hAnsi="Times New Roman" w:cs="Times New Roman"/>
                <w:bCs/>
                <w:iCs/>
                <w:snapToGrid w:val="0"/>
                <w:color w:val="000000"/>
                <w:sz w:val="24"/>
                <w:szCs w:val="24"/>
                <w:lang w:val="fr-FR"/>
              </w:rPr>
            </w:pPr>
            <w:r w:rsidRPr="0023655F">
              <w:rPr>
                <w:rFonts w:ascii="Times New Roman" w:hAnsi="Times New Roman" w:cs="Times New Roman"/>
                <w:bCs/>
                <w:iCs/>
                <w:snapToGrid w:val="0"/>
                <w:color w:val="000000"/>
                <w:sz w:val="24"/>
                <w:szCs w:val="24"/>
                <w:lang w:val="fr-FR"/>
              </w:rPr>
              <w:t>Ministère des Droits de l’Homme et des Libertés Publiques</w:t>
            </w:r>
          </w:p>
          <w:p w:rsidR="00E97538" w:rsidRPr="0023655F" w:rsidRDefault="00E97538" w:rsidP="00E70EAF">
            <w:pPr>
              <w:pStyle w:val="BodyText"/>
              <w:rPr>
                <w:rFonts w:ascii="Times New Roman" w:hAnsi="Times New Roman" w:cs="Times New Roman"/>
                <w:bCs/>
                <w:iCs/>
                <w:snapToGrid w:val="0"/>
                <w:sz w:val="24"/>
                <w:szCs w:val="24"/>
                <w:lang w:val="fr-FR"/>
              </w:rPr>
            </w:pPr>
          </w:p>
        </w:tc>
      </w:tr>
    </w:tbl>
    <w:p w:rsidR="00264361" w:rsidRPr="0023655F" w:rsidRDefault="00264361" w:rsidP="004D18B1">
      <w:pPr>
        <w:jc w:val="center"/>
        <w:rPr>
          <w:b/>
          <w:bCs/>
          <w:caps/>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1956"/>
        <w:gridCol w:w="258"/>
        <w:gridCol w:w="3314"/>
        <w:gridCol w:w="1672"/>
      </w:tblGrid>
      <w:tr w:rsidR="00264361" w:rsidRPr="0023655F">
        <w:trPr>
          <w:trHeight w:val="440"/>
        </w:trPr>
        <w:tc>
          <w:tcPr>
            <w:tcW w:w="5142" w:type="dxa"/>
            <w:gridSpan w:val="2"/>
            <w:tcBorders>
              <w:bottom w:val="nil"/>
            </w:tcBorders>
            <w:shd w:val="clear" w:color="auto" w:fill="F2F2F2"/>
            <w:vAlign w:val="center"/>
          </w:tcPr>
          <w:p w:rsidR="00264361" w:rsidRPr="0023655F" w:rsidRDefault="00264361" w:rsidP="00AD6103">
            <w:pPr>
              <w:pStyle w:val="H1"/>
              <w:jc w:val="center"/>
              <w:rPr>
                <w:rFonts w:cs="Times New Roman"/>
                <w:szCs w:val="24"/>
                <w:lang w:val="fr-FR"/>
              </w:rPr>
            </w:pPr>
            <w:r w:rsidRPr="0023655F">
              <w:rPr>
                <w:rFonts w:cs="Times New Roman"/>
                <w:szCs w:val="24"/>
                <w:lang w:val="fr-FR"/>
              </w:rPr>
              <w:t>Coût du programme/du projet (en dollars)</w:t>
            </w:r>
          </w:p>
        </w:tc>
        <w:tc>
          <w:tcPr>
            <w:tcW w:w="258" w:type="dxa"/>
            <w:tcBorders>
              <w:top w:val="nil"/>
              <w:bottom w:val="nil"/>
            </w:tcBorders>
            <w:vAlign w:val="center"/>
          </w:tcPr>
          <w:p w:rsidR="00264361" w:rsidRPr="0023655F" w:rsidRDefault="00264361" w:rsidP="00595EB4">
            <w:pPr>
              <w:pStyle w:val="H1"/>
              <w:jc w:val="center"/>
              <w:rPr>
                <w:rFonts w:cs="Times New Roman"/>
                <w:szCs w:val="24"/>
                <w:lang w:val="fr-FR"/>
              </w:rPr>
            </w:pPr>
          </w:p>
        </w:tc>
        <w:tc>
          <w:tcPr>
            <w:tcW w:w="4986" w:type="dxa"/>
            <w:gridSpan w:val="2"/>
            <w:tcBorders>
              <w:bottom w:val="nil"/>
            </w:tcBorders>
            <w:shd w:val="clear" w:color="auto" w:fill="F2F2F2"/>
            <w:vAlign w:val="center"/>
          </w:tcPr>
          <w:p w:rsidR="00264361" w:rsidRPr="0023655F" w:rsidRDefault="00264361" w:rsidP="00AD6103">
            <w:pPr>
              <w:pStyle w:val="H1"/>
              <w:jc w:val="center"/>
              <w:rPr>
                <w:rFonts w:cs="Times New Roman"/>
                <w:szCs w:val="24"/>
                <w:lang w:val="fr-FR"/>
              </w:rPr>
            </w:pPr>
            <w:r w:rsidRPr="0023655F">
              <w:rPr>
                <w:rFonts w:cs="Times New Roman"/>
                <w:szCs w:val="24"/>
                <w:lang w:val="fr-FR"/>
              </w:rPr>
              <w:t>Durée du programme</w:t>
            </w:r>
          </w:p>
        </w:tc>
      </w:tr>
      <w:tr w:rsidR="00264361" w:rsidRPr="0023655F" w:rsidTr="00A352D9">
        <w:trPr>
          <w:trHeight w:val="636"/>
        </w:trPr>
        <w:tc>
          <w:tcPr>
            <w:tcW w:w="3186" w:type="dxa"/>
            <w:tcBorders>
              <w:top w:val="nil"/>
              <w:bottom w:val="nil"/>
              <w:right w:val="nil"/>
            </w:tcBorders>
            <w:vAlign w:val="center"/>
          </w:tcPr>
          <w:p w:rsidR="00E97538" w:rsidRPr="0023655F" w:rsidRDefault="00264361" w:rsidP="00E97538">
            <w:pPr>
              <w:pStyle w:val="H2"/>
              <w:rPr>
                <w:rFonts w:cs="Times New Roman"/>
                <w:i/>
                <w:sz w:val="24"/>
                <w:szCs w:val="24"/>
                <w:lang w:val="fr-FR"/>
              </w:rPr>
            </w:pPr>
            <w:r w:rsidRPr="0023655F">
              <w:rPr>
                <w:rFonts w:cs="Times New Roman"/>
                <w:b w:val="0"/>
                <w:sz w:val="24"/>
                <w:szCs w:val="24"/>
                <w:lang w:val="fr-FR"/>
              </w:rPr>
              <w:t xml:space="preserve">Contribution MPTF/JP </w:t>
            </w:r>
          </w:p>
          <w:p w:rsidR="00264361" w:rsidRPr="0023655F" w:rsidRDefault="00264361" w:rsidP="00351AD5">
            <w:pPr>
              <w:pStyle w:val="H2"/>
              <w:rPr>
                <w:rFonts w:cs="Times New Roman"/>
                <w:i/>
                <w:sz w:val="24"/>
                <w:szCs w:val="24"/>
                <w:lang w:val="fr-FR"/>
              </w:rPr>
            </w:pPr>
          </w:p>
        </w:tc>
        <w:tc>
          <w:tcPr>
            <w:tcW w:w="1956" w:type="dxa"/>
            <w:tcBorders>
              <w:top w:val="nil"/>
              <w:left w:val="nil"/>
              <w:bottom w:val="nil"/>
            </w:tcBorders>
            <w:vAlign w:val="center"/>
          </w:tcPr>
          <w:p w:rsidR="00264361" w:rsidRPr="0023655F" w:rsidRDefault="00264361" w:rsidP="00595EB4">
            <w:pPr>
              <w:pStyle w:val="BodyText"/>
              <w:rPr>
                <w:rFonts w:ascii="Times New Roman" w:hAnsi="Times New Roman" w:cs="Times New Roman"/>
                <w:color w:val="000000"/>
                <w:sz w:val="24"/>
                <w:szCs w:val="24"/>
                <w:lang w:val="fr-FR"/>
              </w:rPr>
            </w:pPr>
          </w:p>
        </w:tc>
        <w:tc>
          <w:tcPr>
            <w:tcW w:w="258" w:type="dxa"/>
            <w:tcBorders>
              <w:top w:val="nil"/>
              <w:bottom w:val="nil"/>
            </w:tcBorders>
            <w:vAlign w:val="center"/>
          </w:tcPr>
          <w:p w:rsidR="00264361" w:rsidRPr="0023655F" w:rsidRDefault="00264361" w:rsidP="00595EB4">
            <w:pPr>
              <w:pStyle w:val="BodyText"/>
              <w:rPr>
                <w:rFonts w:ascii="Times New Roman" w:hAnsi="Times New Roman" w:cs="Times New Roman"/>
                <w:sz w:val="24"/>
                <w:szCs w:val="24"/>
                <w:lang w:val="fr-FR"/>
              </w:rPr>
            </w:pPr>
          </w:p>
        </w:tc>
        <w:tc>
          <w:tcPr>
            <w:tcW w:w="3314" w:type="dxa"/>
            <w:tcBorders>
              <w:top w:val="nil"/>
              <w:bottom w:val="nil"/>
              <w:right w:val="nil"/>
            </w:tcBorders>
            <w:vAlign w:val="center"/>
          </w:tcPr>
          <w:p w:rsidR="00264361" w:rsidRPr="0023655F" w:rsidRDefault="00264361" w:rsidP="00E70EAF">
            <w:pPr>
              <w:pStyle w:val="BodyText"/>
              <w:rPr>
                <w:rFonts w:ascii="Times New Roman" w:hAnsi="Times New Roman" w:cs="Times New Roman"/>
                <w:sz w:val="24"/>
                <w:szCs w:val="24"/>
                <w:lang w:val="fr-FR"/>
              </w:rPr>
            </w:pPr>
            <w:r w:rsidRPr="0023655F">
              <w:rPr>
                <w:rFonts w:ascii="Times New Roman" w:hAnsi="Times New Roman" w:cs="Times New Roman"/>
                <w:sz w:val="24"/>
                <w:szCs w:val="24"/>
                <w:lang w:val="fr-FR"/>
              </w:rPr>
              <w:t>Durée totale</w:t>
            </w:r>
            <w:r w:rsidR="00351AD5" w:rsidRPr="0023655F">
              <w:rPr>
                <w:rFonts w:ascii="Times New Roman" w:hAnsi="Times New Roman" w:cs="Times New Roman"/>
                <w:sz w:val="24"/>
                <w:szCs w:val="24"/>
                <w:lang w:val="fr-FR"/>
              </w:rPr>
              <w:t xml:space="preserve"> : </w:t>
            </w:r>
            <w:r w:rsidR="00A8474D" w:rsidRPr="0023655F">
              <w:rPr>
                <w:rFonts w:ascii="Times New Roman" w:hAnsi="Times New Roman" w:cs="Times New Roman"/>
                <w:sz w:val="24"/>
                <w:szCs w:val="24"/>
                <w:lang w:val="fr-FR"/>
              </w:rPr>
              <w:t xml:space="preserve">04 mois </w:t>
            </w:r>
          </w:p>
        </w:tc>
        <w:tc>
          <w:tcPr>
            <w:tcW w:w="1672" w:type="dxa"/>
            <w:tcBorders>
              <w:top w:val="nil"/>
              <w:left w:val="nil"/>
              <w:bottom w:val="nil"/>
            </w:tcBorders>
            <w:vAlign w:val="center"/>
          </w:tcPr>
          <w:p w:rsidR="00264361" w:rsidRPr="0023655F" w:rsidRDefault="00264361" w:rsidP="00595EB4">
            <w:pPr>
              <w:pStyle w:val="BodyText"/>
              <w:widowControl w:val="0"/>
              <w:rPr>
                <w:rFonts w:ascii="Times New Roman" w:hAnsi="Times New Roman" w:cs="Times New Roman"/>
                <w:sz w:val="24"/>
                <w:szCs w:val="24"/>
                <w:lang w:val="fr-FR"/>
              </w:rPr>
            </w:pPr>
          </w:p>
        </w:tc>
      </w:tr>
      <w:tr w:rsidR="00264361" w:rsidRPr="0023655F" w:rsidTr="00A352D9">
        <w:trPr>
          <w:trHeight w:val="350"/>
        </w:trPr>
        <w:tc>
          <w:tcPr>
            <w:tcW w:w="3186" w:type="dxa"/>
            <w:tcBorders>
              <w:top w:val="nil"/>
              <w:bottom w:val="nil"/>
              <w:right w:val="nil"/>
            </w:tcBorders>
            <w:vAlign w:val="center"/>
          </w:tcPr>
          <w:p w:rsidR="00E97538" w:rsidRPr="0023655F" w:rsidRDefault="00981A11" w:rsidP="00BD7198">
            <w:pPr>
              <w:pStyle w:val="H2"/>
              <w:numPr>
                <w:ilvl w:val="0"/>
                <w:numId w:val="5"/>
              </w:numPr>
              <w:ind w:left="164" w:hanging="181"/>
              <w:rPr>
                <w:rFonts w:cs="Times New Roman"/>
                <w:sz w:val="24"/>
                <w:szCs w:val="24"/>
                <w:lang w:val="fr-FR"/>
              </w:rPr>
            </w:pPr>
            <w:r w:rsidRPr="0023655F">
              <w:rPr>
                <w:rFonts w:cs="Times New Roman"/>
                <w:b w:val="0"/>
                <w:sz w:val="24"/>
                <w:szCs w:val="24"/>
                <w:lang w:val="fr-FR"/>
              </w:rPr>
              <w:t>PNUD</w:t>
            </w:r>
            <w:r w:rsidR="00E70EAF" w:rsidRPr="0023655F">
              <w:rPr>
                <w:rFonts w:cs="Times New Roman"/>
                <w:b w:val="0"/>
                <w:sz w:val="24"/>
                <w:szCs w:val="24"/>
                <w:lang w:val="fr-FR"/>
              </w:rPr>
              <w:t xml:space="preserve">: </w:t>
            </w:r>
            <w:r w:rsidRPr="0023655F">
              <w:rPr>
                <w:rFonts w:cs="Times New Roman"/>
                <w:b w:val="0"/>
                <w:sz w:val="24"/>
                <w:szCs w:val="24"/>
                <w:lang w:val="fr-FR"/>
              </w:rPr>
              <w:t xml:space="preserve">578, 785 </w:t>
            </w:r>
            <w:r w:rsidR="00E97538" w:rsidRPr="0023655F">
              <w:rPr>
                <w:rFonts w:cs="Times New Roman"/>
                <w:b w:val="0"/>
                <w:sz w:val="24"/>
                <w:szCs w:val="24"/>
                <w:lang w:val="fr-FR"/>
              </w:rPr>
              <w:t>USD</w:t>
            </w:r>
          </w:p>
          <w:p w:rsidR="00E97538" w:rsidRPr="0023655F" w:rsidRDefault="00E70EAF" w:rsidP="00BD7198">
            <w:pPr>
              <w:pStyle w:val="H2"/>
              <w:numPr>
                <w:ilvl w:val="0"/>
                <w:numId w:val="5"/>
              </w:numPr>
              <w:ind w:left="164" w:hanging="181"/>
              <w:rPr>
                <w:rFonts w:cs="Times New Roman"/>
                <w:sz w:val="24"/>
                <w:szCs w:val="24"/>
                <w:lang w:val="fr-FR"/>
              </w:rPr>
            </w:pPr>
            <w:r w:rsidRPr="0023655F">
              <w:rPr>
                <w:rFonts w:cs="Times New Roman"/>
                <w:b w:val="0"/>
                <w:sz w:val="24"/>
                <w:szCs w:val="24"/>
                <w:lang w:val="fr-FR"/>
              </w:rPr>
              <w:t>HCDH</w:t>
            </w:r>
            <w:r w:rsidR="00E97538" w:rsidRPr="0023655F">
              <w:rPr>
                <w:rFonts w:cs="Times New Roman"/>
                <w:b w:val="0"/>
                <w:sz w:val="24"/>
                <w:szCs w:val="24"/>
                <w:lang w:val="fr-FR"/>
              </w:rPr>
              <w:t xml:space="preserve">: </w:t>
            </w:r>
            <w:r w:rsidR="00981A11" w:rsidRPr="0023655F">
              <w:rPr>
                <w:rFonts w:cs="Times New Roman"/>
                <w:b w:val="0"/>
                <w:sz w:val="24"/>
                <w:szCs w:val="24"/>
                <w:lang w:val="fr-FR"/>
              </w:rPr>
              <w:t xml:space="preserve">184,425 </w:t>
            </w:r>
            <w:r w:rsidR="00E97538" w:rsidRPr="0023655F">
              <w:rPr>
                <w:rFonts w:cs="Times New Roman"/>
                <w:b w:val="0"/>
                <w:sz w:val="24"/>
                <w:szCs w:val="24"/>
                <w:lang w:val="fr-FR"/>
              </w:rPr>
              <w:t>USD</w:t>
            </w:r>
          </w:p>
          <w:p w:rsidR="00264361" w:rsidRPr="0023655F" w:rsidRDefault="00E70EAF" w:rsidP="00BD7198">
            <w:pPr>
              <w:pStyle w:val="H2"/>
              <w:numPr>
                <w:ilvl w:val="0"/>
                <w:numId w:val="5"/>
              </w:numPr>
              <w:ind w:left="164" w:hanging="181"/>
              <w:rPr>
                <w:rFonts w:cs="Times New Roman"/>
                <w:sz w:val="24"/>
                <w:szCs w:val="24"/>
                <w:lang w:val="fr-FR"/>
              </w:rPr>
            </w:pPr>
            <w:r w:rsidRPr="0023655F">
              <w:rPr>
                <w:rFonts w:cs="Times New Roman"/>
                <w:b w:val="0"/>
                <w:sz w:val="24"/>
                <w:szCs w:val="24"/>
                <w:lang w:val="fr-FR"/>
              </w:rPr>
              <w:t>UN</w:t>
            </w:r>
            <w:r w:rsidR="00981A11" w:rsidRPr="0023655F">
              <w:rPr>
                <w:rFonts w:cs="Times New Roman"/>
                <w:b w:val="0"/>
                <w:sz w:val="24"/>
                <w:szCs w:val="24"/>
                <w:lang w:val="fr-FR"/>
              </w:rPr>
              <w:t>ESCO</w:t>
            </w:r>
            <w:r w:rsidR="00E97538" w:rsidRPr="0023655F">
              <w:rPr>
                <w:rFonts w:cs="Times New Roman"/>
                <w:b w:val="0"/>
                <w:sz w:val="24"/>
                <w:szCs w:val="24"/>
                <w:lang w:val="fr-FR"/>
              </w:rPr>
              <w:t>:</w:t>
            </w:r>
            <w:r w:rsidR="00981A11" w:rsidRPr="0023655F">
              <w:rPr>
                <w:rFonts w:cs="Times New Roman"/>
                <w:b w:val="0"/>
                <w:sz w:val="24"/>
                <w:szCs w:val="24"/>
                <w:lang w:val="fr-FR"/>
              </w:rPr>
              <w:t xml:space="preserve"> 288,900</w:t>
            </w:r>
            <w:r w:rsidR="00E97538" w:rsidRPr="0023655F">
              <w:rPr>
                <w:rFonts w:cs="Times New Roman"/>
                <w:b w:val="0"/>
                <w:sz w:val="24"/>
                <w:szCs w:val="24"/>
                <w:lang w:val="fr-FR"/>
              </w:rPr>
              <w:t xml:space="preserve"> USD</w:t>
            </w:r>
          </w:p>
        </w:tc>
        <w:tc>
          <w:tcPr>
            <w:tcW w:w="1956" w:type="dxa"/>
            <w:tcBorders>
              <w:top w:val="nil"/>
              <w:left w:val="nil"/>
              <w:bottom w:val="nil"/>
            </w:tcBorders>
            <w:vAlign w:val="center"/>
          </w:tcPr>
          <w:p w:rsidR="00264361" w:rsidRPr="0023655F" w:rsidRDefault="00264361" w:rsidP="00595EB4">
            <w:pPr>
              <w:pStyle w:val="BodyText"/>
              <w:rPr>
                <w:rFonts w:ascii="Times New Roman" w:hAnsi="Times New Roman" w:cs="Times New Roman"/>
                <w:color w:val="000000"/>
                <w:sz w:val="24"/>
                <w:szCs w:val="24"/>
                <w:lang w:val="fr-FR"/>
              </w:rPr>
            </w:pPr>
          </w:p>
        </w:tc>
        <w:tc>
          <w:tcPr>
            <w:tcW w:w="258" w:type="dxa"/>
            <w:tcBorders>
              <w:top w:val="nil"/>
              <w:bottom w:val="nil"/>
            </w:tcBorders>
            <w:vAlign w:val="center"/>
          </w:tcPr>
          <w:p w:rsidR="00264361" w:rsidRPr="0023655F" w:rsidRDefault="00264361" w:rsidP="00595EB4">
            <w:pPr>
              <w:pStyle w:val="BodyText"/>
              <w:rPr>
                <w:rFonts w:ascii="Times New Roman" w:hAnsi="Times New Roman" w:cs="Times New Roman"/>
                <w:sz w:val="24"/>
                <w:szCs w:val="24"/>
                <w:lang w:val="fr-FR"/>
              </w:rPr>
            </w:pPr>
          </w:p>
        </w:tc>
        <w:tc>
          <w:tcPr>
            <w:tcW w:w="3314" w:type="dxa"/>
            <w:tcBorders>
              <w:top w:val="nil"/>
              <w:bottom w:val="nil"/>
              <w:right w:val="nil"/>
            </w:tcBorders>
            <w:vAlign w:val="center"/>
          </w:tcPr>
          <w:p w:rsidR="00264361" w:rsidRPr="0023655F" w:rsidRDefault="00264361" w:rsidP="0038642F">
            <w:pPr>
              <w:pStyle w:val="BodyText"/>
              <w:rPr>
                <w:rFonts w:ascii="Times New Roman" w:hAnsi="Times New Roman" w:cs="Times New Roman"/>
                <w:sz w:val="24"/>
                <w:szCs w:val="24"/>
                <w:lang w:val="fr-FR"/>
              </w:rPr>
            </w:pPr>
            <w:r w:rsidRPr="0023655F">
              <w:rPr>
                <w:rFonts w:ascii="Times New Roman" w:hAnsi="Times New Roman" w:cs="Times New Roman"/>
                <w:sz w:val="24"/>
                <w:szCs w:val="24"/>
                <w:lang w:val="fr-FR"/>
              </w:rPr>
              <w:t>Date de démarrage</w:t>
            </w:r>
            <w:r w:rsidR="00351AD5" w:rsidRPr="0023655F">
              <w:rPr>
                <w:rFonts w:ascii="Times New Roman" w:hAnsi="Times New Roman" w:cs="Times New Roman"/>
                <w:sz w:val="24"/>
                <w:szCs w:val="24"/>
                <w:lang w:val="fr-FR"/>
              </w:rPr>
              <w:t xml:space="preserve">: </w:t>
            </w:r>
            <w:r w:rsidR="0038642F" w:rsidRPr="0023655F">
              <w:rPr>
                <w:rFonts w:ascii="Times New Roman" w:hAnsi="Times New Roman" w:cs="Times New Roman"/>
                <w:sz w:val="24"/>
                <w:szCs w:val="24"/>
                <w:lang w:val="fr-FR"/>
              </w:rPr>
              <w:t>09</w:t>
            </w:r>
            <w:r w:rsidR="00351AD5" w:rsidRPr="0023655F">
              <w:rPr>
                <w:rFonts w:ascii="Times New Roman" w:hAnsi="Times New Roman" w:cs="Times New Roman"/>
                <w:sz w:val="24"/>
                <w:szCs w:val="24"/>
                <w:lang w:val="fr-FR"/>
              </w:rPr>
              <w:t>/</w:t>
            </w:r>
            <w:r w:rsidR="0038642F" w:rsidRPr="0023655F">
              <w:rPr>
                <w:rFonts w:ascii="Times New Roman" w:hAnsi="Times New Roman" w:cs="Times New Roman"/>
                <w:sz w:val="24"/>
                <w:szCs w:val="24"/>
                <w:lang w:val="fr-FR"/>
              </w:rPr>
              <w:t>09</w:t>
            </w:r>
            <w:r w:rsidR="00351AD5" w:rsidRPr="0023655F">
              <w:rPr>
                <w:rFonts w:ascii="Times New Roman" w:hAnsi="Times New Roman" w:cs="Times New Roman"/>
                <w:sz w:val="24"/>
                <w:szCs w:val="24"/>
                <w:lang w:val="fr-FR"/>
              </w:rPr>
              <w:t>/201</w:t>
            </w:r>
            <w:r w:rsidR="0038642F" w:rsidRPr="0023655F">
              <w:rPr>
                <w:rFonts w:ascii="Times New Roman" w:hAnsi="Times New Roman" w:cs="Times New Roman"/>
                <w:sz w:val="24"/>
                <w:szCs w:val="24"/>
                <w:lang w:val="fr-FR"/>
              </w:rPr>
              <w:t>3</w:t>
            </w:r>
          </w:p>
        </w:tc>
        <w:tc>
          <w:tcPr>
            <w:tcW w:w="1672" w:type="dxa"/>
            <w:tcBorders>
              <w:top w:val="nil"/>
              <w:left w:val="nil"/>
              <w:bottom w:val="nil"/>
            </w:tcBorders>
            <w:vAlign w:val="center"/>
          </w:tcPr>
          <w:p w:rsidR="00264361" w:rsidRPr="0023655F" w:rsidRDefault="00264361" w:rsidP="00595EB4">
            <w:pPr>
              <w:pStyle w:val="BodyText"/>
              <w:rPr>
                <w:rFonts w:ascii="Times New Roman" w:hAnsi="Times New Roman" w:cs="Times New Roman"/>
                <w:sz w:val="24"/>
                <w:szCs w:val="24"/>
                <w:lang w:val="fr-FR"/>
              </w:rPr>
            </w:pPr>
          </w:p>
        </w:tc>
      </w:tr>
      <w:tr w:rsidR="00351AD5" w:rsidRPr="0023655F" w:rsidTr="00B66207">
        <w:trPr>
          <w:trHeight w:val="350"/>
        </w:trPr>
        <w:tc>
          <w:tcPr>
            <w:tcW w:w="3186" w:type="dxa"/>
            <w:tcBorders>
              <w:top w:val="nil"/>
              <w:bottom w:val="nil"/>
              <w:right w:val="nil"/>
            </w:tcBorders>
            <w:shd w:val="clear" w:color="auto" w:fill="D9D9D9"/>
            <w:vAlign w:val="center"/>
          </w:tcPr>
          <w:p w:rsidR="00351AD5" w:rsidRPr="0023655F" w:rsidRDefault="00351AD5" w:rsidP="00E97538">
            <w:pPr>
              <w:pStyle w:val="H2"/>
              <w:rPr>
                <w:rFonts w:cs="Times New Roman"/>
                <w:b w:val="0"/>
                <w:sz w:val="24"/>
                <w:szCs w:val="24"/>
                <w:lang w:val="fr-FR"/>
              </w:rPr>
            </w:pPr>
            <w:r w:rsidRPr="0023655F">
              <w:rPr>
                <w:rFonts w:cs="Times New Roman"/>
                <w:b w:val="0"/>
                <w:sz w:val="24"/>
                <w:szCs w:val="24"/>
                <w:lang w:val="fr-FR"/>
              </w:rPr>
              <w:t>Contribution du gouvernement : N/A</w:t>
            </w:r>
          </w:p>
        </w:tc>
        <w:tc>
          <w:tcPr>
            <w:tcW w:w="1956" w:type="dxa"/>
            <w:tcBorders>
              <w:top w:val="nil"/>
              <w:left w:val="nil"/>
              <w:bottom w:val="nil"/>
            </w:tcBorders>
            <w:shd w:val="clear" w:color="auto" w:fill="D9D9D9"/>
            <w:vAlign w:val="center"/>
          </w:tcPr>
          <w:p w:rsidR="00351AD5" w:rsidRPr="0023655F" w:rsidRDefault="00351AD5" w:rsidP="00595EB4">
            <w:pPr>
              <w:pStyle w:val="BodyText"/>
              <w:rPr>
                <w:rFonts w:ascii="Times New Roman" w:hAnsi="Times New Roman" w:cs="Times New Roman"/>
                <w:color w:val="000000"/>
                <w:sz w:val="24"/>
                <w:szCs w:val="24"/>
                <w:lang w:val="fr-FR"/>
              </w:rPr>
            </w:pPr>
          </w:p>
        </w:tc>
        <w:tc>
          <w:tcPr>
            <w:tcW w:w="258" w:type="dxa"/>
            <w:tcBorders>
              <w:top w:val="nil"/>
              <w:bottom w:val="nil"/>
            </w:tcBorders>
            <w:vAlign w:val="center"/>
          </w:tcPr>
          <w:p w:rsidR="00351AD5" w:rsidRPr="0023655F" w:rsidRDefault="00351AD5" w:rsidP="00595EB4">
            <w:pPr>
              <w:pStyle w:val="BodyText"/>
              <w:rPr>
                <w:rFonts w:ascii="Times New Roman" w:hAnsi="Times New Roman" w:cs="Times New Roman"/>
                <w:sz w:val="24"/>
                <w:szCs w:val="24"/>
                <w:lang w:val="fr-FR"/>
              </w:rPr>
            </w:pPr>
          </w:p>
        </w:tc>
        <w:tc>
          <w:tcPr>
            <w:tcW w:w="4986" w:type="dxa"/>
            <w:gridSpan w:val="2"/>
            <w:tcBorders>
              <w:top w:val="nil"/>
              <w:bottom w:val="nil"/>
            </w:tcBorders>
            <w:vAlign w:val="center"/>
          </w:tcPr>
          <w:p w:rsidR="00351AD5" w:rsidRPr="0023655F" w:rsidRDefault="00351AD5" w:rsidP="00A8474D">
            <w:pPr>
              <w:pStyle w:val="BodyText"/>
              <w:rPr>
                <w:rFonts w:ascii="Times New Roman" w:hAnsi="Times New Roman" w:cs="Times New Roman"/>
                <w:sz w:val="24"/>
                <w:szCs w:val="24"/>
                <w:lang w:val="fr-FR"/>
              </w:rPr>
            </w:pPr>
            <w:r w:rsidRPr="0023655F">
              <w:rPr>
                <w:rFonts w:ascii="Times New Roman" w:hAnsi="Times New Roman" w:cs="Times New Roman"/>
                <w:sz w:val="24"/>
                <w:szCs w:val="24"/>
                <w:lang w:val="fr-FR"/>
              </w:rPr>
              <w:t xml:space="preserve">Date de fin prévue à l’origine: </w:t>
            </w:r>
            <w:r w:rsidR="00A8474D" w:rsidRPr="0023655F">
              <w:rPr>
                <w:rFonts w:ascii="Times New Roman" w:hAnsi="Times New Roman" w:cs="Times New Roman"/>
                <w:sz w:val="24"/>
                <w:szCs w:val="24"/>
                <w:lang w:val="fr-FR"/>
              </w:rPr>
              <w:t>09/01/2014</w:t>
            </w:r>
          </w:p>
        </w:tc>
      </w:tr>
      <w:tr w:rsidR="00264361" w:rsidRPr="0023655F" w:rsidTr="00A352D9">
        <w:trPr>
          <w:trHeight w:val="350"/>
        </w:trPr>
        <w:tc>
          <w:tcPr>
            <w:tcW w:w="3186" w:type="dxa"/>
            <w:tcBorders>
              <w:top w:val="nil"/>
              <w:bottom w:val="nil"/>
              <w:right w:val="nil"/>
            </w:tcBorders>
            <w:shd w:val="clear" w:color="auto" w:fill="D9D9D9"/>
            <w:vAlign w:val="center"/>
          </w:tcPr>
          <w:p w:rsidR="00264361" w:rsidRPr="0023655F" w:rsidRDefault="00264361" w:rsidP="00595EB4">
            <w:pPr>
              <w:pStyle w:val="H2"/>
              <w:rPr>
                <w:rFonts w:cs="Times New Roman"/>
                <w:b w:val="0"/>
                <w:sz w:val="24"/>
                <w:szCs w:val="24"/>
                <w:lang w:val="fr-FR"/>
              </w:rPr>
            </w:pPr>
            <w:r w:rsidRPr="0023655F">
              <w:rPr>
                <w:rFonts w:cs="Times New Roman"/>
                <w:b w:val="0"/>
                <w:sz w:val="24"/>
                <w:szCs w:val="24"/>
                <w:lang w:val="fr-FR"/>
              </w:rPr>
              <w:t>Autres contributions</w:t>
            </w:r>
            <w:r w:rsidR="00E97538" w:rsidRPr="0023655F">
              <w:rPr>
                <w:rFonts w:cs="Times New Roman"/>
                <w:b w:val="0"/>
                <w:sz w:val="24"/>
                <w:szCs w:val="24"/>
                <w:lang w:val="fr-FR"/>
              </w:rPr>
              <w:t> : N/A</w:t>
            </w:r>
            <w:r w:rsidRPr="0023655F">
              <w:rPr>
                <w:rFonts w:cs="Times New Roman"/>
                <w:b w:val="0"/>
                <w:sz w:val="24"/>
                <w:szCs w:val="24"/>
                <w:lang w:val="fr-FR"/>
              </w:rPr>
              <w:t xml:space="preserve"> (donateurs)</w:t>
            </w:r>
          </w:p>
        </w:tc>
        <w:tc>
          <w:tcPr>
            <w:tcW w:w="1956" w:type="dxa"/>
            <w:tcBorders>
              <w:top w:val="nil"/>
              <w:left w:val="nil"/>
              <w:bottom w:val="nil"/>
            </w:tcBorders>
            <w:shd w:val="clear" w:color="auto" w:fill="D9D9D9"/>
            <w:vAlign w:val="center"/>
          </w:tcPr>
          <w:p w:rsidR="00264361" w:rsidRPr="0023655F" w:rsidRDefault="00264361" w:rsidP="00595EB4">
            <w:pPr>
              <w:pStyle w:val="BodyText"/>
              <w:rPr>
                <w:rFonts w:ascii="Times New Roman" w:hAnsi="Times New Roman" w:cs="Times New Roman"/>
                <w:color w:val="000000"/>
                <w:sz w:val="24"/>
                <w:szCs w:val="24"/>
                <w:lang w:val="fr-FR"/>
              </w:rPr>
            </w:pPr>
          </w:p>
        </w:tc>
        <w:tc>
          <w:tcPr>
            <w:tcW w:w="258" w:type="dxa"/>
            <w:tcBorders>
              <w:top w:val="nil"/>
              <w:bottom w:val="nil"/>
            </w:tcBorders>
            <w:vAlign w:val="center"/>
          </w:tcPr>
          <w:p w:rsidR="00264361" w:rsidRPr="0023655F" w:rsidRDefault="00264361" w:rsidP="00595EB4">
            <w:pPr>
              <w:pStyle w:val="BodyText"/>
              <w:rPr>
                <w:rFonts w:ascii="Times New Roman" w:hAnsi="Times New Roman" w:cs="Times New Roman"/>
                <w:sz w:val="24"/>
                <w:szCs w:val="24"/>
                <w:lang w:val="fr-FR"/>
              </w:rPr>
            </w:pPr>
          </w:p>
        </w:tc>
        <w:tc>
          <w:tcPr>
            <w:tcW w:w="3314" w:type="dxa"/>
            <w:tcBorders>
              <w:top w:val="nil"/>
              <w:bottom w:val="nil"/>
              <w:right w:val="nil"/>
            </w:tcBorders>
            <w:vAlign w:val="center"/>
          </w:tcPr>
          <w:p w:rsidR="00264361" w:rsidRPr="0023655F" w:rsidRDefault="00264361" w:rsidP="00351AD5">
            <w:pPr>
              <w:pStyle w:val="BodyText"/>
              <w:rPr>
                <w:rFonts w:ascii="Times New Roman" w:hAnsi="Times New Roman" w:cs="Times New Roman"/>
                <w:sz w:val="24"/>
                <w:szCs w:val="24"/>
                <w:lang w:val="fr-FR"/>
              </w:rPr>
            </w:pPr>
            <w:r w:rsidRPr="0023655F">
              <w:rPr>
                <w:rFonts w:ascii="Times New Roman" w:hAnsi="Times New Roman" w:cs="Times New Roman"/>
                <w:sz w:val="24"/>
                <w:szCs w:val="24"/>
                <w:lang w:val="fr-FR"/>
              </w:rPr>
              <w:t>Date de fin réelle</w:t>
            </w:r>
            <w:r w:rsidR="00A8474D" w:rsidRPr="0023655F">
              <w:rPr>
                <w:rFonts w:ascii="Times New Roman" w:hAnsi="Times New Roman" w:cs="Times New Roman"/>
                <w:sz w:val="24"/>
                <w:szCs w:val="24"/>
                <w:lang w:val="fr-FR"/>
              </w:rPr>
              <w:t>:</w:t>
            </w:r>
            <w:r w:rsidRPr="0023655F">
              <w:rPr>
                <w:rFonts w:ascii="Times New Roman" w:hAnsi="Times New Roman" w:cs="Times New Roman"/>
                <w:sz w:val="24"/>
                <w:szCs w:val="24"/>
                <w:lang w:val="fr-FR"/>
              </w:rPr>
              <w:t xml:space="preserve"> </w:t>
            </w:r>
            <w:r w:rsidR="00A8474D" w:rsidRPr="0023655F">
              <w:rPr>
                <w:rFonts w:ascii="Times New Roman" w:hAnsi="Times New Roman" w:cs="Times New Roman"/>
                <w:sz w:val="24"/>
                <w:szCs w:val="24"/>
                <w:lang w:val="fr-FR"/>
              </w:rPr>
              <w:t>28/02/2014</w:t>
            </w:r>
          </w:p>
        </w:tc>
        <w:tc>
          <w:tcPr>
            <w:tcW w:w="1672" w:type="dxa"/>
            <w:tcBorders>
              <w:top w:val="nil"/>
              <w:left w:val="nil"/>
              <w:bottom w:val="nil"/>
            </w:tcBorders>
            <w:vAlign w:val="center"/>
          </w:tcPr>
          <w:p w:rsidR="00264361" w:rsidRPr="0023655F" w:rsidRDefault="00264361" w:rsidP="00595EB4">
            <w:pPr>
              <w:pStyle w:val="BodyText"/>
              <w:rPr>
                <w:rFonts w:ascii="Times New Roman" w:hAnsi="Times New Roman" w:cs="Times New Roman"/>
                <w:sz w:val="24"/>
                <w:szCs w:val="24"/>
                <w:lang w:val="fr-FR"/>
              </w:rPr>
            </w:pPr>
          </w:p>
        </w:tc>
      </w:tr>
      <w:tr w:rsidR="00264361" w:rsidRPr="0023655F" w:rsidTr="00351AD5">
        <w:trPr>
          <w:trHeight w:val="80"/>
        </w:trPr>
        <w:tc>
          <w:tcPr>
            <w:tcW w:w="3186" w:type="dxa"/>
            <w:tcBorders>
              <w:top w:val="nil"/>
              <w:right w:val="nil"/>
            </w:tcBorders>
            <w:vAlign w:val="center"/>
          </w:tcPr>
          <w:p w:rsidR="00264361" w:rsidRPr="0023655F" w:rsidRDefault="00264361" w:rsidP="0038642F">
            <w:pPr>
              <w:pStyle w:val="H2"/>
              <w:rPr>
                <w:rFonts w:cs="Times New Roman"/>
                <w:sz w:val="24"/>
                <w:szCs w:val="24"/>
                <w:lang w:val="fr-FR"/>
              </w:rPr>
            </w:pPr>
            <w:r w:rsidRPr="0023655F">
              <w:rPr>
                <w:rFonts w:cs="Times New Roman"/>
                <w:sz w:val="24"/>
                <w:szCs w:val="24"/>
                <w:lang w:val="fr-FR"/>
              </w:rPr>
              <w:t>TOTAL:</w:t>
            </w:r>
            <w:r w:rsidR="00E70EAF" w:rsidRPr="0023655F">
              <w:rPr>
                <w:rFonts w:cs="Times New Roman"/>
                <w:sz w:val="24"/>
                <w:szCs w:val="24"/>
                <w:lang w:val="fr-FR"/>
              </w:rPr>
              <w:t xml:space="preserve"> </w:t>
            </w:r>
            <w:r w:rsidR="00E70EAF" w:rsidRPr="0023655F">
              <w:rPr>
                <w:rFonts w:cs="Times New Roman"/>
                <w:bCs w:val="0"/>
                <w:iCs w:val="0"/>
                <w:color w:val="000000"/>
                <w:sz w:val="24"/>
                <w:szCs w:val="24"/>
              </w:rPr>
              <w:t>1 052 11</w:t>
            </w:r>
            <w:r w:rsidR="0038642F" w:rsidRPr="0023655F">
              <w:rPr>
                <w:rFonts w:cs="Times New Roman"/>
                <w:bCs w:val="0"/>
                <w:iCs w:val="0"/>
                <w:color w:val="000000"/>
                <w:sz w:val="24"/>
                <w:szCs w:val="24"/>
              </w:rPr>
              <w:t>1</w:t>
            </w:r>
            <w:r w:rsidR="00E70EAF" w:rsidRPr="0023655F">
              <w:rPr>
                <w:rFonts w:cs="Times New Roman"/>
                <w:bCs w:val="0"/>
                <w:iCs w:val="0"/>
                <w:color w:val="000000"/>
                <w:sz w:val="24"/>
                <w:szCs w:val="24"/>
              </w:rPr>
              <w:t xml:space="preserve"> USD</w:t>
            </w:r>
          </w:p>
        </w:tc>
        <w:tc>
          <w:tcPr>
            <w:tcW w:w="1956" w:type="dxa"/>
            <w:tcBorders>
              <w:top w:val="nil"/>
              <w:left w:val="nil"/>
            </w:tcBorders>
            <w:vAlign w:val="center"/>
          </w:tcPr>
          <w:p w:rsidR="00264361" w:rsidRPr="0023655F" w:rsidRDefault="00264361" w:rsidP="00595EB4">
            <w:pPr>
              <w:pStyle w:val="BodyText"/>
              <w:rPr>
                <w:rFonts w:ascii="Times New Roman" w:hAnsi="Times New Roman" w:cs="Times New Roman"/>
                <w:color w:val="000000"/>
                <w:sz w:val="24"/>
                <w:szCs w:val="24"/>
                <w:lang w:val="fr-FR"/>
              </w:rPr>
            </w:pPr>
          </w:p>
        </w:tc>
        <w:tc>
          <w:tcPr>
            <w:tcW w:w="258" w:type="dxa"/>
            <w:tcBorders>
              <w:top w:val="nil"/>
              <w:bottom w:val="nil"/>
            </w:tcBorders>
            <w:vAlign w:val="center"/>
          </w:tcPr>
          <w:p w:rsidR="00264361" w:rsidRPr="0023655F" w:rsidRDefault="00264361" w:rsidP="00595EB4">
            <w:pPr>
              <w:pStyle w:val="BodyText"/>
              <w:rPr>
                <w:rFonts w:ascii="Times New Roman" w:hAnsi="Times New Roman" w:cs="Times New Roman"/>
                <w:sz w:val="24"/>
                <w:szCs w:val="24"/>
                <w:lang w:val="fr-FR"/>
              </w:rPr>
            </w:pPr>
          </w:p>
        </w:tc>
        <w:tc>
          <w:tcPr>
            <w:tcW w:w="3314" w:type="dxa"/>
            <w:tcBorders>
              <w:top w:val="nil"/>
              <w:right w:val="nil"/>
            </w:tcBorders>
            <w:vAlign w:val="center"/>
          </w:tcPr>
          <w:p w:rsidR="00264361" w:rsidRPr="0023655F" w:rsidRDefault="00264361" w:rsidP="00595EB4">
            <w:pPr>
              <w:pStyle w:val="BodyText"/>
              <w:rPr>
                <w:rFonts w:ascii="Times New Roman" w:hAnsi="Times New Roman" w:cs="Times New Roman"/>
                <w:color w:val="000000"/>
                <w:sz w:val="24"/>
                <w:szCs w:val="24"/>
                <w:lang w:val="fr-FR"/>
              </w:rPr>
            </w:pPr>
          </w:p>
        </w:tc>
        <w:tc>
          <w:tcPr>
            <w:tcW w:w="1672" w:type="dxa"/>
            <w:tcBorders>
              <w:top w:val="nil"/>
              <w:left w:val="nil"/>
            </w:tcBorders>
            <w:vAlign w:val="center"/>
          </w:tcPr>
          <w:p w:rsidR="00264361" w:rsidRPr="0023655F" w:rsidRDefault="00264361" w:rsidP="00595EB4">
            <w:pPr>
              <w:pStyle w:val="BodyText"/>
              <w:rPr>
                <w:rFonts w:ascii="Times New Roman" w:hAnsi="Times New Roman" w:cs="Times New Roman"/>
                <w:sz w:val="24"/>
                <w:szCs w:val="24"/>
                <w:lang w:val="fr-FR"/>
              </w:rPr>
            </w:pPr>
          </w:p>
        </w:tc>
      </w:tr>
    </w:tbl>
    <w:p w:rsidR="00264361" w:rsidRPr="0023655F" w:rsidRDefault="00264361" w:rsidP="004D18B1">
      <w:pPr>
        <w:jc w:val="center"/>
        <w:rPr>
          <w:b/>
          <w:bCs/>
          <w:caps/>
        </w:rPr>
      </w:pPr>
    </w:p>
    <w:tbl>
      <w:tblPr>
        <w:tblW w:w="10386" w:type="dxa"/>
        <w:tblInd w:w="-72" w:type="dxa"/>
        <w:tblLayout w:type="fixed"/>
        <w:tblLook w:val="01E0" w:firstRow="1" w:lastRow="1" w:firstColumn="1" w:lastColumn="1" w:noHBand="0" w:noVBand="0"/>
      </w:tblPr>
      <w:tblGrid>
        <w:gridCol w:w="5142"/>
        <w:gridCol w:w="258"/>
        <w:gridCol w:w="4986"/>
      </w:tblGrid>
      <w:tr w:rsidR="00264361" w:rsidRPr="0023655F">
        <w:trPr>
          <w:trHeight w:val="206"/>
        </w:trPr>
        <w:tc>
          <w:tcPr>
            <w:tcW w:w="5142" w:type="dxa"/>
            <w:tcBorders>
              <w:top w:val="single" w:sz="4" w:space="0" w:color="auto"/>
              <w:left w:val="single" w:sz="4" w:space="0" w:color="auto"/>
              <w:right w:val="single" w:sz="4" w:space="0" w:color="auto"/>
            </w:tcBorders>
            <w:shd w:val="clear" w:color="auto" w:fill="F3F3F3"/>
          </w:tcPr>
          <w:p w:rsidR="00264361" w:rsidRPr="0023655F" w:rsidRDefault="00264361" w:rsidP="00E260DA">
            <w:pPr>
              <w:pStyle w:val="H1"/>
              <w:keepNext/>
              <w:keepLines/>
              <w:ind w:right="-120" w:hanging="70"/>
              <w:jc w:val="center"/>
              <w:rPr>
                <w:rFonts w:cs="Times New Roman"/>
                <w:szCs w:val="24"/>
                <w:lang w:val="fr-FR"/>
              </w:rPr>
            </w:pPr>
            <w:r w:rsidRPr="0023655F">
              <w:rPr>
                <w:rFonts w:cs="Times New Roman"/>
                <w:szCs w:val="24"/>
                <w:lang w:val="fr-FR"/>
              </w:rPr>
              <w:lastRenderedPageBreak/>
              <w:t>Évaluation du programme /examen/évaluation à mi-parcours</w:t>
            </w:r>
          </w:p>
        </w:tc>
        <w:tc>
          <w:tcPr>
            <w:tcW w:w="258" w:type="dxa"/>
            <w:vMerge w:val="restart"/>
            <w:tcBorders>
              <w:left w:val="single" w:sz="4" w:space="0" w:color="auto"/>
              <w:right w:val="single" w:sz="4" w:space="0" w:color="auto"/>
            </w:tcBorders>
          </w:tcPr>
          <w:p w:rsidR="00264361" w:rsidRPr="0023655F" w:rsidRDefault="00264361" w:rsidP="00E260DA">
            <w:pPr>
              <w:keepNext/>
              <w:keepLines/>
            </w:pPr>
          </w:p>
        </w:tc>
        <w:tc>
          <w:tcPr>
            <w:tcW w:w="4986" w:type="dxa"/>
            <w:tcBorders>
              <w:top w:val="single" w:sz="4" w:space="0" w:color="auto"/>
              <w:left w:val="single" w:sz="4" w:space="0" w:color="auto"/>
              <w:right w:val="single" w:sz="4" w:space="0" w:color="auto"/>
            </w:tcBorders>
            <w:shd w:val="clear" w:color="auto" w:fill="F3F3F3"/>
          </w:tcPr>
          <w:p w:rsidR="00264361" w:rsidRPr="0023655F" w:rsidRDefault="00264361" w:rsidP="00E260DA">
            <w:pPr>
              <w:pStyle w:val="H1"/>
              <w:keepNext/>
              <w:keepLines/>
              <w:jc w:val="center"/>
              <w:rPr>
                <w:rFonts w:cs="Times New Roman"/>
                <w:szCs w:val="24"/>
                <w:lang w:val="fr-FR"/>
              </w:rPr>
            </w:pPr>
            <w:r w:rsidRPr="0023655F">
              <w:rPr>
                <w:rFonts w:cs="Times New Roman"/>
                <w:bCs w:val="0"/>
                <w:szCs w:val="24"/>
                <w:lang w:val="fr-FR"/>
              </w:rPr>
              <w:t>Rapport soumis par</w:t>
            </w:r>
          </w:p>
        </w:tc>
      </w:tr>
      <w:tr w:rsidR="00264361" w:rsidRPr="0023655F" w:rsidTr="00351AD5">
        <w:trPr>
          <w:trHeight w:val="285"/>
        </w:trPr>
        <w:tc>
          <w:tcPr>
            <w:tcW w:w="5142" w:type="dxa"/>
            <w:tcBorders>
              <w:left w:val="single" w:sz="4" w:space="0" w:color="auto"/>
              <w:right w:val="single" w:sz="4" w:space="0" w:color="auto"/>
            </w:tcBorders>
          </w:tcPr>
          <w:p w:rsidR="00264361" w:rsidRPr="0023655F" w:rsidRDefault="00264361" w:rsidP="00A352D9">
            <w:pPr>
              <w:pStyle w:val="BodyText"/>
              <w:rPr>
                <w:rFonts w:ascii="Times New Roman" w:hAnsi="Times New Roman" w:cs="Times New Roman"/>
                <w:bCs/>
                <w:i/>
                <w:iCs/>
                <w:snapToGrid w:val="0"/>
                <w:sz w:val="24"/>
                <w:szCs w:val="24"/>
                <w:lang w:val="fr-FR"/>
              </w:rPr>
            </w:pPr>
            <w:r w:rsidRPr="0023655F">
              <w:rPr>
                <w:rFonts w:ascii="Times New Roman" w:hAnsi="Times New Roman" w:cs="Times New Roman"/>
                <w:sz w:val="24"/>
                <w:szCs w:val="24"/>
                <w:lang w:val="fr-FR"/>
              </w:rPr>
              <w:t xml:space="preserve">Évaluation/Examen - le cas échéant, </w:t>
            </w:r>
            <w:r w:rsidRPr="0023655F">
              <w:rPr>
                <w:rFonts w:ascii="Times New Roman" w:hAnsi="Times New Roman" w:cs="Times New Roman"/>
                <w:i/>
                <w:sz w:val="24"/>
                <w:szCs w:val="24"/>
                <w:lang w:val="fr-FR"/>
              </w:rPr>
              <w:t>veuillez joindre</w:t>
            </w:r>
            <w:r w:rsidRPr="0023655F">
              <w:rPr>
                <w:rFonts w:ascii="Times New Roman" w:hAnsi="Times New Roman" w:cs="Times New Roman"/>
                <w:sz w:val="24"/>
                <w:szCs w:val="24"/>
                <w:lang w:val="fr-FR"/>
              </w:rPr>
              <w:t xml:space="preserve"> le document en question.</w:t>
            </w:r>
          </w:p>
          <w:p w:rsidR="00264361" w:rsidRPr="0023655F" w:rsidRDefault="00837683" w:rsidP="00A352D9">
            <w:pPr>
              <w:pStyle w:val="BodyText"/>
              <w:rPr>
                <w:rFonts w:ascii="Times New Roman" w:hAnsi="Times New Roman" w:cs="Times New Roman"/>
                <w:sz w:val="24"/>
                <w:szCs w:val="24"/>
                <w:lang w:val="fr-FR"/>
              </w:rPr>
            </w:pPr>
            <w:r w:rsidRPr="0023655F">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2EEFAB19" wp14:editId="3B8398FA">
                      <wp:simplePos x="0" y="0"/>
                      <wp:positionH relativeFrom="column">
                        <wp:posOffset>524510</wp:posOffset>
                      </wp:positionH>
                      <wp:positionV relativeFrom="paragraph">
                        <wp:posOffset>17145</wp:posOffset>
                      </wp:positionV>
                      <wp:extent cx="90805" cy="90805"/>
                      <wp:effectExtent l="0" t="0" r="23495" b="2349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41.3pt;margin-top:1.3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VUk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Un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"/>
                  </w:pict>
                </mc:Fallback>
              </mc:AlternateContent>
            </w:r>
            <w:r w:rsidRPr="0023655F">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42907FD1" wp14:editId="3C845C54">
                      <wp:simplePos x="0" y="0"/>
                      <wp:positionH relativeFrom="column">
                        <wp:posOffset>-8255</wp:posOffset>
                      </wp:positionH>
                      <wp:positionV relativeFrom="paragraph">
                        <wp:posOffset>17145</wp:posOffset>
                      </wp:positionV>
                      <wp:extent cx="90805" cy="90805"/>
                      <wp:effectExtent l="0" t="0" r="23495" b="2349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65pt;margin-top:1.3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9yGw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"/>
                  </w:pict>
                </mc:Fallback>
              </mc:AlternateContent>
            </w:r>
            <w:r w:rsidR="00264361" w:rsidRPr="0023655F">
              <w:rPr>
                <w:rFonts w:ascii="Times New Roman" w:hAnsi="Times New Roman" w:cs="Times New Roman"/>
                <w:sz w:val="24"/>
                <w:szCs w:val="24"/>
                <w:lang w:val="fr-FR"/>
              </w:rPr>
              <w:t xml:space="preserve">    Oui           Non    Date: </w:t>
            </w:r>
            <w:r w:rsidR="00264361" w:rsidRPr="0023655F">
              <w:rPr>
                <w:rFonts w:ascii="Times New Roman" w:hAnsi="Times New Roman" w:cs="Times New Roman"/>
                <w:i/>
                <w:sz w:val="24"/>
                <w:szCs w:val="24"/>
                <w:lang w:val="fr-FR"/>
              </w:rPr>
              <w:t>jour/mois/année</w:t>
            </w:r>
          </w:p>
          <w:p w:rsidR="00264361" w:rsidRPr="0023655F" w:rsidRDefault="00264361" w:rsidP="00A352D9">
            <w:pPr>
              <w:pStyle w:val="BodyText"/>
              <w:rPr>
                <w:rFonts w:ascii="Times New Roman" w:hAnsi="Times New Roman" w:cs="Times New Roman"/>
                <w:sz w:val="24"/>
                <w:szCs w:val="24"/>
                <w:lang w:val="fr-FR"/>
              </w:rPr>
            </w:pPr>
            <w:r w:rsidRPr="0023655F">
              <w:rPr>
                <w:rFonts w:ascii="Times New Roman" w:hAnsi="Times New Roman" w:cs="Times New Roman"/>
                <w:sz w:val="24"/>
                <w:szCs w:val="24"/>
                <w:lang w:val="fr-FR"/>
              </w:rPr>
              <w:t xml:space="preserve">Rapport d’évaluation à mi-parcours </w:t>
            </w:r>
            <w:r w:rsidRPr="0023655F">
              <w:rPr>
                <w:rFonts w:ascii="Times New Roman" w:hAnsi="Times New Roman" w:cs="Times New Roman"/>
                <w:bCs/>
                <w:i/>
                <w:iCs/>
                <w:snapToGrid w:val="0"/>
                <w:sz w:val="24"/>
                <w:szCs w:val="24"/>
                <w:lang w:val="fr-FR"/>
              </w:rPr>
              <w:t>– veuillez joindre le document, le cas échéant.</w:t>
            </w:r>
            <w:r w:rsidRPr="0023655F">
              <w:rPr>
                <w:rFonts w:ascii="Times New Roman" w:hAnsi="Times New Roman" w:cs="Times New Roman"/>
                <w:b/>
                <w:sz w:val="24"/>
                <w:szCs w:val="24"/>
                <w:lang w:val="fr-FR"/>
              </w:rPr>
              <w:t xml:space="preserve"> </w:t>
            </w:r>
          </w:p>
          <w:p w:rsidR="00264361" w:rsidRPr="0023655F" w:rsidRDefault="00837683" w:rsidP="0061117C">
            <w:pPr>
              <w:pStyle w:val="BodyText"/>
              <w:rPr>
                <w:rFonts w:ascii="Times New Roman" w:hAnsi="Times New Roman" w:cs="Times New Roman"/>
                <w:sz w:val="24"/>
                <w:szCs w:val="24"/>
                <w:lang w:val="fr-FR"/>
              </w:rPr>
            </w:pPr>
            <w:r w:rsidRPr="0023655F">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3CD6CF78" wp14:editId="17E1F6FA">
                      <wp:simplePos x="0" y="0"/>
                      <wp:positionH relativeFrom="column">
                        <wp:posOffset>519430</wp:posOffset>
                      </wp:positionH>
                      <wp:positionV relativeFrom="paragraph">
                        <wp:posOffset>20320</wp:posOffset>
                      </wp:positionV>
                      <wp:extent cx="90805" cy="90805"/>
                      <wp:effectExtent l="0" t="0" r="23495" b="2349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40.9pt;margin-top:1.6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fy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ovOLNgqEWf&#10;STSwOy3ZNM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"/>
                  </w:pict>
                </mc:Fallback>
              </mc:AlternateContent>
            </w:r>
            <w:r w:rsidRPr="0023655F">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52CC9A21" wp14:editId="0E41BE81">
                      <wp:simplePos x="0" y="0"/>
                      <wp:positionH relativeFrom="column">
                        <wp:posOffset>-8255</wp:posOffset>
                      </wp:positionH>
                      <wp:positionV relativeFrom="paragraph">
                        <wp:posOffset>20955</wp:posOffset>
                      </wp:positionV>
                      <wp:extent cx="90805" cy="90805"/>
                      <wp:effectExtent l="0" t="0" r="23495" b="234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65pt;margin-top:1.6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92kGgIAADk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"/>
                  </w:pict>
                </mc:Fallback>
              </mc:AlternateContent>
            </w:r>
            <w:r w:rsidR="00264361" w:rsidRPr="0023655F">
              <w:rPr>
                <w:rFonts w:ascii="Times New Roman" w:hAnsi="Times New Roman" w:cs="Times New Roman"/>
                <w:sz w:val="24"/>
                <w:szCs w:val="24"/>
                <w:lang w:val="fr-FR"/>
              </w:rPr>
              <w:t xml:space="preserve">    Oui          Non     Date: </w:t>
            </w:r>
            <w:r w:rsidR="00264361" w:rsidRPr="0023655F">
              <w:rPr>
                <w:rFonts w:ascii="Times New Roman" w:hAnsi="Times New Roman" w:cs="Times New Roman"/>
                <w:i/>
                <w:sz w:val="24"/>
                <w:szCs w:val="24"/>
                <w:lang w:val="fr-FR"/>
              </w:rPr>
              <w:t>jour/mois/année</w:t>
            </w:r>
          </w:p>
        </w:tc>
        <w:tc>
          <w:tcPr>
            <w:tcW w:w="258" w:type="dxa"/>
            <w:vMerge/>
            <w:tcBorders>
              <w:left w:val="single" w:sz="4" w:space="0" w:color="auto"/>
              <w:right w:val="single" w:sz="4" w:space="0" w:color="auto"/>
            </w:tcBorders>
          </w:tcPr>
          <w:p w:rsidR="00264361" w:rsidRPr="0023655F" w:rsidRDefault="00264361" w:rsidP="00A352D9">
            <w:pPr>
              <w:pStyle w:val="BodyText"/>
              <w:rPr>
                <w:rFonts w:ascii="Times New Roman" w:hAnsi="Times New Roman" w:cs="Times New Roman"/>
                <w:sz w:val="24"/>
                <w:szCs w:val="24"/>
                <w:lang w:val="fr-FR"/>
              </w:rPr>
            </w:pPr>
          </w:p>
        </w:tc>
        <w:tc>
          <w:tcPr>
            <w:tcW w:w="4986" w:type="dxa"/>
            <w:tcBorders>
              <w:left w:val="single" w:sz="4" w:space="0" w:color="auto"/>
              <w:right w:val="single" w:sz="4" w:space="0" w:color="auto"/>
            </w:tcBorders>
          </w:tcPr>
          <w:p w:rsidR="00264361" w:rsidRPr="0023655F" w:rsidRDefault="00264361" w:rsidP="00BD7198">
            <w:pPr>
              <w:numPr>
                <w:ilvl w:val="0"/>
                <w:numId w:val="6"/>
              </w:numPr>
              <w:ind w:left="342"/>
            </w:pPr>
            <w:r w:rsidRPr="0023655F">
              <w:t>Nom:</w:t>
            </w:r>
            <w:r w:rsidR="00351AD5" w:rsidRPr="0023655F">
              <w:t xml:space="preserve"> Soetkin Meertens</w:t>
            </w:r>
          </w:p>
          <w:p w:rsidR="00264361" w:rsidRPr="0023655F" w:rsidRDefault="00264361" w:rsidP="00BD7198">
            <w:pPr>
              <w:numPr>
                <w:ilvl w:val="0"/>
                <w:numId w:val="6"/>
              </w:numPr>
              <w:ind w:left="342"/>
              <w:rPr>
                <w:lang w:val="en-US"/>
              </w:rPr>
            </w:pPr>
            <w:proofErr w:type="spellStart"/>
            <w:r w:rsidRPr="0023655F">
              <w:rPr>
                <w:lang w:val="en-US"/>
              </w:rPr>
              <w:t>Titre</w:t>
            </w:r>
            <w:proofErr w:type="spellEnd"/>
            <w:r w:rsidRPr="0023655F">
              <w:rPr>
                <w:lang w:val="en-US"/>
              </w:rPr>
              <w:t>:</w:t>
            </w:r>
            <w:r w:rsidR="00351AD5" w:rsidRPr="0023655F">
              <w:rPr>
                <w:lang w:val="en-US"/>
              </w:rPr>
              <w:t xml:space="preserve"> Program Specialist Gender responsive peacebuilding</w:t>
            </w:r>
          </w:p>
          <w:p w:rsidR="00264361" w:rsidRPr="0023655F" w:rsidRDefault="00264361" w:rsidP="00BD7198">
            <w:pPr>
              <w:numPr>
                <w:ilvl w:val="0"/>
                <w:numId w:val="6"/>
              </w:numPr>
              <w:ind w:left="342"/>
            </w:pPr>
            <w:r w:rsidRPr="0023655F">
              <w:t>Organisation participante (principale):</w:t>
            </w:r>
            <w:r w:rsidR="00351AD5" w:rsidRPr="0023655F">
              <w:t xml:space="preserve"> Bureau du Coordonnateur Résident </w:t>
            </w:r>
          </w:p>
          <w:p w:rsidR="00264361" w:rsidRPr="0023655F" w:rsidRDefault="00264361" w:rsidP="00BD7198">
            <w:pPr>
              <w:pStyle w:val="BodyText"/>
              <w:numPr>
                <w:ilvl w:val="0"/>
                <w:numId w:val="6"/>
              </w:numPr>
              <w:spacing w:after="120"/>
              <w:ind w:left="342"/>
              <w:jc w:val="both"/>
              <w:rPr>
                <w:rFonts w:ascii="Times New Roman" w:hAnsi="Times New Roman" w:cs="Times New Roman"/>
                <w:b/>
                <w:bCs/>
                <w:snapToGrid w:val="0"/>
                <w:kern w:val="32"/>
                <w:sz w:val="24"/>
                <w:szCs w:val="24"/>
                <w:lang w:val="fr-FR"/>
              </w:rPr>
            </w:pPr>
            <w:r w:rsidRPr="0023655F">
              <w:rPr>
                <w:rFonts w:ascii="Times New Roman" w:hAnsi="Times New Roman" w:cs="Times New Roman"/>
                <w:sz w:val="24"/>
                <w:szCs w:val="24"/>
                <w:lang w:val="fr-FR"/>
              </w:rPr>
              <w:t>Adresse e-mail:</w:t>
            </w:r>
            <w:r w:rsidR="00351AD5" w:rsidRPr="0023655F">
              <w:rPr>
                <w:rFonts w:ascii="Times New Roman" w:hAnsi="Times New Roman" w:cs="Times New Roman"/>
                <w:sz w:val="24"/>
                <w:szCs w:val="24"/>
                <w:lang w:val="fr-FR"/>
              </w:rPr>
              <w:t xml:space="preserve"> soetkin.meertens@unwomen.org</w:t>
            </w:r>
          </w:p>
        </w:tc>
      </w:tr>
      <w:tr w:rsidR="00351AD5" w:rsidRPr="0023655F">
        <w:trPr>
          <w:trHeight w:val="285"/>
        </w:trPr>
        <w:tc>
          <w:tcPr>
            <w:tcW w:w="5142" w:type="dxa"/>
            <w:tcBorders>
              <w:left w:val="single" w:sz="4" w:space="0" w:color="auto"/>
              <w:bottom w:val="single" w:sz="4" w:space="0" w:color="auto"/>
              <w:right w:val="single" w:sz="4" w:space="0" w:color="auto"/>
            </w:tcBorders>
          </w:tcPr>
          <w:p w:rsidR="00351AD5" w:rsidRPr="0023655F" w:rsidRDefault="00351AD5" w:rsidP="00A352D9">
            <w:pPr>
              <w:pStyle w:val="BodyText"/>
              <w:rPr>
                <w:rFonts w:ascii="Times New Roman" w:hAnsi="Times New Roman" w:cs="Times New Roman"/>
                <w:sz w:val="24"/>
                <w:szCs w:val="24"/>
                <w:lang w:val="fr-FR"/>
              </w:rPr>
            </w:pPr>
          </w:p>
        </w:tc>
        <w:tc>
          <w:tcPr>
            <w:tcW w:w="258" w:type="dxa"/>
            <w:tcBorders>
              <w:left w:val="single" w:sz="4" w:space="0" w:color="auto"/>
              <w:right w:val="single" w:sz="4" w:space="0" w:color="auto"/>
            </w:tcBorders>
          </w:tcPr>
          <w:p w:rsidR="00351AD5" w:rsidRPr="0023655F" w:rsidRDefault="00351AD5" w:rsidP="00A352D9">
            <w:pPr>
              <w:pStyle w:val="BodyText"/>
              <w:rPr>
                <w:rFonts w:ascii="Times New Roman" w:hAnsi="Times New Roman" w:cs="Times New Roman"/>
                <w:sz w:val="24"/>
                <w:szCs w:val="24"/>
                <w:lang w:val="fr-FR"/>
              </w:rPr>
            </w:pPr>
          </w:p>
        </w:tc>
        <w:tc>
          <w:tcPr>
            <w:tcW w:w="4986" w:type="dxa"/>
            <w:tcBorders>
              <w:left w:val="single" w:sz="4" w:space="0" w:color="auto"/>
              <w:bottom w:val="single" w:sz="4" w:space="0" w:color="auto"/>
              <w:right w:val="single" w:sz="4" w:space="0" w:color="auto"/>
            </w:tcBorders>
          </w:tcPr>
          <w:p w:rsidR="00351AD5" w:rsidRPr="0023655F" w:rsidRDefault="00351AD5" w:rsidP="00DC4E20">
            <w:pPr>
              <w:ind w:left="342"/>
            </w:pPr>
          </w:p>
        </w:tc>
      </w:tr>
    </w:tbl>
    <w:p w:rsidR="00264361" w:rsidRPr="0023655F" w:rsidRDefault="00264361" w:rsidP="004D18B1">
      <w:pPr>
        <w:pStyle w:val="Heading1"/>
        <w:tabs>
          <w:tab w:val="left" w:pos="360"/>
        </w:tabs>
        <w:ind w:left="0"/>
        <w:jc w:val="left"/>
        <w:rPr>
          <w:rFonts w:ascii="Times New Roman" w:hAnsi="Times New Roman" w:cs="Times New Roman"/>
        </w:rPr>
      </w:pPr>
      <w:r w:rsidRPr="0023655F">
        <w:rPr>
          <w:rFonts w:ascii="Times New Roman" w:hAnsi="Times New Roman" w:cs="Times New Roman"/>
        </w:rPr>
        <w:t xml:space="preserve">RESUME ANALYTIQUE </w:t>
      </w:r>
    </w:p>
    <w:p w:rsidR="0024056E" w:rsidRPr="0023655F" w:rsidRDefault="0024056E" w:rsidP="0024056E"/>
    <w:p w:rsidR="00D26A5A" w:rsidRPr="0023655F" w:rsidRDefault="00F75D12" w:rsidP="00F75D12">
      <w:pPr>
        <w:numPr>
          <w:ilvl w:val="12"/>
          <w:numId w:val="0"/>
        </w:numPr>
        <w:tabs>
          <w:tab w:val="left" w:pos="-720"/>
          <w:tab w:val="left" w:pos="4500"/>
        </w:tabs>
        <w:suppressAutoHyphens/>
        <w:jc w:val="both"/>
        <w:rPr>
          <w:lang w:eastAsia="en-US"/>
        </w:rPr>
      </w:pPr>
      <w:r w:rsidRPr="0023655F">
        <w:rPr>
          <w:lang w:eastAsia="en-US"/>
        </w:rPr>
        <w:t>A l’analyse, il ressort qu’effectivement, les actions entreprises</w:t>
      </w:r>
      <w:r w:rsidR="004B6532" w:rsidRPr="0023655F">
        <w:rPr>
          <w:lang w:eastAsia="en-US"/>
        </w:rPr>
        <w:t xml:space="preserve"> dans le cadre des dispositifs de monitoring mis en place </w:t>
      </w:r>
      <w:r w:rsidR="000E2CFE" w:rsidRPr="0023655F">
        <w:rPr>
          <w:lang w:eastAsia="en-US"/>
        </w:rPr>
        <w:t>à</w:t>
      </w:r>
      <w:r w:rsidR="004B6532" w:rsidRPr="0023655F">
        <w:rPr>
          <w:lang w:eastAsia="en-US"/>
        </w:rPr>
        <w:t xml:space="preserve"> travers d’un </w:t>
      </w:r>
      <w:r w:rsidR="00A115E6" w:rsidRPr="0023655F">
        <w:rPr>
          <w:lang w:eastAsia="en-US"/>
        </w:rPr>
        <w:t>côté</w:t>
      </w:r>
      <w:r w:rsidR="004B6532" w:rsidRPr="0023655F">
        <w:rPr>
          <w:lang w:eastAsia="en-US"/>
        </w:rPr>
        <w:t xml:space="preserve"> la « Case de Veille » des femmes pour des </w:t>
      </w:r>
      <w:r w:rsidR="000E2CFE" w:rsidRPr="0023655F">
        <w:rPr>
          <w:lang w:eastAsia="en-US"/>
        </w:rPr>
        <w:t>élections</w:t>
      </w:r>
      <w:r w:rsidR="004B6532" w:rsidRPr="0023655F">
        <w:rPr>
          <w:lang w:eastAsia="en-US"/>
        </w:rPr>
        <w:t xml:space="preserve"> transparentes et </w:t>
      </w:r>
      <w:r w:rsidR="000E2CFE" w:rsidRPr="0023655F">
        <w:rPr>
          <w:lang w:eastAsia="en-US"/>
        </w:rPr>
        <w:t>apaisées</w:t>
      </w:r>
      <w:r w:rsidR="004B6532" w:rsidRPr="0023655F">
        <w:rPr>
          <w:lang w:eastAsia="en-US"/>
        </w:rPr>
        <w:t xml:space="preserve"> et d’un autre cotre le dispositif de monitoring des droits de l’homme</w:t>
      </w:r>
      <w:r w:rsidRPr="0023655F">
        <w:rPr>
          <w:lang w:eastAsia="en-US"/>
        </w:rPr>
        <w:t xml:space="preserve"> </w:t>
      </w:r>
      <w:r w:rsidR="00BD1A9C" w:rsidRPr="0023655F">
        <w:rPr>
          <w:lang w:eastAsia="en-US"/>
        </w:rPr>
        <w:t xml:space="preserve">qui ont impliqué environ 1000 personnes, dont 780 observateurs et observatrices sur le terrain couvrant presque 10% de l’ensemble des 12,000 bureaux de vote, </w:t>
      </w:r>
      <w:r w:rsidRPr="0023655F">
        <w:rPr>
          <w:lang w:eastAsia="en-US"/>
        </w:rPr>
        <w:t>ont qualitativement contribué à la création d’un climat favorable à la tenue des élections exemptes de violations  graves des droits de l’homme en référence aux élections antérieures qui se sont déroulées en Guinée</w:t>
      </w:r>
      <w:r w:rsidR="000E2CFE" w:rsidRPr="0023655F">
        <w:rPr>
          <w:lang w:eastAsia="en-US"/>
        </w:rPr>
        <w:t xml:space="preserve">. </w:t>
      </w:r>
    </w:p>
    <w:p w:rsidR="00D26A5A" w:rsidRPr="0023655F" w:rsidRDefault="00D26A5A" w:rsidP="00F75D12">
      <w:pPr>
        <w:numPr>
          <w:ilvl w:val="12"/>
          <w:numId w:val="0"/>
        </w:numPr>
        <w:tabs>
          <w:tab w:val="left" w:pos="-720"/>
          <w:tab w:val="left" w:pos="4500"/>
        </w:tabs>
        <w:suppressAutoHyphens/>
        <w:jc w:val="both"/>
        <w:rPr>
          <w:lang w:eastAsia="en-US"/>
        </w:rPr>
      </w:pPr>
    </w:p>
    <w:p w:rsidR="00D26A5A" w:rsidRPr="0023655F" w:rsidRDefault="00D26A5A" w:rsidP="002F0178">
      <w:pPr>
        <w:numPr>
          <w:ilvl w:val="12"/>
          <w:numId w:val="0"/>
        </w:numPr>
        <w:tabs>
          <w:tab w:val="left" w:pos="-720"/>
          <w:tab w:val="left" w:pos="4500"/>
        </w:tabs>
        <w:suppressAutoHyphens/>
        <w:jc w:val="both"/>
        <w:rPr>
          <w:lang w:eastAsia="en-US"/>
        </w:rPr>
      </w:pPr>
      <w:r w:rsidRPr="0023655F">
        <w:rPr>
          <w:lang w:eastAsia="en-US"/>
        </w:rPr>
        <w:t>A titre d’exemple, u</w:t>
      </w:r>
      <w:r w:rsidR="008B175C" w:rsidRPr="0023655F">
        <w:rPr>
          <w:lang w:eastAsia="en-US"/>
        </w:rPr>
        <w:t>n total de 14</w:t>
      </w:r>
      <w:r w:rsidRPr="0023655F">
        <w:rPr>
          <w:lang w:eastAsia="en-US"/>
        </w:rPr>
        <w:t xml:space="preserve"> cas alarmants </w:t>
      </w:r>
      <w:r w:rsidR="008B175C" w:rsidRPr="0023655F">
        <w:rPr>
          <w:lang w:eastAsia="en-US"/>
        </w:rPr>
        <w:t xml:space="preserve">dont des incidents de violence et de violation des droits de l’homme, </w:t>
      </w:r>
      <w:r w:rsidRPr="0023655F">
        <w:rPr>
          <w:lang w:eastAsia="en-US"/>
        </w:rPr>
        <w:t xml:space="preserve">ont entièrement été </w:t>
      </w:r>
      <w:r w:rsidR="002F0178" w:rsidRPr="0023655F">
        <w:rPr>
          <w:lang w:eastAsia="en-US"/>
        </w:rPr>
        <w:t>gérés</w:t>
      </w:r>
      <w:r w:rsidRPr="0023655F">
        <w:rPr>
          <w:lang w:eastAsia="en-US"/>
        </w:rPr>
        <w:t xml:space="preserve"> par les mécanismes d’alerte précoce et de </w:t>
      </w:r>
      <w:r w:rsidR="00A115E6" w:rsidRPr="0023655F">
        <w:rPr>
          <w:lang w:eastAsia="en-US"/>
        </w:rPr>
        <w:t>réponses rapides</w:t>
      </w:r>
      <w:r w:rsidRPr="0023655F">
        <w:rPr>
          <w:lang w:eastAsia="en-US"/>
        </w:rPr>
        <w:t xml:space="preserve"> des deux dispositifs</w:t>
      </w:r>
      <w:r w:rsidR="002F0178" w:rsidRPr="0023655F">
        <w:rPr>
          <w:lang w:eastAsia="en-US"/>
        </w:rPr>
        <w:t xml:space="preserve">. Ainsi, la collaboration </w:t>
      </w:r>
      <w:r w:rsidRPr="0023655F">
        <w:rPr>
          <w:lang w:eastAsia="en-US"/>
        </w:rPr>
        <w:t xml:space="preserve">entre le HCDH, le PNUD, le Commandement de la FOSSEL, la CENI, les responsables de COFFIG, les membres du Gouvernement, les autorités locales </w:t>
      </w:r>
      <w:r w:rsidR="002F0178" w:rsidRPr="0023655F">
        <w:rPr>
          <w:lang w:eastAsia="en-US"/>
        </w:rPr>
        <w:t xml:space="preserve">et les autres missions d’observation </w:t>
      </w:r>
      <w:r w:rsidRPr="0023655F">
        <w:rPr>
          <w:lang w:eastAsia="en-US"/>
        </w:rPr>
        <w:t>ont permis de dynamiser les efforts pour non seulement rassurer les partis et les électeurs mais surtout prévenir les situations de conflits entre les acteurs et sauvegarder la paix, condition sine qua none à l’exercice du droit de vote qui est un droit fondamental.</w:t>
      </w:r>
      <w:r w:rsidR="008B175C" w:rsidRPr="0023655F">
        <w:rPr>
          <w:lang w:eastAsia="en-US"/>
        </w:rPr>
        <w:t xml:space="preserve"> Ces actions ont abouti à une baisse de </w:t>
      </w:r>
      <w:r w:rsidR="008B175C" w:rsidRPr="0023655F">
        <w:rPr>
          <w:bCs/>
        </w:rPr>
        <w:t xml:space="preserve"> 75% d’incidents comparés aux élections présidentielles dans la période couverte par le projet</w:t>
      </w:r>
    </w:p>
    <w:p w:rsidR="00D26A5A" w:rsidRPr="0023655F" w:rsidRDefault="00D26A5A" w:rsidP="00F75D12">
      <w:pPr>
        <w:numPr>
          <w:ilvl w:val="12"/>
          <w:numId w:val="0"/>
        </w:numPr>
        <w:tabs>
          <w:tab w:val="left" w:pos="-720"/>
          <w:tab w:val="left" w:pos="4500"/>
        </w:tabs>
        <w:suppressAutoHyphens/>
        <w:jc w:val="both"/>
        <w:rPr>
          <w:lang w:eastAsia="en-US"/>
        </w:rPr>
      </w:pPr>
    </w:p>
    <w:p w:rsidR="00F75D12" w:rsidRPr="0023655F" w:rsidRDefault="000E2CFE" w:rsidP="00F75D12">
      <w:pPr>
        <w:numPr>
          <w:ilvl w:val="12"/>
          <w:numId w:val="0"/>
        </w:numPr>
        <w:tabs>
          <w:tab w:val="left" w:pos="-720"/>
          <w:tab w:val="left" w:pos="4500"/>
        </w:tabs>
        <w:suppressAutoHyphens/>
        <w:jc w:val="both"/>
      </w:pPr>
      <w:r w:rsidRPr="0023655F">
        <w:rPr>
          <w:lang w:eastAsia="en-US"/>
        </w:rPr>
        <w:t xml:space="preserve">En outre, le taux de vote de 64% a démontré la confiance des populations </w:t>
      </w:r>
      <w:r w:rsidR="002F0178" w:rsidRPr="0023655F">
        <w:rPr>
          <w:lang w:eastAsia="en-US"/>
        </w:rPr>
        <w:t>pour se</w:t>
      </w:r>
      <w:r w:rsidRPr="0023655F">
        <w:rPr>
          <w:lang w:eastAsia="en-US"/>
        </w:rPr>
        <w:t xml:space="preserve"> présenter aux urnes</w:t>
      </w:r>
      <w:r w:rsidR="00BD1A9C" w:rsidRPr="0023655F">
        <w:rPr>
          <w:lang w:eastAsia="en-US"/>
        </w:rPr>
        <w:t xml:space="preserve"> dans un climat électoral apaisé</w:t>
      </w:r>
      <w:r w:rsidRPr="0023655F">
        <w:rPr>
          <w:lang w:eastAsia="en-US"/>
        </w:rPr>
        <w:t xml:space="preserve">. </w:t>
      </w:r>
      <w:r w:rsidR="00BD1A9C" w:rsidRPr="0023655F">
        <w:rPr>
          <w:lang w:eastAsia="en-US"/>
        </w:rPr>
        <w:t>Il est à noter que c</w:t>
      </w:r>
      <w:r w:rsidR="00F4345D" w:rsidRPr="0023655F">
        <w:rPr>
          <w:lang w:eastAsia="en-US"/>
        </w:rPr>
        <w:t xml:space="preserve">e taux </w:t>
      </w:r>
      <w:r w:rsidR="00D26A5A" w:rsidRPr="0023655F">
        <w:rPr>
          <w:lang w:eastAsia="en-US"/>
        </w:rPr>
        <w:t>est 4,3% plus élevé que la moyenne des</w:t>
      </w:r>
      <w:r w:rsidR="00BD1A9C" w:rsidRPr="0023655F">
        <w:rPr>
          <w:lang w:eastAsia="en-US"/>
        </w:rPr>
        <w:t xml:space="preserve"> deux</w:t>
      </w:r>
      <w:r w:rsidR="00D26A5A" w:rsidRPr="0023655F">
        <w:rPr>
          <w:lang w:eastAsia="en-US"/>
        </w:rPr>
        <w:t xml:space="preserve"> tours</w:t>
      </w:r>
      <w:r w:rsidR="00BD1A9C" w:rsidRPr="0023655F">
        <w:rPr>
          <w:lang w:eastAsia="en-US"/>
        </w:rPr>
        <w:t xml:space="preserve"> consécutifs </w:t>
      </w:r>
      <w:r w:rsidR="00D26A5A" w:rsidRPr="0023655F">
        <w:rPr>
          <w:lang w:eastAsia="en-US"/>
        </w:rPr>
        <w:t xml:space="preserve"> lors des </w:t>
      </w:r>
      <w:r w:rsidR="00BD1A9C" w:rsidRPr="0023655F">
        <w:rPr>
          <w:lang w:eastAsia="en-US"/>
        </w:rPr>
        <w:t>élections</w:t>
      </w:r>
      <w:r w:rsidR="00D26A5A" w:rsidRPr="0023655F">
        <w:rPr>
          <w:lang w:eastAsia="en-US"/>
        </w:rPr>
        <w:t xml:space="preserve"> présidentielles qui était de </w:t>
      </w:r>
      <w:r w:rsidR="00D26A5A" w:rsidRPr="0023655F">
        <w:t>59,7%</w:t>
      </w:r>
      <w:r w:rsidR="008B175C" w:rsidRPr="0023655F">
        <w:t xml:space="preserve">. </w:t>
      </w:r>
    </w:p>
    <w:p w:rsidR="00DC4E20" w:rsidRPr="0023655F" w:rsidRDefault="00DC4E20" w:rsidP="0024056E">
      <w:pPr>
        <w:pStyle w:val="BodyText2"/>
        <w:spacing w:after="0" w:line="240" w:lineRule="auto"/>
        <w:jc w:val="both"/>
        <w:rPr>
          <w:lang w:eastAsia="en-US"/>
        </w:rPr>
      </w:pPr>
    </w:p>
    <w:p w:rsidR="00DC4E20" w:rsidRPr="0023655F" w:rsidRDefault="00DC4E20" w:rsidP="0024056E">
      <w:pPr>
        <w:pStyle w:val="BodyText2"/>
        <w:spacing w:after="0" w:line="240" w:lineRule="auto"/>
        <w:jc w:val="both"/>
        <w:rPr>
          <w:lang w:eastAsia="en-US"/>
        </w:rPr>
      </w:pPr>
    </w:p>
    <w:p w:rsidR="00264361" w:rsidRPr="0023655F" w:rsidRDefault="00264361" w:rsidP="004D18B1">
      <w:pPr>
        <w:pStyle w:val="Heading1"/>
        <w:numPr>
          <w:ilvl w:val="0"/>
          <w:numId w:val="1"/>
        </w:numPr>
        <w:tabs>
          <w:tab w:val="left" w:pos="360"/>
        </w:tabs>
        <w:ind w:left="360" w:hanging="360"/>
        <w:jc w:val="left"/>
        <w:rPr>
          <w:rFonts w:ascii="Times New Roman" w:hAnsi="Times New Roman" w:cs="Times New Roman"/>
        </w:rPr>
      </w:pPr>
      <w:bookmarkStart w:id="1" w:name="_Toc249364483"/>
      <w:r w:rsidRPr="0023655F">
        <w:rPr>
          <w:rFonts w:ascii="Times New Roman" w:hAnsi="Times New Roman" w:cs="Times New Roman"/>
        </w:rPr>
        <w:t>But</w:t>
      </w:r>
      <w:bookmarkEnd w:id="1"/>
    </w:p>
    <w:p w:rsidR="0020114B" w:rsidRPr="0023655F" w:rsidRDefault="0020114B" w:rsidP="0020114B"/>
    <w:p w:rsidR="004954F9" w:rsidRPr="0023655F" w:rsidRDefault="00E70EAF" w:rsidP="00E70EAF">
      <w:pPr>
        <w:pStyle w:val="BodyText"/>
        <w:jc w:val="both"/>
        <w:rPr>
          <w:rFonts w:ascii="Times New Roman" w:hAnsi="Times New Roman" w:cs="Times New Roman"/>
          <w:sz w:val="24"/>
          <w:szCs w:val="24"/>
          <w:lang w:val="fr-FR"/>
        </w:rPr>
      </w:pPr>
      <w:r w:rsidRPr="0023655F">
        <w:rPr>
          <w:rFonts w:ascii="Times New Roman" w:hAnsi="Times New Roman" w:cs="Times New Roman"/>
          <w:sz w:val="24"/>
          <w:szCs w:val="24"/>
          <w:lang w:val="fr-FR"/>
        </w:rPr>
        <w:t>L’objectif global du projet</w:t>
      </w:r>
      <w:r w:rsidR="00AA11EB" w:rsidRPr="0023655F">
        <w:rPr>
          <w:rFonts w:ascii="Times New Roman" w:hAnsi="Times New Roman" w:cs="Times New Roman"/>
          <w:sz w:val="24"/>
          <w:szCs w:val="24"/>
          <w:lang w:val="fr-FR"/>
        </w:rPr>
        <w:t xml:space="preserve"> qui regroupe le PNUD, le HCDH et l’UNESCO</w:t>
      </w:r>
      <w:r w:rsidRPr="0023655F">
        <w:rPr>
          <w:rFonts w:ascii="Times New Roman" w:hAnsi="Times New Roman" w:cs="Times New Roman"/>
          <w:sz w:val="24"/>
          <w:szCs w:val="24"/>
          <w:lang w:val="fr-FR"/>
        </w:rPr>
        <w:t xml:space="preserve"> est de contribuer à l’instauration d’un climat de confiance</w:t>
      </w:r>
      <w:r w:rsidR="00AA11EB" w:rsidRPr="0023655F">
        <w:rPr>
          <w:rFonts w:ascii="Times New Roman" w:hAnsi="Times New Roman" w:cs="Times New Roman"/>
          <w:sz w:val="24"/>
          <w:szCs w:val="24"/>
          <w:lang w:val="fr-FR"/>
        </w:rPr>
        <w:t xml:space="preserve">, </w:t>
      </w:r>
      <w:r w:rsidR="0012424F" w:rsidRPr="0023655F">
        <w:rPr>
          <w:rFonts w:ascii="Times New Roman" w:hAnsi="Times New Roman" w:cs="Times New Roman"/>
          <w:sz w:val="24"/>
          <w:szCs w:val="24"/>
          <w:lang w:val="fr-FR"/>
        </w:rPr>
        <w:t>à</w:t>
      </w:r>
      <w:r w:rsidRPr="0023655F">
        <w:rPr>
          <w:rFonts w:ascii="Times New Roman" w:hAnsi="Times New Roman" w:cs="Times New Roman"/>
          <w:sz w:val="24"/>
          <w:szCs w:val="24"/>
          <w:lang w:val="fr-FR"/>
        </w:rPr>
        <w:t xml:space="preserve"> la promotion d’une culture de non-violence</w:t>
      </w:r>
      <w:r w:rsidR="00AA11EB" w:rsidRPr="0023655F">
        <w:rPr>
          <w:rFonts w:ascii="Times New Roman" w:hAnsi="Times New Roman" w:cs="Times New Roman"/>
          <w:sz w:val="24"/>
          <w:szCs w:val="24"/>
          <w:lang w:val="fr-FR"/>
        </w:rPr>
        <w:t xml:space="preserve"> ainsi qu’au respect des droits de l’homme</w:t>
      </w:r>
      <w:r w:rsidRPr="0023655F">
        <w:rPr>
          <w:rFonts w:ascii="Times New Roman" w:hAnsi="Times New Roman" w:cs="Times New Roman"/>
          <w:sz w:val="24"/>
          <w:szCs w:val="24"/>
          <w:lang w:val="fr-FR"/>
        </w:rPr>
        <w:t xml:space="preserve"> avant, pendant et après les élections législatives du 28 Septembre 2013. Le</w:t>
      </w:r>
      <w:r w:rsidR="00AA11EB" w:rsidRPr="0023655F">
        <w:rPr>
          <w:rFonts w:ascii="Times New Roman" w:hAnsi="Times New Roman" w:cs="Times New Roman"/>
          <w:sz w:val="24"/>
          <w:szCs w:val="24"/>
          <w:lang w:val="fr-FR"/>
        </w:rPr>
        <w:t xml:space="preserve"> premier volet porté</w:t>
      </w:r>
      <w:r w:rsidR="002B3A1B" w:rsidRPr="0023655F">
        <w:rPr>
          <w:rFonts w:ascii="Times New Roman" w:hAnsi="Times New Roman" w:cs="Times New Roman"/>
          <w:sz w:val="24"/>
          <w:szCs w:val="24"/>
          <w:lang w:val="fr-FR"/>
        </w:rPr>
        <w:t xml:space="preserve"> par le PNU</w:t>
      </w:r>
      <w:r w:rsidR="00AA11EB" w:rsidRPr="0023655F">
        <w:rPr>
          <w:rFonts w:ascii="Times New Roman" w:hAnsi="Times New Roman" w:cs="Times New Roman"/>
          <w:sz w:val="24"/>
          <w:szCs w:val="24"/>
          <w:lang w:val="fr-FR"/>
        </w:rPr>
        <w:t xml:space="preserve">D </w:t>
      </w:r>
      <w:r w:rsidR="0012424F" w:rsidRPr="0023655F">
        <w:rPr>
          <w:rFonts w:ascii="Times New Roman" w:hAnsi="Times New Roman" w:cs="Times New Roman"/>
          <w:sz w:val="24"/>
          <w:szCs w:val="24"/>
          <w:lang w:val="fr-FR"/>
        </w:rPr>
        <w:t>a été</w:t>
      </w:r>
      <w:r w:rsidR="00AA11EB" w:rsidRPr="0023655F">
        <w:rPr>
          <w:rFonts w:ascii="Times New Roman" w:hAnsi="Times New Roman" w:cs="Times New Roman"/>
          <w:sz w:val="24"/>
          <w:szCs w:val="24"/>
          <w:lang w:val="fr-FR"/>
        </w:rPr>
        <w:t xml:space="preserve"> géré par les femmes </w:t>
      </w:r>
      <w:r w:rsidR="0020114B" w:rsidRPr="0023655F">
        <w:rPr>
          <w:rFonts w:ascii="Times New Roman" w:hAnsi="Times New Roman" w:cs="Times New Roman"/>
          <w:sz w:val="24"/>
          <w:szCs w:val="24"/>
          <w:lang w:val="fr-FR"/>
        </w:rPr>
        <w:t>à</w:t>
      </w:r>
      <w:r w:rsidR="00AA11EB" w:rsidRPr="0023655F">
        <w:rPr>
          <w:rFonts w:ascii="Times New Roman" w:hAnsi="Times New Roman" w:cs="Times New Roman"/>
          <w:sz w:val="24"/>
          <w:szCs w:val="24"/>
          <w:lang w:val="fr-FR"/>
        </w:rPr>
        <w:t xml:space="preserve"> travers la Plateforme de Veille pour la tenue d’élections paisibles et transparentes en partenariat avec Consortium pour l’observation Domestique du processus électoral en Guinée (CODE)</w:t>
      </w:r>
      <w:r w:rsidR="0012424F" w:rsidRPr="0023655F">
        <w:rPr>
          <w:rFonts w:ascii="Times New Roman" w:hAnsi="Times New Roman" w:cs="Times New Roman"/>
          <w:sz w:val="24"/>
          <w:szCs w:val="24"/>
          <w:lang w:val="fr-FR"/>
        </w:rPr>
        <w:t>. Il visait</w:t>
      </w:r>
      <w:r w:rsidR="00AA11EB" w:rsidRPr="0023655F">
        <w:rPr>
          <w:rFonts w:ascii="Times New Roman" w:hAnsi="Times New Roman" w:cs="Times New Roman"/>
          <w:sz w:val="24"/>
          <w:szCs w:val="24"/>
          <w:lang w:val="fr-FR"/>
        </w:rPr>
        <w:t xml:space="preserve"> à mettre </w:t>
      </w:r>
      <w:r w:rsidRPr="0023655F">
        <w:rPr>
          <w:rFonts w:ascii="Times New Roman" w:hAnsi="Times New Roman" w:cs="Times New Roman"/>
          <w:sz w:val="24"/>
          <w:szCs w:val="24"/>
          <w:lang w:val="fr-FR"/>
        </w:rPr>
        <w:t>en place un dispositif de monitoring des élections avec une capacité de réponse efficace rapide pour intervenir en temps réel aux dysfonctionnements liés aux élections, aux risques de fraude, de violences électorales</w:t>
      </w:r>
      <w:r w:rsidR="00AA11EB" w:rsidRPr="0023655F">
        <w:rPr>
          <w:rFonts w:ascii="Times New Roman" w:hAnsi="Times New Roman" w:cs="Times New Roman"/>
          <w:sz w:val="24"/>
          <w:szCs w:val="24"/>
          <w:lang w:val="fr-FR"/>
        </w:rPr>
        <w:t xml:space="preserve">. </w:t>
      </w:r>
      <w:r w:rsidRPr="0023655F">
        <w:rPr>
          <w:rFonts w:ascii="Times New Roman" w:hAnsi="Times New Roman" w:cs="Times New Roman"/>
          <w:sz w:val="24"/>
          <w:szCs w:val="24"/>
          <w:lang w:val="fr-FR"/>
        </w:rPr>
        <w:t xml:space="preserve"> </w:t>
      </w:r>
      <w:r w:rsidR="00AA11EB" w:rsidRPr="0023655F">
        <w:rPr>
          <w:rFonts w:ascii="Times New Roman" w:hAnsi="Times New Roman" w:cs="Times New Roman"/>
          <w:sz w:val="24"/>
          <w:szCs w:val="24"/>
          <w:lang w:val="fr-FR"/>
        </w:rPr>
        <w:t xml:space="preserve">Basé </w:t>
      </w:r>
      <w:r w:rsidRPr="0023655F">
        <w:rPr>
          <w:rFonts w:ascii="Times New Roman" w:hAnsi="Times New Roman" w:cs="Times New Roman"/>
          <w:sz w:val="24"/>
          <w:szCs w:val="24"/>
          <w:lang w:val="fr-FR"/>
        </w:rPr>
        <w:t>sur l</w:t>
      </w:r>
      <w:r w:rsidR="0020114B" w:rsidRPr="0023655F">
        <w:rPr>
          <w:rFonts w:ascii="Times New Roman" w:hAnsi="Times New Roman" w:cs="Times New Roman"/>
          <w:sz w:val="24"/>
          <w:szCs w:val="24"/>
          <w:lang w:val="fr-FR"/>
        </w:rPr>
        <w:t xml:space="preserve">es </w:t>
      </w:r>
      <w:r w:rsidRPr="0023655F">
        <w:rPr>
          <w:rFonts w:ascii="Times New Roman" w:hAnsi="Times New Roman" w:cs="Times New Roman"/>
          <w:sz w:val="24"/>
          <w:szCs w:val="24"/>
          <w:lang w:val="fr-FR"/>
        </w:rPr>
        <w:t>expérience</w:t>
      </w:r>
      <w:r w:rsidR="0020114B" w:rsidRPr="0023655F">
        <w:rPr>
          <w:rFonts w:ascii="Times New Roman" w:hAnsi="Times New Roman" w:cs="Times New Roman"/>
          <w:sz w:val="24"/>
          <w:szCs w:val="24"/>
          <w:lang w:val="fr-FR"/>
        </w:rPr>
        <w:t>s</w:t>
      </w:r>
      <w:r w:rsidRPr="0023655F">
        <w:rPr>
          <w:rFonts w:ascii="Times New Roman" w:hAnsi="Times New Roman" w:cs="Times New Roman"/>
          <w:sz w:val="24"/>
          <w:szCs w:val="24"/>
          <w:lang w:val="fr-FR"/>
        </w:rPr>
        <w:t xml:space="preserve"> au Sénégal, Liberia, Sierra Leone,</w:t>
      </w:r>
      <w:r w:rsidR="0012424F" w:rsidRPr="0023655F">
        <w:rPr>
          <w:rFonts w:ascii="Times New Roman" w:hAnsi="Times New Roman" w:cs="Times New Roman"/>
          <w:sz w:val="24"/>
          <w:szCs w:val="24"/>
          <w:lang w:val="fr-FR"/>
        </w:rPr>
        <w:t xml:space="preserve"> Mali et Togo, ce dispositif était</w:t>
      </w:r>
      <w:r w:rsidRPr="0023655F">
        <w:rPr>
          <w:rFonts w:ascii="Times New Roman" w:hAnsi="Times New Roman" w:cs="Times New Roman"/>
          <w:sz w:val="24"/>
          <w:szCs w:val="24"/>
          <w:lang w:val="fr-FR"/>
        </w:rPr>
        <w:t xml:space="preserve"> composé d’une « Case de Veille »</w:t>
      </w:r>
      <w:r w:rsidR="0012424F" w:rsidRPr="0023655F">
        <w:rPr>
          <w:rFonts w:ascii="Times New Roman" w:hAnsi="Times New Roman" w:cs="Times New Roman"/>
          <w:sz w:val="24"/>
          <w:szCs w:val="24"/>
          <w:lang w:val="fr-FR"/>
        </w:rPr>
        <w:t xml:space="preserve"> qui intégrait</w:t>
      </w:r>
      <w:r w:rsidRPr="0023655F">
        <w:rPr>
          <w:rFonts w:ascii="Times New Roman" w:hAnsi="Times New Roman" w:cs="Times New Roman"/>
          <w:sz w:val="24"/>
          <w:szCs w:val="24"/>
          <w:lang w:val="fr-FR"/>
        </w:rPr>
        <w:t xml:space="preserve"> trois chambres </w:t>
      </w:r>
      <w:r w:rsidR="0012424F" w:rsidRPr="0023655F">
        <w:rPr>
          <w:rFonts w:ascii="Times New Roman" w:hAnsi="Times New Roman" w:cs="Times New Roman"/>
          <w:sz w:val="24"/>
          <w:szCs w:val="24"/>
          <w:lang w:val="fr-FR"/>
        </w:rPr>
        <w:t>ayant</w:t>
      </w:r>
      <w:r w:rsidRPr="0023655F">
        <w:rPr>
          <w:rFonts w:ascii="Times New Roman" w:hAnsi="Times New Roman" w:cs="Times New Roman"/>
          <w:sz w:val="24"/>
          <w:szCs w:val="24"/>
          <w:lang w:val="fr-FR"/>
        </w:rPr>
        <w:t xml:space="preserve"> pour charge de recueillir </w:t>
      </w:r>
      <w:r w:rsidR="0012424F" w:rsidRPr="0023655F">
        <w:rPr>
          <w:rFonts w:ascii="Times New Roman" w:hAnsi="Times New Roman" w:cs="Times New Roman"/>
          <w:sz w:val="24"/>
          <w:szCs w:val="24"/>
          <w:lang w:val="fr-FR"/>
        </w:rPr>
        <w:t xml:space="preserve">et analyser </w:t>
      </w:r>
      <w:r w:rsidRPr="0023655F">
        <w:rPr>
          <w:rFonts w:ascii="Times New Roman" w:hAnsi="Times New Roman" w:cs="Times New Roman"/>
          <w:sz w:val="24"/>
          <w:szCs w:val="24"/>
          <w:lang w:val="fr-FR"/>
        </w:rPr>
        <w:t>les informations</w:t>
      </w:r>
      <w:r w:rsidR="0012424F" w:rsidRPr="0023655F">
        <w:rPr>
          <w:rFonts w:ascii="Times New Roman" w:hAnsi="Times New Roman" w:cs="Times New Roman"/>
          <w:sz w:val="24"/>
          <w:szCs w:val="24"/>
          <w:lang w:val="fr-FR"/>
        </w:rPr>
        <w:t xml:space="preserve"> remontées par les observatrices sur le terrain </w:t>
      </w:r>
      <w:r w:rsidRPr="0023655F">
        <w:rPr>
          <w:rFonts w:ascii="Times New Roman" w:hAnsi="Times New Roman" w:cs="Times New Roman"/>
          <w:sz w:val="24"/>
          <w:szCs w:val="24"/>
          <w:lang w:val="fr-FR"/>
        </w:rPr>
        <w:t xml:space="preserve">et </w:t>
      </w:r>
      <w:r w:rsidR="0012424F" w:rsidRPr="0023655F">
        <w:rPr>
          <w:rFonts w:ascii="Times New Roman" w:hAnsi="Times New Roman" w:cs="Times New Roman"/>
          <w:sz w:val="24"/>
          <w:szCs w:val="24"/>
          <w:lang w:val="fr-FR"/>
        </w:rPr>
        <w:t>d’apporter d</w:t>
      </w:r>
      <w:r w:rsidRPr="0023655F">
        <w:rPr>
          <w:rFonts w:ascii="Times New Roman" w:hAnsi="Times New Roman" w:cs="Times New Roman"/>
          <w:sz w:val="24"/>
          <w:szCs w:val="24"/>
          <w:lang w:val="fr-FR"/>
        </w:rPr>
        <w:t>es réponses adéquates. La troisième chambre, constitu</w:t>
      </w:r>
      <w:r w:rsidR="0012424F" w:rsidRPr="0023655F">
        <w:rPr>
          <w:rFonts w:ascii="Times New Roman" w:hAnsi="Times New Roman" w:cs="Times New Roman"/>
          <w:sz w:val="24"/>
          <w:szCs w:val="24"/>
          <w:lang w:val="fr-FR"/>
        </w:rPr>
        <w:t>é</w:t>
      </w:r>
      <w:r w:rsidRPr="0023655F">
        <w:rPr>
          <w:rFonts w:ascii="Times New Roman" w:hAnsi="Times New Roman" w:cs="Times New Roman"/>
          <w:sz w:val="24"/>
          <w:szCs w:val="24"/>
          <w:lang w:val="fr-FR"/>
        </w:rPr>
        <w:t xml:space="preserve"> d</w:t>
      </w:r>
      <w:r w:rsidR="0012424F" w:rsidRPr="0023655F">
        <w:rPr>
          <w:rFonts w:ascii="Times New Roman" w:hAnsi="Times New Roman" w:cs="Times New Roman"/>
          <w:sz w:val="24"/>
          <w:szCs w:val="24"/>
          <w:lang w:val="fr-FR"/>
        </w:rPr>
        <w:t>’</w:t>
      </w:r>
      <w:r w:rsidRPr="0023655F">
        <w:rPr>
          <w:rFonts w:ascii="Times New Roman" w:hAnsi="Times New Roman" w:cs="Times New Roman"/>
          <w:sz w:val="24"/>
          <w:szCs w:val="24"/>
          <w:lang w:val="fr-FR"/>
        </w:rPr>
        <w:t>u</w:t>
      </w:r>
      <w:r w:rsidR="0012424F" w:rsidRPr="0023655F">
        <w:rPr>
          <w:rFonts w:ascii="Times New Roman" w:hAnsi="Times New Roman" w:cs="Times New Roman"/>
          <w:sz w:val="24"/>
          <w:szCs w:val="24"/>
          <w:lang w:val="fr-FR"/>
        </w:rPr>
        <w:t>n</w:t>
      </w:r>
      <w:r w:rsidRPr="0023655F">
        <w:rPr>
          <w:rFonts w:ascii="Times New Roman" w:hAnsi="Times New Roman" w:cs="Times New Roman"/>
          <w:sz w:val="24"/>
          <w:szCs w:val="24"/>
          <w:lang w:val="fr-FR"/>
        </w:rPr>
        <w:t xml:space="preserve"> groupe de contact </w:t>
      </w:r>
      <w:r w:rsidR="0012424F" w:rsidRPr="0023655F">
        <w:rPr>
          <w:rFonts w:ascii="Times New Roman" w:hAnsi="Times New Roman" w:cs="Times New Roman"/>
          <w:sz w:val="24"/>
          <w:szCs w:val="24"/>
          <w:lang w:val="fr-FR"/>
        </w:rPr>
        <w:t xml:space="preserve">jouait le rôle </w:t>
      </w:r>
      <w:r w:rsidRPr="0023655F">
        <w:rPr>
          <w:rFonts w:ascii="Times New Roman" w:hAnsi="Times New Roman" w:cs="Times New Roman"/>
          <w:sz w:val="24"/>
          <w:szCs w:val="24"/>
          <w:lang w:val="fr-FR"/>
        </w:rPr>
        <w:t xml:space="preserve">d’alerte précoce. </w:t>
      </w:r>
      <w:r w:rsidR="0020114B" w:rsidRPr="0023655F">
        <w:rPr>
          <w:rFonts w:ascii="Times New Roman" w:hAnsi="Times New Roman" w:cs="Times New Roman"/>
          <w:sz w:val="24"/>
          <w:szCs w:val="24"/>
          <w:lang w:val="fr-FR"/>
        </w:rPr>
        <w:t xml:space="preserve">Le second volet porte par le HCDH </w:t>
      </w:r>
      <w:r w:rsidR="0012424F" w:rsidRPr="0023655F">
        <w:rPr>
          <w:rFonts w:ascii="Times New Roman" w:hAnsi="Times New Roman" w:cs="Times New Roman"/>
          <w:sz w:val="24"/>
          <w:szCs w:val="24"/>
          <w:lang w:val="fr-FR"/>
        </w:rPr>
        <w:t xml:space="preserve">a </w:t>
      </w:r>
      <w:r w:rsidR="0020114B" w:rsidRPr="0023655F">
        <w:rPr>
          <w:rFonts w:ascii="Times New Roman" w:hAnsi="Times New Roman" w:cs="Times New Roman"/>
          <w:sz w:val="24"/>
          <w:szCs w:val="24"/>
          <w:lang w:val="fr-FR"/>
        </w:rPr>
        <w:t>concern</w:t>
      </w:r>
      <w:r w:rsidR="0012424F" w:rsidRPr="0023655F">
        <w:rPr>
          <w:rFonts w:ascii="Times New Roman" w:hAnsi="Times New Roman" w:cs="Times New Roman"/>
          <w:sz w:val="24"/>
          <w:szCs w:val="24"/>
          <w:lang w:val="fr-FR"/>
        </w:rPr>
        <w:t>é</w:t>
      </w:r>
      <w:r w:rsidR="0020114B" w:rsidRPr="0023655F">
        <w:rPr>
          <w:rFonts w:ascii="Times New Roman" w:hAnsi="Times New Roman" w:cs="Times New Roman"/>
          <w:sz w:val="24"/>
          <w:szCs w:val="24"/>
          <w:lang w:val="fr-FR"/>
        </w:rPr>
        <w:t xml:space="preserve"> le monitoring de la situation des droits de l’homme, particulièrement dans les zones a risque, Enfin, il </w:t>
      </w:r>
      <w:r w:rsidR="003108D6" w:rsidRPr="0023655F">
        <w:rPr>
          <w:rFonts w:ascii="Times New Roman" w:hAnsi="Times New Roman" w:cs="Times New Roman"/>
          <w:sz w:val="24"/>
          <w:szCs w:val="24"/>
          <w:lang w:val="fr-FR"/>
        </w:rPr>
        <w:t>était prévu le</w:t>
      </w:r>
      <w:r w:rsidR="0020114B" w:rsidRPr="0023655F">
        <w:rPr>
          <w:rFonts w:ascii="Times New Roman" w:hAnsi="Times New Roman" w:cs="Times New Roman"/>
          <w:sz w:val="24"/>
          <w:szCs w:val="24"/>
          <w:lang w:val="fr-FR"/>
        </w:rPr>
        <w:t xml:space="preserve"> déplo</w:t>
      </w:r>
      <w:r w:rsidR="003108D6" w:rsidRPr="0023655F">
        <w:rPr>
          <w:rFonts w:ascii="Times New Roman" w:hAnsi="Times New Roman" w:cs="Times New Roman"/>
          <w:sz w:val="24"/>
          <w:szCs w:val="24"/>
          <w:lang w:val="fr-FR"/>
        </w:rPr>
        <w:t xml:space="preserve">iement  </w:t>
      </w:r>
      <w:r w:rsidR="0020114B" w:rsidRPr="0023655F">
        <w:rPr>
          <w:rFonts w:ascii="Times New Roman" w:hAnsi="Times New Roman" w:cs="Times New Roman"/>
          <w:sz w:val="24"/>
          <w:szCs w:val="24"/>
          <w:lang w:val="fr-FR"/>
        </w:rPr>
        <w:t xml:space="preserve">par l’UNESCO </w:t>
      </w:r>
      <w:r w:rsidR="003108D6" w:rsidRPr="0023655F">
        <w:rPr>
          <w:rFonts w:ascii="Times New Roman" w:hAnsi="Times New Roman" w:cs="Times New Roman"/>
          <w:sz w:val="24"/>
          <w:szCs w:val="24"/>
          <w:lang w:val="fr-FR"/>
        </w:rPr>
        <w:t>d’</w:t>
      </w:r>
      <w:r w:rsidRPr="0023655F">
        <w:rPr>
          <w:rFonts w:ascii="Times New Roman" w:hAnsi="Times New Roman" w:cs="Times New Roman"/>
          <w:sz w:val="24"/>
          <w:szCs w:val="24"/>
          <w:lang w:val="fr-FR"/>
        </w:rPr>
        <w:t xml:space="preserve">un vaste programme de renforcement des capacités citoyennes sur le code des élections et la non-violence. Ces </w:t>
      </w:r>
      <w:r w:rsidRPr="0023655F">
        <w:rPr>
          <w:rFonts w:ascii="Times New Roman" w:hAnsi="Times New Roman" w:cs="Times New Roman"/>
          <w:sz w:val="24"/>
          <w:szCs w:val="24"/>
          <w:lang w:val="fr-FR"/>
        </w:rPr>
        <w:lastRenderedPageBreak/>
        <w:t>actions soutenant des élections crédibles peuvent ainsi apporter une contribution majeure à l</w:t>
      </w:r>
      <w:r w:rsidR="0020114B" w:rsidRPr="0023655F">
        <w:rPr>
          <w:rFonts w:ascii="Times New Roman" w:hAnsi="Times New Roman" w:cs="Times New Roman"/>
          <w:sz w:val="24"/>
          <w:szCs w:val="24"/>
          <w:lang w:val="fr-FR"/>
        </w:rPr>
        <w:t xml:space="preserve">a paix et l’accomplissement </w:t>
      </w:r>
      <w:r w:rsidRPr="0023655F">
        <w:rPr>
          <w:rFonts w:ascii="Times New Roman" w:hAnsi="Times New Roman" w:cs="Times New Roman"/>
          <w:sz w:val="24"/>
          <w:szCs w:val="24"/>
          <w:lang w:val="fr-FR"/>
        </w:rPr>
        <w:t>de la transition en Guinée.</w:t>
      </w:r>
      <w:r w:rsidR="0020114B" w:rsidRPr="0023655F">
        <w:rPr>
          <w:rFonts w:ascii="Times New Roman" w:hAnsi="Times New Roman" w:cs="Times New Roman"/>
          <w:sz w:val="24"/>
          <w:szCs w:val="24"/>
          <w:lang w:val="fr-FR"/>
        </w:rPr>
        <w:t xml:space="preserve"> Les interventions du projet répondent au besoin de renforcement du processus de consolidation de la paix </w:t>
      </w:r>
      <w:r w:rsidR="003108D6" w:rsidRPr="0023655F">
        <w:rPr>
          <w:rFonts w:ascii="Times New Roman" w:hAnsi="Times New Roman" w:cs="Times New Roman"/>
          <w:sz w:val="24"/>
          <w:szCs w:val="24"/>
          <w:lang w:val="fr-FR"/>
        </w:rPr>
        <w:t xml:space="preserve">à </w:t>
      </w:r>
      <w:r w:rsidR="0020114B" w:rsidRPr="0023655F">
        <w:rPr>
          <w:rFonts w:ascii="Times New Roman" w:hAnsi="Times New Roman" w:cs="Times New Roman"/>
          <w:sz w:val="24"/>
          <w:szCs w:val="24"/>
          <w:lang w:val="fr-FR"/>
        </w:rPr>
        <w:t xml:space="preserve"> travers le Domaine prio</w:t>
      </w:r>
      <w:r w:rsidR="003108D6" w:rsidRPr="0023655F">
        <w:rPr>
          <w:rFonts w:ascii="Times New Roman" w:hAnsi="Times New Roman" w:cs="Times New Roman"/>
          <w:sz w:val="24"/>
          <w:szCs w:val="24"/>
          <w:lang w:val="fr-FR"/>
        </w:rPr>
        <w:t>ritaire 2 du Plan prioritaire, à</w:t>
      </w:r>
      <w:r w:rsidR="0020114B" w:rsidRPr="0023655F">
        <w:rPr>
          <w:rFonts w:ascii="Times New Roman" w:hAnsi="Times New Roman" w:cs="Times New Roman"/>
          <w:sz w:val="24"/>
          <w:szCs w:val="24"/>
          <w:lang w:val="fr-FR"/>
        </w:rPr>
        <w:t xml:space="preserve"> savoir la Réconciliation Nationale. Il consiste a soutenir des activités de renforcement de capacités citoyennes, de monitoring électoral, notamment par les femmes en vue d’anticiper sur les incidents et de monitoring de la situation des droits de l’homme, particulièrement dans les zones a risque durant le scrutin du 28 septembre en vue de contribuer </w:t>
      </w:r>
      <w:r w:rsidR="003108D6" w:rsidRPr="0023655F">
        <w:rPr>
          <w:rFonts w:ascii="Times New Roman" w:hAnsi="Times New Roman" w:cs="Times New Roman"/>
          <w:sz w:val="24"/>
          <w:szCs w:val="24"/>
          <w:lang w:val="fr-FR"/>
        </w:rPr>
        <w:t xml:space="preserve">à </w:t>
      </w:r>
      <w:r w:rsidR="0020114B" w:rsidRPr="0023655F">
        <w:rPr>
          <w:rFonts w:ascii="Times New Roman" w:hAnsi="Times New Roman" w:cs="Times New Roman"/>
          <w:sz w:val="24"/>
          <w:szCs w:val="24"/>
          <w:lang w:val="fr-FR"/>
        </w:rPr>
        <w:t xml:space="preserve">l’apaisement des tensions politiques au bénéfice d’élections législatives apaisées. </w:t>
      </w:r>
      <w:r w:rsidRPr="0023655F">
        <w:rPr>
          <w:rFonts w:ascii="Times New Roman" w:hAnsi="Times New Roman" w:cs="Times New Roman"/>
          <w:sz w:val="24"/>
          <w:szCs w:val="24"/>
          <w:lang w:val="fr-FR"/>
        </w:rPr>
        <w:t xml:space="preserve"> </w:t>
      </w:r>
    </w:p>
    <w:p w:rsidR="00BD1A9C" w:rsidRPr="0023655F" w:rsidRDefault="00BD1A9C" w:rsidP="001F52D0">
      <w:pPr>
        <w:pStyle w:val="BodyText"/>
        <w:jc w:val="both"/>
        <w:rPr>
          <w:rFonts w:ascii="Times New Roman" w:hAnsi="Times New Roman" w:cs="Times New Roman"/>
          <w:sz w:val="24"/>
          <w:szCs w:val="24"/>
          <w:lang w:val="fr-FR"/>
        </w:rPr>
      </w:pPr>
    </w:p>
    <w:p w:rsidR="00BD1A9C" w:rsidRPr="0023655F" w:rsidRDefault="00BD1A9C" w:rsidP="001F52D0">
      <w:pPr>
        <w:pStyle w:val="BodyText"/>
        <w:jc w:val="both"/>
        <w:rPr>
          <w:rFonts w:ascii="Times New Roman" w:hAnsi="Times New Roman" w:cs="Times New Roman"/>
          <w:sz w:val="24"/>
          <w:szCs w:val="24"/>
          <w:lang w:val="fr-FR"/>
        </w:rPr>
      </w:pPr>
    </w:p>
    <w:p w:rsidR="00264361" w:rsidRPr="0023655F" w:rsidRDefault="00264361" w:rsidP="004D18B1">
      <w:pPr>
        <w:pStyle w:val="Heading1"/>
        <w:numPr>
          <w:ilvl w:val="0"/>
          <w:numId w:val="1"/>
        </w:numPr>
        <w:tabs>
          <w:tab w:val="left" w:pos="360"/>
        </w:tabs>
        <w:ind w:left="360" w:hanging="360"/>
        <w:jc w:val="left"/>
        <w:rPr>
          <w:rFonts w:ascii="Times New Roman" w:hAnsi="Times New Roman" w:cs="Times New Roman"/>
        </w:rPr>
      </w:pPr>
      <w:bookmarkStart w:id="2" w:name="_Toc249364486"/>
      <w:r w:rsidRPr="0023655F">
        <w:rPr>
          <w:rFonts w:ascii="Times New Roman" w:hAnsi="Times New Roman" w:cs="Times New Roman"/>
        </w:rPr>
        <w:t>Résultats</w:t>
      </w:r>
      <w:bookmarkEnd w:id="2"/>
      <w:r w:rsidRPr="0023655F">
        <w:rPr>
          <w:rFonts w:ascii="Times New Roman" w:hAnsi="Times New Roman" w:cs="Times New Roman"/>
        </w:rPr>
        <w:t xml:space="preserve"> </w:t>
      </w:r>
    </w:p>
    <w:p w:rsidR="00264361" w:rsidRPr="0023655F" w:rsidRDefault="00264361" w:rsidP="004D18B1"/>
    <w:p w:rsidR="00264361" w:rsidRPr="0023655F" w:rsidRDefault="00DF410C" w:rsidP="00BD7198">
      <w:pPr>
        <w:pStyle w:val="ListParagraph"/>
        <w:numPr>
          <w:ilvl w:val="1"/>
          <w:numId w:val="8"/>
        </w:numPr>
        <w:rPr>
          <w:b/>
        </w:rPr>
      </w:pPr>
      <w:r w:rsidRPr="0023655F">
        <w:rPr>
          <w:b/>
        </w:rPr>
        <w:t xml:space="preserve"> </w:t>
      </w:r>
      <w:r w:rsidR="00264361" w:rsidRPr="0023655F">
        <w:rPr>
          <w:b/>
        </w:rPr>
        <w:t>Rapport narratif sur les résultats:</w:t>
      </w:r>
    </w:p>
    <w:p w:rsidR="00264361" w:rsidRPr="0023655F" w:rsidRDefault="00264361" w:rsidP="00DF410C"/>
    <w:p w:rsidR="00264361" w:rsidRPr="0023655F" w:rsidRDefault="00264361" w:rsidP="00BD7198">
      <w:pPr>
        <w:pStyle w:val="BodyText"/>
        <w:numPr>
          <w:ilvl w:val="0"/>
          <w:numId w:val="2"/>
        </w:numPr>
        <w:ind w:left="709"/>
        <w:jc w:val="both"/>
        <w:rPr>
          <w:rFonts w:ascii="Times New Roman" w:hAnsi="Times New Roman" w:cs="Times New Roman"/>
          <w:sz w:val="24"/>
          <w:szCs w:val="24"/>
          <w:lang w:val="fr-FR"/>
        </w:rPr>
      </w:pPr>
      <w:r w:rsidRPr="0023655F">
        <w:rPr>
          <w:rFonts w:ascii="Times New Roman" w:hAnsi="Times New Roman" w:cs="Times New Roman"/>
          <w:b/>
          <w:sz w:val="24"/>
          <w:szCs w:val="24"/>
          <w:lang w:val="fr-FR"/>
        </w:rPr>
        <w:t>Résultats</w:t>
      </w:r>
      <w:r w:rsidR="005F43B8" w:rsidRPr="0023655F">
        <w:rPr>
          <w:rFonts w:ascii="Times New Roman" w:hAnsi="Times New Roman" w:cs="Times New Roman"/>
          <w:b/>
          <w:sz w:val="24"/>
          <w:szCs w:val="24"/>
          <w:lang w:val="fr-FR"/>
        </w:rPr>
        <w:t xml:space="preserve"> et Produits </w:t>
      </w:r>
    </w:p>
    <w:p w:rsidR="00DF410C" w:rsidRPr="0023655F" w:rsidRDefault="00DF410C" w:rsidP="00DF410C">
      <w:pPr>
        <w:pStyle w:val="BodyText"/>
        <w:ind w:left="709"/>
        <w:jc w:val="both"/>
        <w:rPr>
          <w:rFonts w:ascii="Times New Roman" w:hAnsi="Times New Roman" w:cs="Times New Roman"/>
          <w:sz w:val="24"/>
          <w:szCs w:val="24"/>
          <w:u w:val="single"/>
          <w:lang w:val="fr-FR"/>
        </w:rPr>
      </w:pPr>
    </w:p>
    <w:p w:rsidR="00DF410C" w:rsidRPr="0023655F" w:rsidRDefault="00BD5305" w:rsidP="00DF410C">
      <w:pPr>
        <w:pStyle w:val="BodyText2"/>
        <w:spacing w:after="0" w:line="240" w:lineRule="auto"/>
        <w:ind w:left="349"/>
        <w:jc w:val="both"/>
        <w:rPr>
          <w:b/>
          <w:bCs/>
        </w:rPr>
      </w:pPr>
      <w:r w:rsidRPr="0023655F">
        <w:rPr>
          <w:b/>
          <w:bCs/>
        </w:rPr>
        <w:t>Résultat 1 : Un dispositif de monitoring électoral opérationnel avec une capacité de réponse rapide pour la gestion des dysfonctionnements du processus électoral et un dispositif de droits de l’homme est fonctionnel</w:t>
      </w:r>
    </w:p>
    <w:p w:rsidR="00F7429A" w:rsidRPr="0023655F" w:rsidRDefault="00F7429A" w:rsidP="00DF410C">
      <w:pPr>
        <w:pStyle w:val="BodyText2"/>
        <w:spacing w:after="0" w:line="240" w:lineRule="auto"/>
        <w:ind w:left="349"/>
        <w:jc w:val="both"/>
        <w:rPr>
          <w:b/>
          <w:bCs/>
        </w:rPr>
      </w:pPr>
    </w:p>
    <w:p w:rsidR="00981A11" w:rsidRPr="0023655F" w:rsidRDefault="006073D7" w:rsidP="004B6532">
      <w:pPr>
        <w:pStyle w:val="BodyText2"/>
        <w:spacing w:after="0" w:line="240" w:lineRule="auto"/>
        <w:ind w:left="349"/>
        <w:jc w:val="both"/>
      </w:pPr>
      <w:r w:rsidRPr="0023655F">
        <w:rPr>
          <w:bCs/>
        </w:rPr>
        <w:t>Suite au renforcement des capacités de</w:t>
      </w:r>
      <w:r w:rsidRPr="0023655F">
        <w:rPr>
          <w:bCs/>
          <w:shd w:val="clear" w:color="auto" w:fill="FFFFFF" w:themeFill="background1"/>
        </w:rPr>
        <w:t xml:space="preserve"> 830</w:t>
      </w:r>
      <w:r w:rsidRPr="0023655F">
        <w:rPr>
          <w:bCs/>
        </w:rPr>
        <w:t xml:space="preserve"> personnes en observations électorale, le déploiement de 780 moniteurs sur le terrain, dont 600 observatrices de la violence, 60 observatrices de monitoring de la violence et 120 moniteur</w:t>
      </w:r>
      <w:r w:rsidR="004B6532" w:rsidRPr="0023655F">
        <w:rPr>
          <w:bCs/>
        </w:rPr>
        <w:t>s</w:t>
      </w:r>
      <w:r w:rsidR="00433557" w:rsidRPr="0023655F">
        <w:rPr>
          <w:bCs/>
        </w:rPr>
        <w:t xml:space="preserve"> </w:t>
      </w:r>
      <w:r w:rsidRPr="0023655F">
        <w:rPr>
          <w:bCs/>
        </w:rPr>
        <w:t>sur la situation des droit</w:t>
      </w:r>
      <w:r w:rsidR="004B6532" w:rsidRPr="0023655F">
        <w:rPr>
          <w:bCs/>
        </w:rPr>
        <w:t>s</w:t>
      </w:r>
      <w:r w:rsidRPr="0023655F">
        <w:rPr>
          <w:bCs/>
        </w:rPr>
        <w:t xml:space="preserve"> de l’homme, deux dispositifs de monitoring électoral ont pu fonctionner correctement et </w:t>
      </w:r>
      <w:r w:rsidR="004B6532" w:rsidRPr="0023655F">
        <w:rPr>
          <w:bCs/>
        </w:rPr>
        <w:t>apporté</w:t>
      </w:r>
      <w:r w:rsidRPr="0023655F">
        <w:rPr>
          <w:bCs/>
        </w:rPr>
        <w:t xml:space="preserve">s des réponses </w:t>
      </w:r>
      <w:r w:rsidR="004B6532" w:rsidRPr="0023655F">
        <w:rPr>
          <w:bCs/>
        </w:rPr>
        <w:t xml:space="preserve">adéquates aux abus de droits de l’homme, violences électorales et </w:t>
      </w:r>
      <w:r w:rsidRPr="0023655F">
        <w:rPr>
          <w:bCs/>
        </w:rPr>
        <w:t xml:space="preserve"> </w:t>
      </w:r>
      <w:r w:rsidR="004B6532" w:rsidRPr="0023655F">
        <w:rPr>
          <w:bCs/>
        </w:rPr>
        <w:t xml:space="preserve">dysfonctionnements reportes par les moniteurs sur le terrain.  Ainsi, le premier dispositif, la « Case de Veille » a été </w:t>
      </w:r>
      <w:r w:rsidR="00981A11" w:rsidRPr="0023655F">
        <w:rPr>
          <w:bCs/>
        </w:rPr>
        <w:t xml:space="preserve"> </w:t>
      </w:r>
      <w:r w:rsidR="004B6532" w:rsidRPr="0023655F">
        <w:rPr>
          <w:bCs/>
        </w:rPr>
        <w:t xml:space="preserve">opérationnalisé </w:t>
      </w:r>
      <w:r w:rsidR="00981A11" w:rsidRPr="0023655F">
        <w:rPr>
          <w:bCs/>
        </w:rPr>
        <w:t xml:space="preserve"> à travers la mise en place d’une salle de veille composée d’une unité technique, d’analyse et politique et </w:t>
      </w:r>
      <w:r w:rsidR="004B6532" w:rsidRPr="0023655F">
        <w:rPr>
          <w:bCs/>
        </w:rPr>
        <w:t xml:space="preserve">a pu </w:t>
      </w:r>
      <w:r w:rsidR="00981A11" w:rsidRPr="0023655F">
        <w:rPr>
          <w:bCs/>
        </w:rPr>
        <w:t xml:space="preserve">réagir en temps réel </w:t>
      </w:r>
      <w:r w:rsidR="004B6532" w:rsidRPr="0023655F">
        <w:rPr>
          <w:bCs/>
        </w:rPr>
        <w:t xml:space="preserve">a tous les </w:t>
      </w:r>
      <w:r w:rsidR="00981A11" w:rsidRPr="0023655F">
        <w:rPr>
          <w:bCs/>
        </w:rPr>
        <w:t xml:space="preserve"> dysfonctionnements et incidents rapportés par les femmes monitrices</w:t>
      </w:r>
      <w:r w:rsidR="004B6532" w:rsidRPr="0023655F">
        <w:rPr>
          <w:bCs/>
        </w:rPr>
        <w:t xml:space="preserve">. </w:t>
      </w:r>
    </w:p>
    <w:p w:rsidR="00433557" w:rsidRPr="0023655F" w:rsidRDefault="00433557" w:rsidP="00981A11">
      <w:pPr>
        <w:pStyle w:val="BodyText2"/>
        <w:spacing w:after="0" w:line="240" w:lineRule="auto"/>
        <w:ind w:left="349"/>
        <w:jc w:val="both"/>
        <w:rPr>
          <w:shd w:val="clear" w:color="auto" w:fill="FFFFFF" w:themeFill="background1"/>
        </w:rPr>
      </w:pPr>
    </w:p>
    <w:p w:rsidR="00981A11" w:rsidRPr="0023655F" w:rsidRDefault="004B6532" w:rsidP="00981A11">
      <w:pPr>
        <w:pStyle w:val="BodyText2"/>
        <w:spacing w:after="0" w:line="240" w:lineRule="auto"/>
        <w:ind w:left="349"/>
        <w:jc w:val="both"/>
      </w:pPr>
      <w:r w:rsidRPr="0023655F">
        <w:rPr>
          <w:shd w:val="clear" w:color="auto" w:fill="FFFFFF" w:themeFill="background1"/>
        </w:rPr>
        <w:t xml:space="preserve">Le </w:t>
      </w:r>
      <w:r w:rsidR="00E51DAB" w:rsidRPr="0023655F">
        <w:rPr>
          <w:shd w:val="clear" w:color="auto" w:fill="FFFFFF" w:themeFill="background1"/>
        </w:rPr>
        <w:t>deuxième</w:t>
      </w:r>
      <w:r w:rsidRPr="0023655F">
        <w:rPr>
          <w:shd w:val="clear" w:color="auto" w:fill="FFFFFF" w:themeFill="background1"/>
        </w:rPr>
        <w:t xml:space="preserve"> dispositif sur le monitoring des droits de l’homme compos</w:t>
      </w:r>
      <w:r w:rsidR="00231E8F" w:rsidRPr="0023655F">
        <w:rPr>
          <w:shd w:val="clear" w:color="auto" w:fill="FFFFFF" w:themeFill="background1"/>
        </w:rPr>
        <w:t xml:space="preserve">é </w:t>
      </w:r>
      <w:r w:rsidRPr="0023655F">
        <w:rPr>
          <w:shd w:val="clear" w:color="auto" w:fill="FFFFFF" w:themeFill="background1"/>
        </w:rPr>
        <w:t xml:space="preserve">de </w:t>
      </w:r>
      <w:r w:rsidR="00433557" w:rsidRPr="0023655F">
        <w:rPr>
          <w:shd w:val="clear" w:color="auto" w:fill="FFFFFF" w:themeFill="background1"/>
        </w:rPr>
        <w:t>12</w:t>
      </w:r>
      <w:r w:rsidR="00981A11" w:rsidRPr="0023655F">
        <w:rPr>
          <w:shd w:val="clear" w:color="auto" w:fill="FFFFFF" w:themeFill="background1"/>
        </w:rPr>
        <w:t>0 moniteurs de droits de l’homme et 3 fonctionnaires internationaux des</w:t>
      </w:r>
      <w:r w:rsidRPr="0023655F">
        <w:rPr>
          <w:shd w:val="clear" w:color="auto" w:fill="FFFFFF" w:themeFill="background1"/>
        </w:rPr>
        <w:t xml:space="preserve"> droits de l’homme (Grade P 3)</w:t>
      </w:r>
      <w:r w:rsidR="000F5F96" w:rsidRPr="0023655F">
        <w:rPr>
          <w:shd w:val="clear" w:color="auto" w:fill="FFFFFF" w:themeFill="background1"/>
        </w:rPr>
        <w:t xml:space="preserve"> </w:t>
      </w:r>
      <w:r w:rsidR="00981A11" w:rsidRPr="0023655F">
        <w:rPr>
          <w:shd w:val="clear" w:color="auto" w:fill="FFFFFF" w:themeFill="background1"/>
        </w:rPr>
        <w:t xml:space="preserve">déployés sur l’ensemble du territoire </w:t>
      </w:r>
      <w:r w:rsidR="00231E8F" w:rsidRPr="0023655F">
        <w:rPr>
          <w:shd w:val="clear" w:color="auto" w:fill="FFFFFF" w:themeFill="background1"/>
        </w:rPr>
        <w:t xml:space="preserve">ainsi que la mise en orbite d’une ligne verte fonctionnelle 24 h/24 </w:t>
      </w:r>
      <w:r w:rsidRPr="0023655F">
        <w:rPr>
          <w:shd w:val="clear" w:color="auto" w:fill="FFFFFF" w:themeFill="background1"/>
        </w:rPr>
        <w:t xml:space="preserve">ont </w:t>
      </w:r>
      <w:r w:rsidR="00981A11" w:rsidRPr="0023655F">
        <w:rPr>
          <w:shd w:val="clear" w:color="auto" w:fill="FFFFFF" w:themeFill="background1"/>
        </w:rPr>
        <w:t xml:space="preserve"> aliment</w:t>
      </w:r>
      <w:r w:rsidRPr="0023655F">
        <w:rPr>
          <w:shd w:val="clear" w:color="auto" w:fill="FFFFFF" w:themeFill="background1"/>
        </w:rPr>
        <w:t>é</w:t>
      </w:r>
      <w:r w:rsidR="00981A11" w:rsidRPr="0023655F">
        <w:rPr>
          <w:shd w:val="clear" w:color="auto" w:fill="FFFFFF" w:themeFill="background1"/>
        </w:rPr>
        <w:t xml:space="preserve"> le système de rapport</w:t>
      </w:r>
      <w:r w:rsidRPr="0023655F">
        <w:rPr>
          <w:shd w:val="clear" w:color="auto" w:fill="FFFFFF" w:themeFill="background1"/>
        </w:rPr>
        <w:t>age</w:t>
      </w:r>
      <w:r w:rsidR="00981A11" w:rsidRPr="0023655F">
        <w:rPr>
          <w:shd w:val="clear" w:color="auto" w:fill="FFFFFF" w:themeFill="background1"/>
        </w:rPr>
        <w:t xml:space="preserve"> interne piloté par le HCDH sur la situation des droits de l’homme</w:t>
      </w:r>
      <w:r w:rsidR="00231E8F" w:rsidRPr="0023655F">
        <w:rPr>
          <w:shd w:val="clear" w:color="auto" w:fill="FFFFFF" w:themeFill="background1"/>
        </w:rPr>
        <w:t xml:space="preserve">. </w:t>
      </w:r>
      <w:r w:rsidRPr="0023655F">
        <w:rPr>
          <w:shd w:val="clear" w:color="auto" w:fill="FFFFFF" w:themeFill="background1"/>
        </w:rPr>
        <w:t xml:space="preserve"> </w:t>
      </w:r>
      <w:r w:rsidR="00BB4EAB" w:rsidRPr="0023655F">
        <w:rPr>
          <w:shd w:val="clear" w:color="auto" w:fill="FFFFFF" w:themeFill="background1"/>
        </w:rPr>
        <w:t>Ainsi</w:t>
      </w:r>
      <w:r w:rsidR="00BB4EAB" w:rsidRPr="0023655F">
        <w:t xml:space="preserve">, grâce au projet, le HCDH s’est inscrit dans des actions de prévention ainsi que des actions correctives relatives à la situation des droits de l’homme au cours du scrutin. </w:t>
      </w:r>
    </w:p>
    <w:p w:rsidR="00433557" w:rsidRPr="0023655F" w:rsidRDefault="00433557" w:rsidP="00981A11">
      <w:pPr>
        <w:pStyle w:val="BodyText2"/>
        <w:spacing w:after="0" w:line="240" w:lineRule="auto"/>
        <w:ind w:left="349"/>
        <w:jc w:val="both"/>
      </w:pPr>
    </w:p>
    <w:p w:rsidR="004B6532" w:rsidRPr="0023655F" w:rsidRDefault="004B6532" w:rsidP="00981A11">
      <w:pPr>
        <w:pStyle w:val="BodyText2"/>
        <w:spacing w:after="0" w:line="240" w:lineRule="auto"/>
        <w:ind w:left="349"/>
        <w:jc w:val="both"/>
      </w:pPr>
      <w:r w:rsidRPr="0023655F">
        <w:t>De manière spécifique, les produits suivants ont été atteints :</w:t>
      </w:r>
    </w:p>
    <w:p w:rsidR="001F52D0" w:rsidRPr="0023655F" w:rsidRDefault="001F52D0" w:rsidP="006279FE">
      <w:pPr>
        <w:pStyle w:val="BodyText2"/>
        <w:spacing w:after="0" w:line="240" w:lineRule="auto"/>
        <w:jc w:val="both"/>
      </w:pPr>
    </w:p>
    <w:p w:rsidR="001F52D0" w:rsidRPr="0023655F" w:rsidRDefault="001F52D0" w:rsidP="004B6532">
      <w:pPr>
        <w:pStyle w:val="BodyText2"/>
        <w:spacing w:after="0" w:line="240" w:lineRule="auto"/>
        <w:jc w:val="both"/>
      </w:pPr>
    </w:p>
    <w:p w:rsidR="005F43B8" w:rsidRPr="0023655F" w:rsidRDefault="00BD5305" w:rsidP="00BD7198">
      <w:pPr>
        <w:pStyle w:val="BodyText"/>
        <w:numPr>
          <w:ilvl w:val="1"/>
          <w:numId w:val="10"/>
        </w:numPr>
        <w:jc w:val="both"/>
        <w:rPr>
          <w:rFonts w:ascii="Times New Roman" w:hAnsi="Times New Roman" w:cs="Times New Roman"/>
          <w:b/>
          <w:i/>
          <w:sz w:val="24"/>
          <w:szCs w:val="24"/>
          <w:u w:val="single"/>
          <w:lang w:val="fr-FR"/>
        </w:rPr>
      </w:pPr>
      <w:r w:rsidRPr="0023655F">
        <w:rPr>
          <w:rFonts w:ascii="Times New Roman" w:hAnsi="Times New Roman" w:cs="Times New Roman"/>
          <w:b/>
          <w:i/>
          <w:sz w:val="24"/>
          <w:szCs w:val="24"/>
          <w:u w:val="single"/>
          <w:lang w:val="fr-FR"/>
        </w:rPr>
        <w:t>Mise en place d’</w:t>
      </w:r>
      <w:r w:rsidR="00E2250D" w:rsidRPr="0023655F">
        <w:rPr>
          <w:rFonts w:ascii="Times New Roman" w:hAnsi="Times New Roman" w:cs="Times New Roman"/>
          <w:b/>
          <w:i/>
          <w:sz w:val="24"/>
          <w:szCs w:val="24"/>
          <w:u w:val="single"/>
          <w:lang w:val="fr-FR"/>
        </w:rPr>
        <w:t xml:space="preserve">un plan de déploiement des femmes monitrices de la plateforme de veille dans les régions et Conakry </w:t>
      </w:r>
      <w:r w:rsidR="005F43B8" w:rsidRPr="0023655F">
        <w:rPr>
          <w:rFonts w:ascii="Times New Roman" w:hAnsi="Times New Roman" w:cs="Times New Roman"/>
          <w:b/>
          <w:i/>
          <w:sz w:val="24"/>
          <w:szCs w:val="24"/>
          <w:u w:val="single"/>
          <w:lang w:val="fr-FR"/>
        </w:rPr>
        <w:t xml:space="preserve"> </w:t>
      </w:r>
    </w:p>
    <w:p w:rsidR="0024056E" w:rsidRPr="0023655F" w:rsidRDefault="0024056E" w:rsidP="0024056E"/>
    <w:p w:rsidR="004D6B7F" w:rsidRPr="0023655F" w:rsidRDefault="00497D77" w:rsidP="002A449C">
      <w:pPr>
        <w:pStyle w:val="BodyText2"/>
        <w:spacing w:after="0" w:line="240" w:lineRule="auto"/>
        <w:ind w:left="349"/>
        <w:jc w:val="both"/>
        <w:rPr>
          <w:bCs/>
        </w:rPr>
      </w:pPr>
      <w:r w:rsidRPr="0023655F">
        <w:rPr>
          <w:bCs/>
        </w:rPr>
        <w:t>Afin de rendre effecti</w:t>
      </w:r>
      <w:r w:rsidR="00A92BE9" w:rsidRPr="0023655F">
        <w:rPr>
          <w:bCs/>
        </w:rPr>
        <w:t>f</w:t>
      </w:r>
      <w:r w:rsidRPr="0023655F">
        <w:rPr>
          <w:bCs/>
        </w:rPr>
        <w:t xml:space="preserve"> le déploiement des femmes monitrices, un plan de renforcement de capacités a été mis en œuvre</w:t>
      </w:r>
      <w:r w:rsidR="003A6E9D" w:rsidRPr="0023655F">
        <w:rPr>
          <w:bCs/>
        </w:rPr>
        <w:t xml:space="preserve"> dans le cadre d’une collaboration Sud-Sud avec l’Institut de Gorée du Sénégal ayant une expertise préalable dans ce domaine</w:t>
      </w:r>
      <w:r w:rsidRPr="0023655F">
        <w:rPr>
          <w:bCs/>
        </w:rPr>
        <w:t xml:space="preserve">. </w:t>
      </w:r>
      <w:r w:rsidR="003A6E9D" w:rsidRPr="0023655F">
        <w:rPr>
          <w:bCs/>
        </w:rPr>
        <w:t>Un total de</w:t>
      </w:r>
      <w:r w:rsidRPr="0023655F">
        <w:rPr>
          <w:bCs/>
        </w:rPr>
        <w:t xml:space="preserve"> 705 femmes</w:t>
      </w:r>
      <w:r w:rsidR="003A6E9D" w:rsidRPr="0023655F">
        <w:rPr>
          <w:bCs/>
        </w:rPr>
        <w:t xml:space="preserve"> a été formé suite à ce programme</w:t>
      </w:r>
      <w:r w:rsidRPr="0023655F">
        <w:rPr>
          <w:bCs/>
        </w:rPr>
        <w:t xml:space="preserve">, dont </w:t>
      </w:r>
      <w:r w:rsidR="00F64E92" w:rsidRPr="0023655F">
        <w:rPr>
          <w:bCs/>
        </w:rPr>
        <w:t>60 monitrices de la violence électorale</w:t>
      </w:r>
      <w:r w:rsidRPr="0023655F">
        <w:rPr>
          <w:bCs/>
        </w:rPr>
        <w:t xml:space="preserve">, </w:t>
      </w:r>
      <w:r w:rsidR="00F64E92" w:rsidRPr="0023655F">
        <w:rPr>
          <w:bCs/>
        </w:rPr>
        <w:t>5 analystes de la violence électorale</w:t>
      </w:r>
      <w:r w:rsidRPr="0023655F">
        <w:rPr>
          <w:bCs/>
        </w:rPr>
        <w:t>, 600 M-</w:t>
      </w:r>
      <w:r w:rsidR="00F64E92" w:rsidRPr="0023655F">
        <w:rPr>
          <w:bCs/>
        </w:rPr>
        <w:t>observatrices</w:t>
      </w:r>
      <w:r w:rsidRPr="0023655F">
        <w:rPr>
          <w:bCs/>
        </w:rPr>
        <w:t xml:space="preserve"> et </w:t>
      </w:r>
      <w:r w:rsidR="003A6E9D" w:rsidRPr="0023655F">
        <w:rPr>
          <w:bCs/>
        </w:rPr>
        <w:t>40 analystes de la M-</w:t>
      </w:r>
      <w:r w:rsidR="00F64E92" w:rsidRPr="0023655F">
        <w:rPr>
          <w:bCs/>
        </w:rPr>
        <w:t>observation</w:t>
      </w:r>
      <w:r w:rsidR="00A92BE9" w:rsidRPr="0023655F">
        <w:rPr>
          <w:bCs/>
        </w:rPr>
        <w:t xml:space="preserve">. La formation </w:t>
      </w:r>
      <w:r w:rsidR="003A6E9D" w:rsidRPr="0023655F">
        <w:rPr>
          <w:bCs/>
        </w:rPr>
        <w:t xml:space="preserve">de deux jours </w:t>
      </w:r>
      <w:r w:rsidR="00A92BE9" w:rsidRPr="0023655F">
        <w:rPr>
          <w:bCs/>
        </w:rPr>
        <w:t>des moniteurs et analyste</w:t>
      </w:r>
      <w:r w:rsidR="003A6E9D" w:rsidRPr="0023655F">
        <w:rPr>
          <w:bCs/>
        </w:rPr>
        <w:t>s</w:t>
      </w:r>
      <w:r w:rsidR="00A92BE9" w:rsidRPr="0023655F">
        <w:rPr>
          <w:bCs/>
        </w:rPr>
        <w:t xml:space="preserve"> de violence </w:t>
      </w:r>
      <w:r w:rsidR="003A6E9D" w:rsidRPr="0023655F">
        <w:rPr>
          <w:bCs/>
        </w:rPr>
        <w:t xml:space="preserve">a </w:t>
      </w:r>
      <w:r w:rsidR="00A92BE9" w:rsidRPr="0023655F">
        <w:rPr>
          <w:bCs/>
        </w:rPr>
        <w:t>port</w:t>
      </w:r>
      <w:r w:rsidR="003A6E9D" w:rsidRPr="0023655F">
        <w:rPr>
          <w:bCs/>
        </w:rPr>
        <w:t>é</w:t>
      </w:r>
      <w:r w:rsidR="00A92BE9" w:rsidRPr="0023655F">
        <w:rPr>
          <w:bCs/>
        </w:rPr>
        <w:t xml:space="preserve"> sur le </w:t>
      </w:r>
      <w:r w:rsidR="00C86077" w:rsidRPr="0023655F">
        <w:t>monitoring de la</w:t>
      </w:r>
      <w:r w:rsidR="00A92BE9" w:rsidRPr="0023655F">
        <w:t xml:space="preserve"> violence en période électorale</w:t>
      </w:r>
      <w:r w:rsidR="00AB247C" w:rsidRPr="0023655F">
        <w:t xml:space="preserve"> </w:t>
      </w:r>
      <w:r w:rsidR="00A92BE9" w:rsidRPr="0023655F">
        <w:t xml:space="preserve">et comprenait </w:t>
      </w:r>
      <w:r w:rsidR="00AB247C" w:rsidRPr="0023655F">
        <w:t xml:space="preserve">des modules </w:t>
      </w:r>
      <w:r w:rsidR="003A6E9D" w:rsidRPr="0023655F">
        <w:rPr>
          <w:bCs/>
        </w:rPr>
        <w:t>à</w:t>
      </w:r>
      <w:r w:rsidR="003A6E9D" w:rsidRPr="0023655F">
        <w:t xml:space="preserve"> </w:t>
      </w:r>
      <w:r w:rsidR="00AB247C" w:rsidRPr="0023655F">
        <w:t xml:space="preserve">la fois théoriques et pratiques. Ces modules ont portée notamment sur </w:t>
      </w:r>
      <w:r w:rsidR="00A92BE9" w:rsidRPr="0023655F">
        <w:rPr>
          <w:bCs/>
        </w:rPr>
        <w:t xml:space="preserve">le processus </w:t>
      </w:r>
      <w:r w:rsidR="00AB247C" w:rsidRPr="0023655F">
        <w:rPr>
          <w:bCs/>
        </w:rPr>
        <w:t xml:space="preserve">et le système </w:t>
      </w:r>
      <w:r w:rsidR="00A92BE9" w:rsidRPr="0023655F">
        <w:rPr>
          <w:bCs/>
        </w:rPr>
        <w:t>électoral en Guinée</w:t>
      </w:r>
      <w:r w:rsidR="00AB247C" w:rsidRPr="0023655F">
        <w:rPr>
          <w:bCs/>
        </w:rPr>
        <w:t xml:space="preserve">, la méthodologie de monitoring de la violence électoral, notamment l’identification de la violence électorale et le reporting, l’utilisation de la plateforme technique et les formulaires, le code de </w:t>
      </w:r>
      <w:r w:rsidR="00AB247C" w:rsidRPr="0023655F">
        <w:rPr>
          <w:bCs/>
        </w:rPr>
        <w:lastRenderedPageBreak/>
        <w:t xml:space="preserve">conduite de l’observateur et la présentation du KIT de l’observateur. </w:t>
      </w:r>
      <w:r w:rsidR="00AB247C" w:rsidRPr="0023655F">
        <w:t xml:space="preserve"> </w:t>
      </w:r>
      <w:r w:rsidR="004D6B7F" w:rsidRPr="0023655F">
        <w:rPr>
          <w:bCs/>
        </w:rPr>
        <w:t>Deux exercices pratiques d’incident de violence ainsi qu’une étude de cas portant sur le climat électoral ont été traités</w:t>
      </w:r>
      <w:r w:rsidR="002A449C" w:rsidRPr="0023655F">
        <w:rPr>
          <w:bCs/>
        </w:rPr>
        <w:t xml:space="preserve"> pour permettre aux participantes de se familiariser avec les formulaires et l’utilisation des sms. </w:t>
      </w:r>
      <w:r w:rsidR="004D6B7F" w:rsidRPr="0023655F">
        <w:rPr>
          <w:bCs/>
        </w:rPr>
        <w:t>L’</w:t>
      </w:r>
      <w:r w:rsidR="006346E0" w:rsidRPr="0023655F">
        <w:t xml:space="preserve">expérience de monitoring de la violence au Sénégal et au Togo </w:t>
      </w:r>
      <w:r w:rsidR="002A449C" w:rsidRPr="0023655F">
        <w:t xml:space="preserve">a </w:t>
      </w:r>
      <w:r w:rsidR="006346E0" w:rsidRPr="0023655F">
        <w:t xml:space="preserve">été partagée </w:t>
      </w:r>
      <w:r w:rsidR="004D6B7F" w:rsidRPr="0023655F">
        <w:t xml:space="preserve">aussi </w:t>
      </w:r>
      <w:r w:rsidR="006346E0" w:rsidRPr="0023655F">
        <w:t>avec les participants. L</w:t>
      </w:r>
      <w:r w:rsidR="00C86077" w:rsidRPr="0023655F">
        <w:t>’équipe du Centre de Traitement des Données composée des 5 analyste</w:t>
      </w:r>
      <w:r w:rsidR="00AB247C" w:rsidRPr="0023655F">
        <w:t xml:space="preserve">s a </w:t>
      </w:r>
      <w:r w:rsidR="006346E0" w:rsidRPr="0023655F">
        <w:t>bénéficiée d’une formation spécifique  pendant 2 jours</w:t>
      </w:r>
      <w:r w:rsidR="00AB247C" w:rsidRPr="0023655F">
        <w:t xml:space="preserve"> </w:t>
      </w:r>
      <w:r w:rsidR="00C86077" w:rsidRPr="0023655F">
        <w:t xml:space="preserve">sur </w:t>
      </w:r>
      <w:r w:rsidR="006346E0" w:rsidRPr="0023655F">
        <w:t xml:space="preserve"> l’utilisation de la plateforme et le traitement des données sur la violence remontées depuis le terrain. </w:t>
      </w:r>
      <w:r w:rsidR="006B5039" w:rsidRPr="0023655F">
        <w:t>Cette</w:t>
      </w:r>
      <w:r w:rsidR="00C86077" w:rsidRPr="0023655F">
        <w:t xml:space="preserve"> plateforme </w:t>
      </w:r>
      <w:hyperlink r:id="rId12" w:history="1">
        <w:r w:rsidR="00C86077" w:rsidRPr="0023655F">
          <w:rPr>
            <w:rStyle w:val="Hyperlink"/>
          </w:rPr>
          <w:t>www.sanakouya.org</w:t>
        </w:r>
      </w:hyperlink>
      <w:r w:rsidR="00C86077" w:rsidRPr="0023655F">
        <w:t xml:space="preserve"> </w:t>
      </w:r>
      <w:r w:rsidR="006B5039" w:rsidRPr="0023655F">
        <w:t xml:space="preserve">fonctionne à travers un </w:t>
      </w:r>
      <w:r w:rsidR="00C86077" w:rsidRPr="0023655F">
        <w:t>site web mis en ligne dans le cadre du</w:t>
      </w:r>
      <w:r w:rsidR="003A6E9D" w:rsidRPr="0023655F">
        <w:t xml:space="preserve"> projet</w:t>
      </w:r>
      <w:r w:rsidR="00AB247C" w:rsidRPr="0023655F">
        <w:t>.</w:t>
      </w:r>
    </w:p>
    <w:p w:rsidR="004D6B7F" w:rsidRPr="0023655F" w:rsidRDefault="004D6B7F" w:rsidP="00AB247C">
      <w:pPr>
        <w:pStyle w:val="BodyText2"/>
        <w:spacing w:after="0" w:line="240" w:lineRule="auto"/>
        <w:ind w:left="349"/>
        <w:jc w:val="both"/>
      </w:pPr>
    </w:p>
    <w:p w:rsidR="00D06087" w:rsidRPr="0023655F" w:rsidRDefault="004D6B7F" w:rsidP="00D06087">
      <w:pPr>
        <w:pStyle w:val="BodyText2"/>
        <w:spacing w:after="0" w:line="240" w:lineRule="auto"/>
        <w:ind w:left="349"/>
        <w:jc w:val="both"/>
        <w:rPr>
          <w:bCs/>
        </w:rPr>
      </w:pPr>
      <w:r w:rsidRPr="0023655F">
        <w:t>La f</w:t>
      </w:r>
      <w:r w:rsidR="002A449C" w:rsidRPr="0023655F">
        <w:t>ormation des 600 M-observatrice</w:t>
      </w:r>
      <w:r w:rsidRPr="0023655F">
        <w:t xml:space="preserve"> </w:t>
      </w:r>
      <w:r w:rsidR="00C86077" w:rsidRPr="0023655F">
        <w:t>issus de la société civile guinéenne, plus particulièrement de la COFFIG et du CODE</w:t>
      </w:r>
      <w:r w:rsidRPr="0023655F">
        <w:t xml:space="preserve">, a porté sur </w:t>
      </w:r>
      <w:r w:rsidR="00C86077" w:rsidRPr="0023655F">
        <w:t xml:space="preserve">l’observation électorale par la remontée des données par appel téléphonique le jour du vote. </w:t>
      </w:r>
      <w:r w:rsidR="00D06087" w:rsidRPr="0023655F">
        <w:t xml:space="preserve">Elle </w:t>
      </w:r>
      <w:r w:rsidRPr="0023655F">
        <w:rPr>
          <w:bCs/>
        </w:rPr>
        <w:t>s’est déroulé</w:t>
      </w:r>
      <w:r w:rsidR="00D06087" w:rsidRPr="0023655F">
        <w:rPr>
          <w:bCs/>
        </w:rPr>
        <w:t>e</w:t>
      </w:r>
      <w:r w:rsidRPr="0023655F">
        <w:rPr>
          <w:bCs/>
        </w:rPr>
        <w:t xml:space="preserve"> en deux étapes : d’une part la formation de 600 M Observateurs affectés chacun le jour du scrutin à un bureau de vote et un seul sur la base du plan de déploiement mis à disposition par la COFFIG et le CODE ; et d’autre part, celle des 40 analystes qui, en contact avec les M Observateurs saisissent les données qui </w:t>
      </w:r>
      <w:r w:rsidR="00923CCA" w:rsidRPr="0023655F">
        <w:rPr>
          <w:bCs/>
        </w:rPr>
        <w:t>ont été mis</w:t>
      </w:r>
      <w:r w:rsidRPr="0023655F">
        <w:rPr>
          <w:bCs/>
        </w:rPr>
        <w:t xml:space="preserve"> en ligne sur la plateforme</w:t>
      </w:r>
      <w:r w:rsidR="00923CCA" w:rsidRPr="0023655F">
        <w:rPr>
          <w:bCs/>
        </w:rPr>
        <w:t xml:space="preserve"> technique</w:t>
      </w:r>
      <w:r w:rsidRPr="0023655F">
        <w:rPr>
          <w:bCs/>
        </w:rPr>
        <w:t>. Suite à la mission de contact avec les parties prenantes et d’évaluation des besoins, il a été retenu, étant donné les délias très courts, de tenir 2 formations concomitantes, à raison de 60 participants durant 5 jours, ainsi 600 personnes on</w:t>
      </w:r>
      <w:r w:rsidR="00D06087" w:rsidRPr="0023655F">
        <w:rPr>
          <w:bCs/>
        </w:rPr>
        <w:t>t</w:t>
      </w:r>
      <w:r w:rsidRPr="0023655F">
        <w:rPr>
          <w:bCs/>
        </w:rPr>
        <w:t xml:space="preserve"> été formées dans la M Observation.</w:t>
      </w:r>
      <w:r w:rsidR="00D06087" w:rsidRPr="0023655F">
        <w:rPr>
          <w:bCs/>
        </w:rPr>
        <w:t xml:space="preserve"> Les différents thèmes abordés ont porte sur l’observation électorale, la M-Observation, l’</w:t>
      </w:r>
      <w:r w:rsidR="00923CCA" w:rsidRPr="0023655F">
        <w:rPr>
          <w:bCs/>
        </w:rPr>
        <w:t>échantillonnage</w:t>
      </w:r>
      <w:r w:rsidR="00D06087" w:rsidRPr="0023655F">
        <w:rPr>
          <w:bCs/>
        </w:rPr>
        <w:t xml:space="preserve"> et déploiement, le PVT ‘</w:t>
      </w:r>
      <w:proofErr w:type="spellStart"/>
      <w:r w:rsidR="00D06087" w:rsidRPr="0023655F">
        <w:rPr>
          <w:bCs/>
        </w:rPr>
        <w:t>Parallel</w:t>
      </w:r>
      <w:proofErr w:type="spellEnd"/>
      <w:r w:rsidR="00D06087" w:rsidRPr="0023655F">
        <w:rPr>
          <w:bCs/>
        </w:rPr>
        <w:t xml:space="preserve"> </w:t>
      </w:r>
      <w:proofErr w:type="spellStart"/>
      <w:r w:rsidR="00D06087" w:rsidRPr="0023655F">
        <w:rPr>
          <w:bCs/>
        </w:rPr>
        <w:t>Voting</w:t>
      </w:r>
      <w:proofErr w:type="spellEnd"/>
      <w:r w:rsidR="00D06087" w:rsidRPr="0023655F">
        <w:rPr>
          <w:bCs/>
        </w:rPr>
        <w:t xml:space="preserve"> Tabulation’ et le partage d’expérience sur la M Observation : Présidentielle 2012 au Sénégal et Législatives 2013 au Togo. </w:t>
      </w:r>
    </w:p>
    <w:p w:rsidR="00F75A29" w:rsidRPr="0023655F" w:rsidRDefault="00F75A29" w:rsidP="00D06087">
      <w:pPr>
        <w:pStyle w:val="BodyText2"/>
        <w:spacing w:after="0" w:line="240" w:lineRule="auto"/>
        <w:ind w:left="349"/>
        <w:jc w:val="both"/>
        <w:rPr>
          <w:bCs/>
        </w:rPr>
      </w:pPr>
    </w:p>
    <w:p w:rsidR="00C04CDD" w:rsidRPr="0023655F" w:rsidRDefault="00F75A29" w:rsidP="00F75A29">
      <w:pPr>
        <w:ind w:left="349"/>
        <w:jc w:val="both"/>
        <w:rPr>
          <w:bCs/>
        </w:rPr>
      </w:pPr>
      <w:r w:rsidRPr="0023655F">
        <w:rPr>
          <w:bCs/>
        </w:rPr>
        <w:t xml:space="preserve">La formation sur la M Observation a permis aux participants de s’enrichir d’un concept nouveau en Guinée, la remontée de données observées en temps réel mais également le renforcement des acquis d’une frange de la population féminine guinéenne dans l’observation électorale de manière générale. </w:t>
      </w:r>
      <w:r w:rsidR="00C04CDD" w:rsidRPr="0023655F">
        <w:rPr>
          <w:bCs/>
        </w:rPr>
        <w:t>Suite à ces formations, 660 personnes ont été déployé sur le terrain sur l’ensemble du territoire.</w:t>
      </w:r>
    </w:p>
    <w:p w:rsidR="00C04CDD" w:rsidRPr="0023655F" w:rsidRDefault="00C04CDD" w:rsidP="008B0EB2">
      <w:pPr>
        <w:pStyle w:val="BodyText2"/>
        <w:spacing w:after="0" w:line="240" w:lineRule="auto"/>
        <w:jc w:val="both"/>
      </w:pPr>
    </w:p>
    <w:p w:rsidR="005F43B8" w:rsidRPr="0023655F" w:rsidRDefault="00E2250D" w:rsidP="00BD7198">
      <w:pPr>
        <w:pStyle w:val="BodyText"/>
        <w:numPr>
          <w:ilvl w:val="1"/>
          <w:numId w:val="10"/>
        </w:numPr>
        <w:jc w:val="both"/>
        <w:rPr>
          <w:rFonts w:ascii="Times New Roman" w:hAnsi="Times New Roman" w:cs="Times New Roman"/>
          <w:b/>
          <w:i/>
          <w:sz w:val="24"/>
          <w:szCs w:val="24"/>
          <w:u w:val="single"/>
          <w:lang w:val="fr-FR"/>
        </w:rPr>
      </w:pPr>
      <w:r w:rsidRPr="0023655F">
        <w:rPr>
          <w:rFonts w:ascii="Times New Roman" w:hAnsi="Times New Roman" w:cs="Times New Roman"/>
          <w:b/>
          <w:i/>
          <w:sz w:val="24"/>
          <w:szCs w:val="24"/>
          <w:u w:val="single"/>
          <w:lang w:val="fr-FR"/>
        </w:rPr>
        <w:t xml:space="preserve">Mise en place d’un système d’alerte précoce et de </w:t>
      </w:r>
      <w:r w:rsidR="00C5332E" w:rsidRPr="0023655F">
        <w:rPr>
          <w:rFonts w:ascii="Times New Roman" w:hAnsi="Times New Roman" w:cs="Times New Roman"/>
          <w:b/>
          <w:i/>
          <w:sz w:val="24"/>
          <w:szCs w:val="24"/>
          <w:u w:val="single"/>
          <w:lang w:val="fr-FR"/>
        </w:rPr>
        <w:t>réponse</w:t>
      </w:r>
      <w:r w:rsidRPr="0023655F">
        <w:rPr>
          <w:rFonts w:ascii="Times New Roman" w:hAnsi="Times New Roman" w:cs="Times New Roman"/>
          <w:b/>
          <w:i/>
          <w:sz w:val="24"/>
          <w:szCs w:val="24"/>
          <w:u w:val="single"/>
          <w:lang w:val="fr-FR"/>
        </w:rPr>
        <w:t xml:space="preserve"> rapide</w:t>
      </w:r>
      <w:r w:rsidR="00C5332E" w:rsidRPr="0023655F">
        <w:rPr>
          <w:rFonts w:ascii="Times New Roman" w:hAnsi="Times New Roman" w:cs="Times New Roman"/>
          <w:b/>
          <w:i/>
          <w:sz w:val="24"/>
          <w:szCs w:val="24"/>
          <w:u w:val="single"/>
          <w:lang w:val="fr-FR"/>
        </w:rPr>
        <w:t xml:space="preserve"> </w:t>
      </w:r>
      <w:r w:rsidRPr="0023655F">
        <w:rPr>
          <w:rFonts w:ascii="Times New Roman" w:hAnsi="Times New Roman" w:cs="Times New Roman"/>
          <w:b/>
          <w:i/>
          <w:sz w:val="24"/>
          <w:szCs w:val="24"/>
          <w:u w:val="single"/>
          <w:lang w:val="fr-FR"/>
        </w:rPr>
        <w:t xml:space="preserve">le jour du scrutin </w:t>
      </w:r>
      <w:r w:rsidR="0012424F" w:rsidRPr="0023655F">
        <w:rPr>
          <w:rFonts w:ascii="Times New Roman" w:hAnsi="Times New Roman" w:cs="Times New Roman"/>
          <w:b/>
          <w:i/>
          <w:sz w:val="24"/>
          <w:szCs w:val="24"/>
          <w:u w:val="single"/>
          <w:lang w:val="fr-FR"/>
        </w:rPr>
        <w:t>à</w:t>
      </w:r>
      <w:r w:rsidRPr="0023655F">
        <w:rPr>
          <w:rFonts w:ascii="Times New Roman" w:hAnsi="Times New Roman" w:cs="Times New Roman"/>
          <w:b/>
          <w:i/>
          <w:sz w:val="24"/>
          <w:szCs w:val="24"/>
          <w:u w:val="single"/>
          <w:lang w:val="fr-FR"/>
        </w:rPr>
        <w:t xml:space="preserve"> travers une Salle de Veille </w:t>
      </w:r>
    </w:p>
    <w:p w:rsidR="00C5332E" w:rsidRPr="0023655F" w:rsidRDefault="00C5332E" w:rsidP="00175275">
      <w:pPr>
        <w:pStyle w:val="BodyText"/>
        <w:jc w:val="both"/>
        <w:rPr>
          <w:rFonts w:ascii="Times New Roman" w:hAnsi="Times New Roman" w:cs="Times New Roman"/>
          <w:b/>
          <w:i/>
          <w:sz w:val="24"/>
          <w:szCs w:val="24"/>
          <w:u w:val="single"/>
          <w:lang w:val="fr-FR"/>
        </w:rPr>
      </w:pPr>
    </w:p>
    <w:p w:rsidR="00C5332E" w:rsidRPr="0023655F" w:rsidRDefault="00C5332E" w:rsidP="00963A6B">
      <w:pPr>
        <w:pStyle w:val="BodyText2"/>
        <w:spacing w:after="0" w:line="240" w:lineRule="auto"/>
        <w:ind w:left="349"/>
        <w:jc w:val="both"/>
        <w:rPr>
          <w:bCs/>
        </w:rPr>
      </w:pPr>
      <w:r w:rsidRPr="0023655F">
        <w:rPr>
          <w:bCs/>
        </w:rPr>
        <w:t>Le système d’alerte précoce et de réponse rapide était basé sur un dispositif de monitoring électoral mobile composé de trois entités (technique, analyse, et décision) impliquant environ 900 personnes:</w:t>
      </w:r>
    </w:p>
    <w:p w:rsidR="00C5332E" w:rsidRPr="0023655F" w:rsidRDefault="00C5332E" w:rsidP="00175275">
      <w:pPr>
        <w:pStyle w:val="ListParagraph"/>
        <w:ind w:left="708"/>
        <w:jc w:val="both"/>
        <w:rPr>
          <w:lang w:val="fr-BE"/>
        </w:rPr>
      </w:pPr>
    </w:p>
    <w:p w:rsidR="00C5332E" w:rsidRPr="0023655F" w:rsidRDefault="00C5332E" w:rsidP="00BD7198">
      <w:pPr>
        <w:pStyle w:val="ListParagraph"/>
        <w:numPr>
          <w:ilvl w:val="0"/>
          <w:numId w:val="13"/>
        </w:numPr>
        <w:jc w:val="both"/>
      </w:pPr>
      <w:r w:rsidRPr="0023655F">
        <w:t xml:space="preserve">600 Observateurs mobiles (80% de femmes) et 60 Observatrices de la Violence  déployées sur le terrain </w:t>
      </w:r>
      <w:r w:rsidR="00F010B9" w:rsidRPr="0023655F">
        <w:t xml:space="preserve">deux jours avant et trois jours après le scrutin dans </w:t>
      </w:r>
      <w:r w:rsidRPr="0023655F">
        <w:t>31 préfectures des 8 régions de la Guinée, suite à une formation intensive, ont fait remonter les informations sur le déroulement du scrutin à la « Chambre Technique »</w:t>
      </w:r>
    </w:p>
    <w:p w:rsidR="00C5332E" w:rsidRPr="0023655F" w:rsidRDefault="00C5332E" w:rsidP="00175275">
      <w:pPr>
        <w:pStyle w:val="ListParagraph"/>
        <w:jc w:val="both"/>
      </w:pPr>
    </w:p>
    <w:p w:rsidR="00C5332E" w:rsidRPr="0023655F" w:rsidRDefault="00C5332E" w:rsidP="00BD7198">
      <w:pPr>
        <w:pStyle w:val="ListParagraph"/>
        <w:numPr>
          <w:ilvl w:val="0"/>
          <w:numId w:val="13"/>
        </w:numPr>
        <w:jc w:val="both"/>
      </w:pPr>
      <w:r w:rsidRPr="0023655F">
        <w:t xml:space="preserve">Dans cette Chambre Technique 45 analystes disposant chacun d’une poste informatique étaient reliés chacun à une douzaine d’observatrices sur le terrain via une plate forme mobile. Les analystes étaient appuyés par un statisticien </w:t>
      </w:r>
    </w:p>
    <w:p w:rsidR="00C5332E" w:rsidRPr="0023655F" w:rsidRDefault="00C5332E" w:rsidP="00175275">
      <w:pPr>
        <w:pStyle w:val="ListParagraph"/>
        <w:jc w:val="both"/>
      </w:pPr>
    </w:p>
    <w:p w:rsidR="00C5332E" w:rsidRPr="0023655F" w:rsidRDefault="00C5332E" w:rsidP="00BD7198">
      <w:pPr>
        <w:pStyle w:val="ListParagraph"/>
        <w:numPr>
          <w:ilvl w:val="0"/>
          <w:numId w:val="13"/>
        </w:numPr>
        <w:jc w:val="both"/>
      </w:pPr>
      <w:r w:rsidRPr="0023655F">
        <w:t xml:space="preserve">Suite au traitement et priorisation des cas par la « Chambre d’Analyse » , la « Chambre de Décision » composée d’expertises diverses en matière d’analyse politique, juridique, des acteurs influents sur le plan religieux et social ainsi que les femmes leaders de la sous-région se sont penchées sur les réponses à donner aux « Alertes Rouges » et ont fait  le lobbying à l’endroit des autorités et des chefs de partis pour remédier aux situations susceptibles d’engendrer la violence ou d’entacher le processus électoral.    </w:t>
      </w:r>
    </w:p>
    <w:p w:rsidR="00C5332E" w:rsidRPr="0023655F" w:rsidRDefault="00C5332E" w:rsidP="00C5332E">
      <w:pPr>
        <w:jc w:val="both"/>
        <w:rPr>
          <w:lang w:val="fr-BE"/>
        </w:rPr>
      </w:pPr>
    </w:p>
    <w:p w:rsidR="00C5332E" w:rsidRPr="0023655F" w:rsidRDefault="00C5332E" w:rsidP="00BD7198">
      <w:pPr>
        <w:pStyle w:val="ListParagraph"/>
        <w:numPr>
          <w:ilvl w:val="0"/>
          <w:numId w:val="13"/>
        </w:numPr>
        <w:jc w:val="both"/>
      </w:pPr>
      <w:r w:rsidRPr="0023655F">
        <w:t xml:space="preserve">Un groupe de pression, qui existait déjà de fait et qui mobilisait plus de 200 femmes par jour au Palais du Peuple pour animer l’espace à travers les échanges et conférences-débats avec des experts </w:t>
      </w:r>
      <w:r w:rsidRPr="0023655F">
        <w:lastRenderedPageBreak/>
        <w:t>sur les bonnes pratiques et leçons apprises concernant la participation des femmes au processus électoral et d’autre questions sur l’émergence des femmes.  Cet espace a bénéficié de l’appui des représentantes de la société civile Ouest Africaine et des femmes leaders notamment de la Cote d’Ivoire, du Burkina Faso, du Sénégal, de la Sierra Leone, du Liberia, du Niger et du Mali.</w:t>
      </w:r>
    </w:p>
    <w:p w:rsidR="00C5332E" w:rsidRPr="0023655F" w:rsidRDefault="00C5332E" w:rsidP="00C5332E">
      <w:pPr>
        <w:pStyle w:val="ListParagraph"/>
        <w:jc w:val="both"/>
      </w:pPr>
    </w:p>
    <w:p w:rsidR="00C5332E" w:rsidRPr="0023655F" w:rsidRDefault="00C5332E" w:rsidP="00BD7198">
      <w:pPr>
        <w:pStyle w:val="ListParagraph"/>
        <w:numPr>
          <w:ilvl w:val="0"/>
          <w:numId w:val="13"/>
        </w:numPr>
        <w:jc w:val="both"/>
      </w:pPr>
      <w:r w:rsidRPr="0023655F">
        <w:t>Une équipe de communication en charge des différentes déclarations et communiqués de presse et la mise à jour du site web dédié à la Case de Veille (</w:t>
      </w:r>
      <w:hyperlink r:id="rId13" w:history="1">
        <w:r w:rsidRPr="0023655F">
          <w:rPr>
            <w:rStyle w:val="Hyperlink"/>
          </w:rPr>
          <w:t>www.sanakouay.org</w:t>
        </w:r>
      </w:hyperlink>
      <w:r w:rsidRPr="0023655F">
        <w:t>)</w:t>
      </w:r>
    </w:p>
    <w:p w:rsidR="00C5332E" w:rsidRPr="0023655F" w:rsidRDefault="00C5332E" w:rsidP="00C5332E">
      <w:pPr>
        <w:jc w:val="both"/>
      </w:pPr>
    </w:p>
    <w:p w:rsidR="00C5332E" w:rsidRPr="0023655F" w:rsidRDefault="00C5332E" w:rsidP="00BD7198">
      <w:pPr>
        <w:pStyle w:val="ListParagraph"/>
        <w:numPr>
          <w:ilvl w:val="0"/>
          <w:numId w:val="13"/>
        </w:numPr>
        <w:jc w:val="both"/>
      </w:pPr>
      <w:r w:rsidRPr="0023655F">
        <w:t>Un système de rapportage journalier sur les cas de violences et le déroulement du scrutin ont permis de recueillir de l’information crédible, transparente et scientifique pour une bonne documentation et la capitalisation du processus électoral Guinée et diffusion a travers le site web.</w:t>
      </w:r>
    </w:p>
    <w:p w:rsidR="00F010B9" w:rsidRPr="0023655F" w:rsidRDefault="00F010B9" w:rsidP="00F010B9">
      <w:pPr>
        <w:pStyle w:val="ListParagraph"/>
      </w:pPr>
    </w:p>
    <w:p w:rsidR="00F010B9" w:rsidRPr="0023655F" w:rsidRDefault="00F010B9" w:rsidP="00B54C65">
      <w:pPr>
        <w:ind w:left="360"/>
        <w:jc w:val="both"/>
      </w:pPr>
      <w:r w:rsidRPr="0023655F">
        <w:rPr>
          <w:bCs/>
        </w:rPr>
        <w:t>Toutes ces actions ont été réalisées avec l</w:t>
      </w:r>
      <w:r w:rsidRPr="0023655F">
        <w:t>’</w:t>
      </w:r>
      <w:r w:rsidRPr="0023655F">
        <w:rPr>
          <w:b/>
        </w:rPr>
        <w:t xml:space="preserve">appui technique </w:t>
      </w:r>
      <w:r w:rsidRPr="0023655F">
        <w:t>de l’Institut Gorée du Sénégal dans le cadre d’une collaboration Sud-Sud.  Leur appui  a port</w:t>
      </w:r>
      <w:r w:rsidRPr="0023655F">
        <w:rPr>
          <w:bCs/>
        </w:rPr>
        <w:t>é</w:t>
      </w:r>
      <w:r w:rsidRPr="0023655F">
        <w:t xml:space="preserve"> sur l’analyse et la rédaction des documents techniques, l’encadrement de la Chef de Mission de la Plateforme, l’assistance de la Coordonnatrice de la Case de Veille dans l’organisation et la résidence des débats, l’assistance aux personnes ressources des différentes chambres afin qu’ils comprennent leur rôle dans le système d’alerte précoce et de réponse rapide, la veille électorale durant la soirée électorale ;</w:t>
      </w:r>
    </w:p>
    <w:p w:rsidR="00C5332E" w:rsidRPr="0023655F" w:rsidRDefault="00C5332E" w:rsidP="00C5332E">
      <w:pPr>
        <w:jc w:val="both"/>
        <w:rPr>
          <w:b/>
        </w:rPr>
      </w:pPr>
    </w:p>
    <w:p w:rsidR="00C5332E" w:rsidRPr="0023655F" w:rsidRDefault="00C5332E" w:rsidP="00B54C65">
      <w:pPr>
        <w:ind w:left="360"/>
        <w:jc w:val="both"/>
        <w:rPr>
          <w:b/>
        </w:rPr>
      </w:pPr>
      <w:r w:rsidRPr="0023655F">
        <w:rPr>
          <w:b/>
        </w:rPr>
        <w:t>Les résultats atteints dans le court terme (jour de scrutin) :</w:t>
      </w:r>
    </w:p>
    <w:p w:rsidR="00C5332E" w:rsidRPr="0023655F" w:rsidRDefault="00C5332E" w:rsidP="00C5332E">
      <w:pPr>
        <w:jc w:val="both"/>
        <w:rPr>
          <w:b/>
        </w:rPr>
      </w:pPr>
    </w:p>
    <w:p w:rsidR="00C5332E" w:rsidRPr="0023655F" w:rsidRDefault="00C5332E" w:rsidP="00BD7198">
      <w:pPr>
        <w:pStyle w:val="ListParagraph"/>
        <w:numPr>
          <w:ilvl w:val="0"/>
          <w:numId w:val="14"/>
        </w:numPr>
        <w:jc w:val="both"/>
      </w:pPr>
      <w:r w:rsidRPr="0023655F">
        <w:t xml:space="preserve">Globalement, le scrutin s’est déroulé en effet dans le calme et la sérénité. Le renforcement des capacités et </w:t>
      </w:r>
      <w:r w:rsidRPr="0023655F">
        <w:rPr>
          <w:b/>
        </w:rPr>
        <w:t>l’implication d’environ 900 personnes dans le dispositif de monitoring du processus électoral</w:t>
      </w:r>
      <w:r w:rsidRPr="0023655F">
        <w:t xml:space="preserve"> a permis de faire un monitoring de la qualité des opérations électorales couvrant 5% des bureaux de vote. La forte présence d’observatrices dotées de leurs kits de visibilité sur tout le territoire national a certainement joué un </w:t>
      </w:r>
      <w:r w:rsidRPr="0023655F">
        <w:rPr>
          <w:b/>
        </w:rPr>
        <w:t>rôle dissuasif</w:t>
      </w:r>
      <w:r w:rsidRPr="0023655F">
        <w:t xml:space="preserve">  à toute forme de fraude flagrante le jour du scrutin et  permis aux citoyens de recouvrir une part de </w:t>
      </w:r>
      <w:r w:rsidRPr="0023655F">
        <w:rPr>
          <w:b/>
        </w:rPr>
        <w:t xml:space="preserve">confiance </w:t>
      </w:r>
      <w:r w:rsidRPr="0023655F">
        <w:t>à l’endroit du processus électoral, les ayant permis de voter dans le calme et dans la sérénité</w:t>
      </w:r>
    </w:p>
    <w:p w:rsidR="00C5332E" w:rsidRPr="0023655F" w:rsidRDefault="00C5332E" w:rsidP="00C5332E">
      <w:pPr>
        <w:pStyle w:val="ListParagraph"/>
        <w:jc w:val="both"/>
      </w:pPr>
    </w:p>
    <w:p w:rsidR="00C5332E" w:rsidRPr="0023655F" w:rsidRDefault="00C5332E" w:rsidP="00BD7198">
      <w:pPr>
        <w:pStyle w:val="ListParagraph"/>
        <w:numPr>
          <w:ilvl w:val="0"/>
          <w:numId w:val="14"/>
        </w:numPr>
        <w:jc w:val="both"/>
      </w:pPr>
      <w:r w:rsidRPr="0023655F">
        <w:t>La mise en place du système</w:t>
      </w:r>
      <w:r w:rsidRPr="0023655F">
        <w:rPr>
          <w:b/>
        </w:rPr>
        <w:t xml:space="preserve"> d’alerte précoce et de réponse rapide</w:t>
      </w:r>
      <w:r w:rsidRPr="0023655F">
        <w:t xml:space="preserve"> le jour du scrutin a permis d’intervenir rapidement aux quelques cas d’alerte rouge (cas de menaces et d’intimidation, tentatives de fraudes, non-respect des procédures) et les dysfonctionnements (manquement de matériel  électoral) remonté par les observatrices. Ainsi, ces cas ont été vite déjoués avec les liaisons permanentes entretenues avec le haut commandement de la Force spéciale de Sécurisation des Elections Législatives(FOSSEL) pour régler les cas de troubles et avec la CENI pour pallier le manque de matériels. Il convient de souligner que la plupart de ces alertes liées à des dysfonctionnements étaient potentiellement conflictogènes. Leur correction a donc impacté positivement le déroulement des opérations de vote et l’apaisement du climat électoral.</w:t>
      </w:r>
    </w:p>
    <w:p w:rsidR="00C5332E" w:rsidRPr="0023655F" w:rsidRDefault="00C5332E" w:rsidP="00C5332E">
      <w:pPr>
        <w:pStyle w:val="ListParagraph"/>
        <w:jc w:val="both"/>
      </w:pPr>
    </w:p>
    <w:p w:rsidR="00C5332E" w:rsidRPr="0023655F" w:rsidRDefault="00C5332E" w:rsidP="00BD7198">
      <w:pPr>
        <w:pStyle w:val="ListParagraph"/>
        <w:numPr>
          <w:ilvl w:val="0"/>
          <w:numId w:val="14"/>
        </w:numPr>
        <w:jc w:val="both"/>
      </w:pPr>
      <w:r w:rsidRPr="0023655F">
        <w:t xml:space="preserve">Les efforts de </w:t>
      </w:r>
      <w:r w:rsidRPr="0023655F">
        <w:rPr>
          <w:b/>
        </w:rPr>
        <w:t>médiation et facilitation</w:t>
      </w:r>
      <w:r w:rsidRPr="0023655F">
        <w:t xml:space="preserve"> par les membres de la « Chambre de Décision » auprès certains leaders politiques ont permis d’apaiser les tensions et de restaurer un climat propice au déroulement du scrutin. Aussi, grâce a l’intervention de la Case de Veille, la CENI  a accepté de proroger l’heure de clôture dans les bureaux de vote concernés pour rattraper le temps perdu</w:t>
      </w:r>
      <w:r w:rsidRPr="0023655F">
        <w:rPr>
          <w:lang w:val="fr-BE"/>
        </w:rPr>
        <w:t xml:space="preserve"> a cause de la suspension des opérations pour rupture de matériels. Cette proposition de la Case a été déterminante pour apaiser les tensions déjà visibles chez des électeurs impatients qui se voyaient déjà dénier le droit de vote, malgré qu’ils aient fait le déplacement.</w:t>
      </w:r>
    </w:p>
    <w:p w:rsidR="00C5332E" w:rsidRPr="0023655F" w:rsidRDefault="00C5332E" w:rsidP="00C5332E">
      <w:pPr>
        <w:pStyle w:val="ListParagraph"/>
      </w:pPr>
    </w:p>
    <w:p w:rsidR="00C5332E" w:rsidRPr="0023655F" w:rsidRDefault="00C5332E" w:rsidP="00BD7198">
      <w:pPr>
        <w:pStyle w:val="ListParagraph"/>
        <w:numPr>
          <w:ilvl w:val="0"/>
          <w:numId w:val="14"/>
        </w:numPr>
        <w:jc w:val="both"/>
      </w:pPr>
      <w:r w:rsidRPr="0023655F">
        <w:t>La communication a travers le site web et la Déclaration d’arrivée et provisoire ont permis de diffuser des messages d’</w:t>
      </w:r>
      <w:r w:rsidRPr="0023655F">
        <w:rPr>
          <w:b/>
        </w:rPr>
        <w:t>apaisement</w:t>
      </w:r>
      <w:r w:rsidRPr="0023655F">
        <w:t xml:space="preserve"> et d’informer le grand public sur le déroulement du scrutin </w:t>
      </w:r>
    </w:p>
    <w:p w:rsidR="00C5332E" w:rsidRPr="0023655F" w:rsidRDefault="00C5332E" w:rsidP="00C5332E">
      <w:pPr>
        <w:pStyle w:val="ListParagraph"/>
        <w:jc w:val="both"/>
      </w:pPr>
    </w:p>
    <w:p w:rsidR="00C5332E" w:rsidRPr="0023655F" w:rsidRDefault="00C5332E" w:rsidP="00BD7198">
      <w:pPr>
        <w:pStyle w:val="ListParagraph"/>
        <w:numPr>
          <w:ilvl w:val="0"/>
          <w:numId w:val="14"/>
        </w:numPr>
        <w:jc w:val="both"/>
        <w:rPr>
          <w:b/>
        </w:rPr>
      </w:pPr>
      <w:r w:rsidRPr="0023655F">
        <w:lastRenderedPageBreak/>
        <w:t xml:space="preserve">La Case de Veille a bénéficié d’un </w:t>
      </w:r>
      <w:r w:rsidRPr="0023655F">
        <w:rPr>
          <w:b/>
        </w:rPr>
        <w:t>énorme soutien des autorités et partenaires</w:t>
      </w:r>
      <w:r w:rsidRPr="0023655F">
        <w:t xml:space="preserve">, tel que démontré par les nombreux visites des officiels le jour du scrutin. </w:t>
      </w:r>
    </w:p>
    <w:p w:rsidR="00C5332E" w:rsidRPr="0023655F" w:rsidRDefault="00C5332E" w:rsidP="00C5332E">
      <w:pPr>
        <w:jc w:val="both"/>
        <w:rPr>
          <w:b/>
        </w:rPr>
      </w:pPr>
    </w:p>
    <w:p w:rsidR="00C5332E" w:rsidRPr="0023655F" w:rsidRDefault="00C5332E" w:rsidP="00B54C65">
      <w:pPr>
        <w:ind w:left="360"/>
        <w:jc w:val="both"/>
        <w:rPr>
          <w:b/>
        </w:rPr>
      </w:pPr>
      <w:r w:rsidRPr="0023655F">
        <w:rPr>
          <w:b/>
        </w:rPr>
        <w:t>Les résultats atteints dans le moyen et long  terme (au delà du scrutin) :</w:t>
      </w:r>
    </w:p>
    <w:p w:rsidR="00C5332E" w:rsidRPr="0023655F" w:rsidRDefault="00C5332E" w:rsidP="00C5332E">
      <w:pPr>
        <w:jc w:val="both"/>
      </w:pPr>
    </w:p>
    <w:p w:rsidR="00C5332E" w:rsidRPr="0023655F" w:rsidRDefault="00C5332E" w:rsidP="00BD7198">
      <w:pPr>
        <w:pStyle w:val="ListParagraph"/>
        <w:numPr>
          <w:ilvl w:val="0"/>
          <w:numId w:val="15"/>
        </w:numPr>
        <w:jc w:val="both"/>
      </w:pPr>
      <w:r w:rsidRPr="0023655F">
        <w:t xml:space="preserve">La disponibilité de </w:t>
      </w:r>
      <w:r w:rsidRPr="0023655F">
        <w:rPr>
          <w:b/>
        </w:rPr>
        <w:t>matériel</w:t>
      </w:r>
      <w:r w:rsidRPr="0023655F">
        <w:t xml:space="preserve"> (45 postes informatiques) </w:t>
      </w:r>
      <w:r w:rsidRPr="0023655F">
        <w:rPr>
          <w:b/>
        </w:rPr>
        <w:t>et  ressources humaines</w:t>
      </w:r>
      <w:r w:rsidRPr="0023655F">
        <w:t xml:space="preserve"> outillées pour observer le processus électoral, le monitoring de la violence électorale et la gestion du dispositif de monitoring (660 Observateurs, 45 Analystes, Le Bureau exécutif de la COFFIG) ainsi que la mise en place d’un groupe de contact composé d’experts et d’acteurs influents. Ces compétences  acquises et le réseau existant peuvent être mis au profit lors des prochaines élections communales et présidentielles.  </w:t>
      </w:r>
    </w:p>
    <w:p w:rsidR="00C5332E" w:rsidRPr="0023655F" w:rsidRDefault="00C5332E" w:rsidP="00C5332E">
      <w:pPr>
        <w:pStyle w:val="ListParagraph"/>
        <w:jc w:val="both"/>
      </w:pPr>
    </w:p>
    <w:p w:rsidR="00C5332E" w:rsidRPr="0023655F" w:rsidRDefault="00C5332E" w:rsidP="00BD7198">
      <w:pPr>
        <w:numPr>
          <w:ilvl w:val="0"/>
          <w:numId w:val="12"/>
        </w:numPr>
        <w:jc w:val="both"/>
      </w:pPr>
      <w:r w:rsidRPr="0023655F">
        <w:t xml:space="preserve">La capitalisation de la collaboration avec les autorités et les autres parties prenantes du processus électoral dans le but d’asseoir la </w:t>
      </w:r>
      <w:r w:rsidRPr="0023655F">
        <w:rPr>
          <w:b/>
        </w:rPr>
        <w:t>légitimité institutionnelle des organisations de la société civile</w:t>
      </w:r>
      <w:r w:rsidRPr="0023655F">
        <w:t xml:space="preserve"> impliquées dans le processus  électoral; </w:t>
      </w:r>
    </w:p>
    <w:p w:rsidR="00C5332E" w:rsidRPr="0023655F" w:rsidRDefault="00C5332E" w:rsidP="00C5332E">
      <w:pPr>
        <w:jc w:val="both"/>
      </w:pPr>
    </w:p>
    <w:p w:rsidR="00C5332E" w:rsidRPr="0023655F" w:rsidRDefault="00C5332E" w:rsidP="00BD7198">
      <w:pPr>
        <w:pStyle w:val="ListParagraph"/>
        <w:numPr>
          <w:ilvl w:val="0"/>
          <w:numId w:val="15"/>
        </w:numPr>
        <w:jc w:val="both"/>
      </w:pPr>
      <w:r w:rsidRPr="0023655F">
        <w:t>La crédibilité accrue COFFIG lui permettant de poursuivre les efforts de médiation informelle auprès les leaders politiques et la diffusion de messages d’apaisement dans les medias.</w:t>
      </w:r>
    </w:p>
    <w:p w:rsidR="00C5332E" w:rsidRPr="0023655F" w:rsidRDefault="00C5332E" w:rsidP="00C5332E">
      <w:pPr>
        <w:pStyle w:val="BodyText"/>
        <w:jc w:val="both"/>
        <w:rPr>
          <w:rFonts w:ascii="Times New Roman" w:hAnsi="Times New Roman" w:cs="Times New Roman"/>
          <w:b/>
          <w:i/>
          <w:sz w:val="24"/>
          <w:szCs w:val="24"/>
          <w:u w:val="single"/>
          <w:lang w:val="fr-FR"/>
        </w:rPr>
      </w:pPr>
    </w:p>
    <w:p w:rsidR="00C5332E" w:rsidRPr="0023655F" w:rsidRDefault="00C5332E" w:rsidP="00C5332E">
      <w:pPr>
        <w:pStyle w:val="BodyText"/>
        <w:jc w:val="both"/>
        <w:rPr>
          <w:rFonts w:ascii="Times New Roman" w:hAnsi="Times New Roman" w:cs="Times New Roman"/>
          <w:b/>
          <w:i/>
          <w:sz w:val="24"/>
          <w:szCs w:val="24"/>
          <w:u w:val="single"/>
          <w:lang w:val="fr-FR"/>
        </w:rPr>
      </w:pPr>
    </w:p>
    <w:p w:rsidR="0024056E" w:rsidRPr="0023655F" w:rsidRDefault="00E2250D" w:rsidP="00BD7198">
      <w:pPr>
        <w:pStyle w:val="ListParagraph"/>
        <w:numPr>
          <w:ilvl w:val="1"/>
          <w:numId w:val="10"/>
        </w:numPr>
        <w:autoSpaceDE w:val="0"/>
        <w:autoSpaceDN w:val="0"/>
        <w:adjustRightInd w:val="0"/>
        <w:jc w:val="both"/>
        <w:rPr>
          <w:color w:val="000000"/>
          <w:u w:val="single"/>
        </w:rPr>
      </w:pPr>
      <w:r w:rsidRPr="0023655F">
        <w:rPr>
          <w:b/>
          <w:i/>
          <w:u w:val="single"/>
        </w:rPr>
        <w:t xml:space="preserve">Renforcement des capacités en droits de l’homme et déploiement de </w:t>
      </w:r>
      <w:r w:rsidR="00BB4EAB" w:rsidRPr="0023655F">
        <w:rPr>
          <w:b/>
          <w:i/>
          <w:u w:val="single"/>
        </w:rPr>
        <w:t xml:space="preserve"> 120 </w:t>
      </w:r>
      <w:r w:rsidRPr="0023655F">
        <w:rPr>
          <w:b/>
          <w:i/>
          <w:u w:val="single"/>
        </w:rPr>
        <w:t>moniteurs sur le terrain pour le monitoring des droits de l’homme</w:t>
      </w:r>
    </w:p>
    <w:p w:rsidR="006D35F0" w:rsidRPr="0023655F" w:rsidRDefault="006D35F0" w:rsidP="0024056E">
      <w:pPr>
        <w:autoSpaceDE w:val="0"/>
        <w:autoSpaceDN w:val="0"/>
        <w:adjustRightInd w:val="0"/>
        <w:ind w:left="349"/>
        <w:jc w:val="both"/>
        <w:rPr>
          <w:color w:val="000000"/>
        </w:rPr>
      </w:pPr>
    </w:p>
    <w:p w:rsidR="00FB69CF" w:rsidRPr="0023655F" w:rsidRDefault="00FB69CF" w:rsidP="00963A6B">
      <w:pPr>
        <w:ind w:left="284"/>
        <w:jc w:val="both"/>
        <w:rPr>
          <w:bCs/>
        </w:rPr>
      </w:pPr>
      <w:r w:rsidRPr="0023655F">
        <w:rPr>
          <w:bCs/>
        </w:rPr>
        <w:t>Provenant des différentes régions et sélectionnées par le Bureau du Droits de l’Homme (HCDH) en lien avec les Centres d’Information et de Proximité ainsi que les Coordinations Régionales des Organisations de la Société Civile, 120 moniteurs ont été formés s</w:t>
      </w:r>
      <w:r w:rsidR="001463B6" w:rsidRPr="0023655F">
        <w:rPr>
          <w:bCs/>
        </w:rPr>
        <w:t xml:space="preserve">ur les thématiques suivantes : (i) </w:t>
      </w:r>
      <w:r w:rsidRPr="0023655F">
        <w:rPr>
          <w:bCs/>
        </w:rPr>
        <w:t>Introduction générale aux droits de l’homme; (ii) Les différences entre le monitoring des droits de l’homme et l’observation d’un scrutin ; (iii) Le cadre juridique et institutionnel de l’élection législative en Guinée ; (iv) Les principes régissant  le monitoring de la situation des droits de l’homme avant le scrutin ; (v) Les règles régissant le monitoring de la situation des droits de l’homme le jour du scrutin ; (vi) Les normes du monitoring après le scrutin ; (vii) Le comportement d’un moniteur en droits de l’homme ; (vii) L’élaboration d’un rapport des droits de l’homme.</w:t>
      </w:r>
    </w:p>
    <w:p w:rsidR="00FB69CF" w:rsidRPr="0023655F" w:rsidRDefault="00FB69CF" w:rsidP="00963A6B">
      <w:pPr>
        <w:ind w:left="284"/>
        <w:jc w:val="both"/>
        <w:rPr>
          <w:bCs/>
        </w:rPr>
      </w:pPr>
    </w:p>
    <w:p w:rsidR="00D06087" w:rsidRPr="0023655F" w:rsidRDefault="00FB69CF" w:rsidP="00963A6B">
      <w:pPr>
        <w:ind w:left="284"/>
        <w:jc w:val="both"/>
        <w:rPr>
          <w:bCs/>
        </w:rPr>
      </w:pPr>
      <w:r w:rsidRPr="0023655F">
        <w:rPr>
          <w:bCs/>
        </w:rPr>
        <w:t xml:space="preserve">Grâce à cette formation, les moniteurs ont reporté quotidiennement aux différents responsables de zones, tout incident ou action pouvant rentrer dans la qualification d’acte de violation des droits de l’homme ou d’atteinte aux droits de l’homme. Les faits allégués, vérifiés par les responsables de zones que sont les fonctionnaires internationaux des droits de l’homme ont donné lieu soit à des actions de prévention ou des actions de suivi auprès des autorités ou structures concernées. L’impact du travail des moniteurs des droits de l’homme a spécifiquement connu une importance capitale notamment le jour du scrutin et au cours de la nuit électorale où le Bureau du HCDH a été en mesure d’apprécier la situation des droits de l’homme dans les 8 régions administratives.  Ces moniteurs ont travaillé en parfaite synergie avec les 3 fonctionnaires déployés par l’Unité Réponse Rapide du HCDH à Genève ainsi qu’avec les fonctionnaires du PNUD déployés dans le cadre du suivi de la mise en œuvre des dispositions de l’Accord du 3 juillet 2013 qui a jeté les bases pour un engagement des acteurs politiques à prendre part aux élections législatives. </w:t>
      </w:r>
    </w:p>
    <w:p w:rsidR="00C04CDD" w:rsidRPr="0023655F" w:rsidRDefault="00C04CDD" w:rsidP="00963A6B">
      <w:pPr>
        <w:ind w:left="284"/>
        <w:jc w:val="both"/>
        <w:rPr>
          <w:bCs/>
        </w:rPr>
      </w:pPr>
    </w:p>
    <w:p w:rsidR="00C04CDD" w:rsidRPr="0023655F" w:rsidRDefault="00E74518" w:rsidP="00E74518">
      <w:pPr>
        <w:ind w:left="284"/>
        <w:jc w:val="both"/>
        <w:rPr>
          <w:lang w:val="fr-CA"/>
        </w:rPr>
      </w:pPr>
      <w:r w:rsidRPr="0023655F">
        <w:rPr>
          <w:bCs/>
        </w:rPr>
        <w:t>Au cours de la période concernée par le projet</w:t>
      </w:r>
      <w:r w:rsidR="00175BCB" w:rsidRPr="0023655F">
        <w:rPr>
          <w:bCs/>
        </w:rPr>
        <w:t>,</w:t>
      </w:r>
      <w:r w:rsidRPr="0023655F">
        <w:rPr>
          <w:bCs/>
        </w:rPr>
        <w:t xml:space="preserve"> 8 sérieux cas de violences ont été</w:t>
      </w:r>
      <w:r w:rsidR="00433557" w:rsidRPr="0023655F">
        <w:rPr>
          <w:bCs/>
        </w:rPr>
        <w:t xml:space="preserve"> </w:t>
      </w:r>
      <w:r w:rsidRPr="0023655F">
        <w:rPr>
          <w:bCs/>
        </w:rPr>
        <w:t>identifiés et trai</w:t>
      </w:r>
      <w:r w:rsidR="008B175C" w:rsidRPr="0023655F">
        <w:rPr>
          <w:bCs/>
        </w:rPr>
        <w:t>tés ainsi qu’un</w:t>
      </w:r>
      <w:r w:rsidRPr="0023655F">
        <w:rPr>
          <w:bCs/>
        </w:rPr>
        <w:t xml:space="preserve"> cas de violation des droits de l’homme notamment une arrestation arbitraire dont le suivi a été fait en collaboration avec le Ministère des droits de l’homme et des libertés publiques.</w:t>
      </w:r>
      <w:r w:rsidR="00C04CDD" w:rsidRPr="0023655F">
        <w:rPr>
          <w:bCs/>
        </w:rPr>
        <w:t xml:space="preserve"> </w:t>
      </w:r>
    </w:p>
    <w:p w:rsidR="001F52D0" w:rsidRPr="0023655F" w:rsidRDefault="001F52D0" w:rsidP="006B2368">
      <w:pPr>
        <w:pStyle w:val="BodyText"/>
        <w:jc w:val="both"/>
        <w:rPr>
          <w:rFonts w:ascii="Times New Roman" w:hAnsi="Times New Roman" w:cs="Times New Roman"/>
          <w:sz w:val="24"/>
          <w:szCs w:val="24"/>
          <w:lang w:val="fr-FR"/>
        </w:rPr>
      </w:pPr>
    </w:p>
    <w:p w:rsidR="00BD1A9C" w:rsidRPr="0023655F" w:rsidRDefault="00BD1A9C" w:rsidP="006B2368">
      <w:pPr>
        <w:pStyle w:val="BodyText"/>
        <w:jc w:val="both"/>
        <w:rPr>
          <w:rFonts w:ascii="Times New Roman" w:hAnsi="Times New Roman" w:cs="Times New Roman"/>
          <w:sz w:val="24"/>
          <w:szCs w:val="24"/>
          <w:lang w:val="fr-FR"/>
        </w:rPr>
      </w:pPr>
    </w:p>
    <w:p w:rsidR="005F43B8" w:rsidRPr="0023655F" w:rsidRDefault="00DF410C" w:rsidP="00DF410C">
      <w:pPr>
        <w:pStyle w:val="BodyText2"/>
        <w:spacing w:after="0" w:line="240" w:lineRule="auto"/>
        <w:ind w:left="360"/>
        <w:jc w:val="both"/>
        <w:rPr>
          <w:b/>
          <w:bCs/>
          <w:i/>
        </w:rPr>
      </w:pPr>
      <w:r w:rsidRPr="0023655F">
        <w:rPr>
          <w:b/>
          <w:bCs/>
          <w:i/>
        </w:rPr>
        <w:lastRenderedPageBreak/>
        <w:t xml:space="preserve">Résultat 2 : </w:t>
      </w:r>
      <w:r w:rsidR="00E2250D" w:rsidRPr="0023655F">
        <w:rPr>
          <w:b/>
          <w:bCs/>
          <w:i/>
        </w:rPr>
        <w:t>Une culture de paix et non-violence en période pré et postélectoral est promue et les populations sont sensibilisées sur leurs droits et devoirs citoyens dans le cadre des élections</w:t>
      </w:r>
    </w:p>
    <w:p w:rsidR="001463B6" w:rsidRPr="0023655F" w:rsidRDefault="001463B6" w:rsidP="00DF410C">
      <w:pPr>
        <w:pStyle w:val="BodyText2"/>
        <w:spacing w:after="0" w:line="240" w:lineRule="auto"/>
        <w:ind w:left="360"/>
        <w:jc w:val="both"/>
        <w:rPr>
          <w:b/>
          <w:bCs/>
          <w:i/>
        </w:rPr>
      </w:pPr>
    </w:p>
    <w:p w:rsidR="001463B6" w:rsidRPr="0023655F" w:rsidRDefault="001463B6" w:rsidP="00DF410C">
      <w:pPr>
        <w:pStyle w:val="BodyText2"/>
        <w:spacing w:after="0" w:line="240" w:lineRule="auto"/>
        <w:ind w:left="360"/>
        <w:jc w:val="both"/>
        <w:rPr>
          <w:bCs/>
        </w:rPr>
      </w:pPr>
      <w:r w:rsidRPr="0023655F">
        <w:rPr>
          <w:bCs/>
        </w:rPr>
        <w:t>Ce résultat a été mis en œuvre en s’appuyant sur un réseau d’une trentaine de journalistes et des spots de sensibilisation sur la télévision et la radio nationale</w:t>
      </w:r>
      <w:r w:rsidR="00175BCB" w:rsidRPr="0023655F">
        <w:rPr>
          <w:bCs/>
        </w:rPr>
        <w:t xml:space="preserve"> à travers une responsabilisation des médias à l’aune des principes des droits de l’homme notamment en période électorale. Grâce au projet, une stratégie de communication basée sur la lutte contre les discriminations et la </w:t>
      </w:r>
      <w:r w:rsidR="00433557" w:rsidRPr="0023655F">
        <w:rPr>
          <w:bCs/>
        </w:rPr>
        <w:t>prévention</w:t>
      </w:r>
      <w:r w:rsidR="00175BCB" w:rsidRPr="0023655F">
        <w:rPr>
          <w:bCs/>
        </w:rPr>
        <w:t xml:space="preserve"> des violences </w:t>
      </w:r>
      <w:r w:rsidR="00433557" w:rsidRPr="0023655F">
        <w:rPr>
          <w:bCs/>
        </w:rPr>
        <w:t>postélectorales</w:t>
      </w:r>
      <w:r w:rsidR="00175BCB" w:rsidRPr="0023655F">
        <w:rPr>
          <w:bCs/>
        </w:rPr>
        <w:t xml:space="preserve"> a été mise en route et a aidé à un contexte </w:t>
      </w:r>
      <w:r w:rsidR="00433557" w:rsidRPr="0023655F">
        <w:rPr>
          <w:bCs/>
        </w:rPr>
        <w:t>postélectoral</w:t>
      </w:r>
      <w:r w:rsidR="00175BCB" w:rsidRPr="0023655F">
        <w:rPr>
          <w:bCs/>
        </w:rPr>
        <w:t xml:space="preserve"> exempt d’actes de violations des droits de l’homme à l’instar des années antérieures.</w:t>
      </w:r>
      <w:r w:rsidRPr="0023655F">
        <w:rPr>
          <w:bCs/>
        </w:rPr>
        <w:t xml:space="preserve"> L</w:t>
      </w:r>
      <w:r w:rsidR="00F75A29" w:rsidRPr="0023655F">
        <w:rPr>
          <w:bCs/>
        </w:rPr>
        <w:t>es interventions liées</w:t>
      </w:r>
      <w:r w:rsidRPr="0023655F">
        <w:rPr>
          <w:bCs/>
        </w:rPr>
        <w:t xml:space="preserve"> </w:t>
      </w:r>
      <w:r w:rsidR="00F75A29" w:rsidRPr="0023655F">
        <w:rPr>
          <w:bCs/>
        </w:rPr>
        <w:t>à</w:t>
      </w:r>
      <w:r w:rsidRPr="0023655F">
        <w:rPr>
          <w:bCs/>
        </w:rPr>
        <w:t xml:space="preserve"> l’éducation civique </w:t>
      </w:r>
      <w:r w:rsidR="00F75A29" w:rsidRPr="0023655F">
        <w:rPr>
          <w:bCs/>
        </w:rPr>
        <w:t>non pas pu être mise en œuvre à cause d’une restructuration institutionnelle au sein de l’UNESCO (voir ci-dessous)</w:t>
      </w:r>
    </w:p>
    <w:p w:rsidR="00F355C4" w:rsidRPr="0023655F" w:rsidRDefault="00F355C4" w:rsidP="00DF410C">
      <w:pPr>
        <w:pStyle w:val="BodyText2"/>
        <w:spacing w:after="0" w:line="240" w:lineRule="auto"/>
        <w:ind w:left="360"/>
        <w:jc w:val="both"/>
        <w:rPr>
          <w:b/>
          <w:bCs/>
          <w:i/>
        </w:rPr>
      </w:pPr>
    </w:p>
    <w:p w:rsidR="006A61FF" w:rsidRPr="0023655F" w:rsidRDefault="006A61FF" w:rsidP="00D73C2A">
      <w:pPr>
        <w:pStyle w:val="BodyText2"/>
        <w:spacing w:after="0" w:line="240" w:lineRule="auto"/>
        <w:ind w:left="360"/>
        <w:jc w:val="both"/>
        <w:rPr>
          <w:highlight w:val="green"/>
        </w:rPr>
      </w:pPr>
    </w:p>
    <w:p w:rsidR="006A61FF" w:rsidRPr="0023655F" w:rsidRDefault="00C664AD" w:rsidP="00BD7198">
      <w:pPr>
        <w:pStyle w:val="BodyText"/>
        <w:numPr>
          <w:ilvl w:val="1"/>
          <w:numId w:val="11"/>
        </w:numPr>
        <w:jc w:val="both"/>
        <w:rPr>
          <w:rFonts w:ascii="Times New Roman" w:hAnsi="Times New Roman" w:cs="Times New Roman"/>
          <w:b/>
          <w:i/>
          <w:sz w:val="24"/>
          <w:szCs w:val="24"/>
          <w:u w:val="single"/>
          <w:lang w:val="fr-FR"/>
        </w:rPr>
      </w:pPr>
      <w:r w:rsidRPr="0023655F">
        <w:rPr>
          <w:rFonts w:ascii="Times New Roman" w:hAnsi="Times New Roman" w:cs="Times New Roman"/>
          <w:b/>
          <w:i/>
          <w:sz w:val="24"/>
          <w:szCs w:val="24"/>
          <w:lang w:val="fr-FR"/>
        </w:rPr>
        <w:t xml:space="preserve"> </w:t>
      </w:r>
      <w:r w:rsidR="00FB69CF" w:rsidRPr="0023655F">
        <w:rPr>
          <w:rFonts w:ascii="Times New Roman" w:hAnsi="Times New Roman" w:cs="Times New Roman"/>
          <w:b/>
          <w:i/>
          <w:sz w:val="24"/>
          <w:szCs w:val="24"/>
          <w:u w:val="single"/>
          <w:lang w:val="fr-FR"/>
        </w:rPr>
        <w:t>Renforcement des capacités des journalistes sur les droits de l’homme et la responsabilité sociale en période électorale</w:t>
      </w:r>
    </w:p>
    <w:p w:rsidR="005F43B8" w:rsidRPr="0023655F" w:rsidRDefault="005F43B8" w:rsidP="005F43B8">
      <w:pPr>
        <w:pStyle w:val="BodyText2"/>
        <w:spacing w:after="0" w:line="240" w:lineRule="auto"/>
        <w:jc w:val="both"/>
        <w:rPr>
          <w:bCs/>
          <w:lang w:eastAsia="en-US"/>
        </w:rPr>
      </w:pPr>
    </w:p>
    <w:p w:rsidR="00FB69CF" w:rsidRPr="0023655F" w:rsidRDefault="00FB69CF" w:rsidP="005F43B8">
      <w:pPr>
        <w:pStyle w:val="BodyText2"/>
        <w:spacing w:after="0" w:line="240" w:lineRule="auto"/>
        <w:jc w:val="both"/>
        <w:rPr>
          <w:bCs/>
          <w:lang w:eastAsia="en-US"/>
        </w:rPr>
      </w:pPr>
    </w:p>
    <w:p w:rsidR="00FB69CF" w:rsidRPr="0023655F" w:rsidRDefault="00FB69CF" w:rsidP="00B54C65">
      <w:pPr>
        <w:pStyle w:val="BodyText2"/>
        <w:spacing w:after="0" w:line="240" w:lineRule="auto"/>
        <w:ind w:left="360"/>
        <w:jc w:val="both"/>
        <w:rPr>
          <w:bCs/>
        </w:rPr>
      </w:pPr>
      <w:r w:rsidRPr="0023655F">
        <w:rPr>
          <w:bCs/>
        </w:rPr>
        <w:t>A la veille du scrutin législatif de 2013, le groupe cible qui inquiétait bien des acteurs de par sa capacité à modeler la vision de l’opinion était les journalistes tant de la presse privée que publique. Face aux entorses constatées notamment quant à une jouissance responsable de la liberté d’expression, le Bureau a organisé en partenariat ave le Conseil National de la Communication, le Ministère des droits de l’homme et des libertés publiques ainsi que l’unité anti-discrimination de Genève, un séminaire sur la responsabilité sociale des journalistes en période électorale relativement aux questions des droits de l’homme et de lut</w:t>
      </w:r>
      <w:r w:rsidR="009F7A9D" w:rsidRPr="0023655F">
        <w:rPr>
          <w:bCs/>
        </w:rPr>
        <w:t>te contre les discriminations. Vu que l</w:t>
      </w:r>
      <w:r w:rsidRPr="0023655F">
        <w:rPr>
          <w:bCs/>
        </w:rPr>
        <w:t xml:space="preserve">es questions des discriminations ethniques constituent une réalité en Guinée et l’un des moyens de s’y attaquer en profondeur était de passer par le canal des médias. Ainsi donc  du 10 au 13 septembre 2013, une trentaine de journalistes </w:t>
      </w:r>
      <w:r w:rsidR="000D6514" w:rsidRPr="0023655F">
        <w:rPr>
          <w:bCs/>
        </w:rPr>
        <w:t xml:space="preserve"> avec une représentation de 8 participantes provenant </w:t>
      </w:r>
      <w:r w:rsidRPr="0023655F">
        <w:rPr>
          <w:bCs/>
        </w:rPr>
        <w:t xml:space="preserve">de la presse audio-visuelle et en ligne dont 23 </w:t>
      </w:r>
      <w:r w:rsidR="000D6514" w:rsidRPr="0023655F">
        <w:rPr>
          <w:bCs/>
        </w:rPr>
        <w:t xml:space="preserve">venant </w:t>
      </w:r>
      <w:r w:rsidRPr="0023655F">
        <w:rPr>
          <w:bCs/>
        </w:rPr>
        <w:t>de toutes les radios rurales ont activement pris part à cette formation qui a abordé des thématiques liées à l’animation des émissions interactives en période électorale et la prise en compte des principes des droits de l’homme dans la mission des journalistes. Un accent particulier a été également mis sur la responsabilité sociale du journaliste en période électorale avec des cas pratiques. Le code de conduite des partis politiques, le code de bonne conduite des médias, le code électoral ainsi que les instruments internationaux des droits de l’homme relatifs à l’exercice de la liberté de presse ont aussi servi de support à ladite formation. Enfin, la Déclaration de Durban et son Plan d’action, véritables instruments au service de la lutte contre les discriminations ont été exploités par les journalistes qui ont pris l’engagement d’une part de sensibiliser les populations mais de capitaliser sur cette formation pour leurs actions futures d’autre part.</w:t>
      </w:r>
      <w:r w:rsidR="000D6514" w:rsidRPr="0023655F">
        <w:rPr>
          <w:bCs/>
        </w:rPr>
        <w:t xml:space="preserve"> En définitive, le rappel de la responsabilité sociale des journalistes en période électorale avec des exemples d’autres pays ainsi que l’accent mis sur la nécessité du respect des dispositions du code de bonne conduite des journalistes ont permis d’</w:t>
      </w:r>
      <w:r w:rsidR="00EA2B2B" w:rsidRPr="0023655F">
        <w:rPr>
          <w:bCs/>
        </w:rPr>
        <w:t>éviter les situations de discriminations et contribué à une éducation des populations au respect des droits de l’homme</w:t>
      </w:r>
      <w:r w:rsidR="00572CF0" w:rsidRPr="0023655F">
        <w:rPr>
          <w:bCs/>
        </w:rPr>
        <w:t>.</w:t>
      </w:r>
    </w:p>
    <w:p w:rsidR="00FB69CF" w:rsidRPr="0023655F" w:rsidRDefault="00FB69CF" w:rsidP="005F43B8">
      <w:pPr>
        <w:pStyle w:val="BodyText2"/>
        <w:spacing w:after="0" w:line="240" w:lineRule="auto"/>
        <w:jc w:val="both"/>
        <w:rPr>
          <w:bCs/>
          <w:lang w:eastAsia="en-US"/>
        </w:rPr>
      </w:pPr>
    </w:p>
    <w:p w:rsidR="00D75625" w:rsidRPr="0023655F" w:rsidRDefault="00D75625" w:rsidP="00BD7198">
      <w:pPr>
        <w:pStyle w:val="BodyText"/>
        <w:numPr>
          <w:ilvl w:val="1"/>
          <w:numId w:val="11"/>
        </w:numPr>
        <w:jc w:val="both"/>
        <w:rPr>
          <w:rFonts w:ascii="Times New Roman" w:hAnsi="Times New Roman" w:cs="Times New Roman"/>
          <w:b/>
          <w:i/>
          <w:sz w:val="24"/>
          <w:szCs w:val="24"/>
          <w:lang w:val="fr-FR"/>
        </w:rPr>
      </w:pPr>
      <w:r w:rsidRPr="0023655F">
        <w:rPr>
          <w:rFonts w:ascii="Times New Roman" w:hAnsi="Times New Roman" w:cs="Times New Roman"/>
          <w:b/>
          <w:i/>
          <w:sz w:val="24"/>
          <w:szCs w:val="24"/>
          <w:lang w:val="fr-FR"/>
        </w:rPr>
        <w:t xml:space="preserve">Mise en place d’un vaste programme d’éducation citoyenne </w:t>
      </w:r>
      <w:r w:rsidR="0012424F" w:rsidRPr="0023655F">
        <w:rPr>
          <w:rFonts w:ascii="Times New Roman" w:hAnsi="Times New Roman" w:cs="Times New Roman"/>
          <w:b/>
          <w:i/>
          <w:sz w:val="24"/>
          <w:szCs w:val="24"/>
          <w:lang w:val="fr-FR"/>
        </w:rPr>
        <w:t>à</w:t>
      </w:r>
      <w:r w:rsidRPr="0023655F">
        <w:rPr>
          <w:rFonts w:ascii="Times New Roman" w:hAnsi="Times New Roman" w:cs="Times New Roman"/>
          <w:b/>
          <w:i/>
          <w:sz w:val="24"/>
          <w:szCs w:val="24"/>
          <w:lang w:val="fr-FR"/>
        </w:rPr>
        <w:t xml:space="preserve"> travers l’organisation d’une caravane de civisme</w:t>
      </w:r>
    </w:p>
    <w:p w:rsidR="00F6442D" w:rsidRPr="0023655F" w:rsidRDefault="00F6442D" w:rsidP="00F6442D">
      <w:pPr>
        <w:pStyle w:val="BodyText"/>
        <w:ind w:left="1069"/>
        <w:jc w:val="both"/>
        <w:rPr>
          <w:rFonts w:ascii="Times New Roman" w:hAnsi="Times New Roman" w:cs="Times New Roman"/>
          <w:b/>
          <w:i/>
          <w:sz w:val="24"/>
          <w:szCs w:val="24"/>
          <w:lang w:val="fr-FR"/>
        </w:rPr>
      </w:pPr>
    </w:p>
    <w:p w:rsidR="008B175C" w:rsidRPr="0023655F" w:rsidRDefault="001463B6" w:rsidP="00F6442D">
      <w:pPr>
        <w:pStyle w:val="BodyText2"/>
        <w:spacing w:after="0" w:line="240" w:lineRule="auto"/>
        <w:ind w:left="284"/>
        <w:jc w:val="both"/>
        <w:rPr>
          <w:bCs/>
        </w:rPr>
      </w:pPr>
      <w:r w:rsidRPr="0023655F">
        <w:rPr>
          <w:bCs/>
        </w:rPr>
        <w:t>Il était prévu que le programme d’éducation civique soit mis en œuvre avec l’appui de 150 paires éducateurs/éducatrices pour favoriser une meilleure connaissance des populations du processus électoral et l’exercice du droit de vote. C’est activité n’a pu être mis en œuvre vu que L'UNESCO a procédé à une restructuration des Bureaux hors siège qui a rattaché la Guinée au Bureau Régional de l'UNESCO  d'Abuja, Cette passation de service entre le Bureau  </w:t>
      </w:r>
      <w:proofErr w:type="spellStart"/>
      <w:r w:rsidRPr="0023655F">
        <w:rPr>
          <w:bCs/>
        </w:rPr>
        <w:t>Multipays</w:t>
      </w:r>
      <w:proofErr w:type="spellEnd"/>
      <w:r w:rsidRPr="0023655F">
        <w:rPr>
          <w:bCs/>
        </w:rPr>
        <w:t xml:space="preserve"> de l'UNESCO Bamako devenu Bureau National et le nouveau </w:t>
      </w:r>
    </w:p>
    <w:p w:rsidR="001463B6" w:rsidRPr="0023655F" w:rsidRDefault="001463B6" w:rsidP="00F6442D">
      <w:pPr>
        <w:pStyle w:val="BodyText2"/>
        <w:spacing w:after="0" w:line="240" w:lineRule="auto"/>
        <w:ind w:left="284"/>
        <w:jc w:val="both"/>
        <w:rPr>
          <w:bCs/>
        </w:rPr>
      </w:pPr>
      <w:r w:rsidRPr="0023655F">
        <w:rPr>
          <w:bCs/>
        </w:rPr>
        <w:t xml:space="preserve">Bureau Régional d'Abuja a connu du retard qui n’a pas permis d'exécuter à temps les activités du présent projet. </w:t>
      </w:r>
    </w:p>
    <w:p w:rsidR="008B175C" w:rsidRPr="0023655F" w:rsidRDefault="008B175C" w:rsidP="00F6442D">
      <w:pPr>
        <w:pStyle w:val="BodyText2"/>
        <w:spacing w:after="0" w:line="240" w:lineRule="auto"/>
        <w:ind w:left="284"/>
        <w:jc w:val="both"/>
        <w:rPr>
          <w:bCs/>
        </w:rPr>
      </w:pPr>
    </w:p>
    <w:p w:rsidR="00C664AD" w:rsidRPr="0023655F" w:rsidRDefault="00D75625" w:rsidP="00BD7198">
      <w:pPr>
        <w:pStyle w:val="BodyText"/>
        <w:numPr>
          <w:ilvl w:val="1"/>
          <w:numId w:val="11"/>
        </w:numPr>
        <w:jc w:val="both"/>
        <w:rPr>
          <w:rFonts w:ascii="Times New Roman" w:hAnsi="Times New Roman" w:cs="Times New Roman"/>
          <w:b/>
          <w:i/>
          <w:sz w:val="24"/>
          <w:szCs w:val="24"/>
          <w:lang w:val="fr-FR"/>
        </w:rPr>
      </w:pPr>
      <w:r w:rsidRPr="0023655F">
        <w:rPr>
          <w:rFonts w:ascii="Times New Roman" w:hAnsi="Times New Roman" w:cs="Times New Roman"/>
          <w:b/>
          <w:i/>
          <w:sz w:val="24"/>
          <w:szCs w:val="24"/>
          <w:lang w:val="fr-FR"/>
        </w:rPr>
        <w:t xml:space="preserve"> Sensibilisation des populations pour une participation massive et citoyenne aux élections et l’instauration d’une culture de paix et de non-violence</w:t>
      </w:r>
    </w:p>
    <w:p w:rsidR="00D75625" w:rsidRPr="0023655F" w:rsidRDefault="00D75625" w:rsidP="00D75625">
      <w:pPr>
        <w:pStyle w:val="ListParagraph"/>
        <w:rPr>
          <w:b/>
          <w:i/>
        </w:rPr>
      </w:pPr>
    </w:p>
    <w:p w:rsidR="00D75625" w:rsidRPr="0023655F" w:rsidRDefault="00D75625" w:rsidP="00F6442D">
      <w:pPr>
        <w:ind w:left="284"/>
        <w:jc w:val="both"/>
      </w:pPr>
      <w:r w:rsidRPr="0023655F">
        <w:t xml:space="preserve">Afin d’amorcer des changements significatifs au sein des communautés pour transformer les attitudes et les comportements  en faveur  des droits de l’homme, la paix et la non-violence, une stratégie de communication et de sensibilisation de masse a été mise en œuvre par le HCDH via la production et la diffusion d’un  spot radio et télévision en français et dans les langues locales sur la RTG et la Télévision Evasion, sur toutes les radions rurales ainsi que les radios les plus écoutées à Conakry aux heures de grandes écoutes conformément à un contrat établi avec la très sérieuse organisation </w:t>
      </w:r>
      <w:proofErr w:type="spellStart"/>
      <w:r w:rsidRPr="0023655F">
        <w:t>Search</w:t>
      </w:r>
      <w:proofErr w:type="spellEnd"/>
      <w:r w:rsidRPr="0023655F">
        <w:t xml:space="preserve"> for Common </w:t>
      </w:r>
      <w:proofErr w:type="spellStart"/>
      <w:r w:rsidRPr="0023655F">
        <w:t>Ground</w:t>
      </w:r>
      <w:proofErr w:type="spellEnd"/>
      <w:r w:rsidRPr="0023655F">
        <w:t xml:space="preserve">. </w:t>
      </w:r>
      <w:r w:rsidR="000D6514" w:rsidRPr="0023655F">
        <w:t xml:space="preserve">Au total selon les analyses statistiques provenant de </w:t>
      </w:r>
      <w:proofErr w:type="spellStart"/>
      <w:r w:rsidR="000D6514" w:rsidRPr="0023655F">
        <w:t>Search</w:t>
      </w:r>
      <w:proofErr w:type="spellEnd"/>
      <w:r w:rsidR="000D6514" w:rsidRPr="0023655F">
        <w:t xml:space="preserve"> for Common </w:t>
      </w:r>
      <w:proofErr w:type="spellStart"/>
      <w:r w:rsidR="000D6514" w:rsidRPr="0023655F">
        <w:t>Ground</w:t>
      </w:r>
      <w:proofErr w:type="spellEnd"/>
      <w:r w:rsidR="000D6514" w:rsidRPr="0023655F">
        <w:t>, le spot a atteint environ3</w:t>
      </w:r>
      <w:proofErr w:type="gramStart"/>
      <w:r w:rsidR="000D6514" w:rsidRPr="0023655F">
        <w:t>,6</w:t>
      </w:r>
      <w:proofErr w:type="gramEnd"/>
      <w:r w:rsidR="000D6514" w:rsidRPr="0023655F">
        <w:t xml:space="preserve"> millions d’auditeurs. </w:t>
      </w:r>
      <w:r w:rsidRPr="0023655F">
        <w:t xml:space="preserve">Des félicitations de la part du Ministère des droits de l’homme et des libertés publiques, des responsables des OSC, des citoyens à travers la ligne verte ont été formulées à l’attention du Bureau quant à la pertinence de ce spot sur la lutte contre les discriminations, le respect des droits de l’homme et la consolidation de la paix notamment au lendemain du scrutin législatif. </w:t>
      </w:r>
      <w:r w:rsidR="000D6514" w:rsidRPr="0023655F">
        <w:t xml:space="preserve">De façon précise, ce spot a joué un rôle d’éducation des populations à une gestion pacifique des différends liés au processus électoral et réduit </w:t>
      </w:r>
      <w:r w:rsidR="007415A7" w:rsidRPr="0023655F">
        <w:t>d</w:t>
      </w:r>
      <w:r w:rsidR="000D6514" w:rsidRPr="0023655F">
        <w:t xml:space="preserve">e façon drastique les situations de violation des droits de l’homme. </w:t>
      </w:r>
    </w:p>
    <w:p w:rsidR="00264361" w:rsidRPr="0023655F" w:rsidRDefault="00264361" w:rsidP="00621CBC">
      <w:pPr>
        <w:pStyle w:val="BodyText"/>
        <w:jc w:val="both"/>
        <w:rPr>
          <w:rFonts w:ascii="Times New Roman" w:hAnsi="Times New Roman" w:cs="Times New Roman"/>
          <w:sz w:val="24"/>
          <w:szCs w:val="24"/>
          <w:lang w:val="fr-FR"/>
        </w:rPr>
      </w:pPr>
    </w:p>
    <w:p w:rsidR="00EB2369" w:rsidRPr="0023655F" w:rsidRDefault="00264361" w:rsidP="00BD7198">
      <w:pPr>
        <w:pStyle w:val="BodyText"/>
        <w:keepNext/>
        <w:keepLines/>
        <w:numPr>
          <w:ilvl w:val="0"/>
          <w:numId w:val="2"/>
        </w:numPr>
        <w:jc w:val="both"/>
        <w:rPr>
          <w:rFonts w:ascii="Times New Roman" w:hAnsi="Times New Roman" w:cs="Times New Roman"/>
          <w:sz w:val="24"/>
          <w:szCs w:val="24"/>
          <w:lang w:val="fr-FR"/>
        </w:rPr>
      </w:pPr>
      <w:r w:rsidRPr="0023655F">
        <w:rPr>
          <w:rFonts w:ascii="Times New Roman" w:hAnsi="Times New Roman" w:cs="Times New Roman"/>
          <w:b/>
          <w:bCs/>
          <w:sz w:val="24"/>
          <w:szCs w:val="24"/>
          <w:lang w:val="fr-FR"/>
        </w:rPr>
        <w:t xml:space="preserve">Le cas échéant, expliquer tout retard de mise en œuvre, les problèmes subsistants, les enseignements tirés et les meilleures pratiques: </w:t>
      </w:r>
    </w:p>
    <w:p w:rsidR="000E4090" w:rsidRPr="0023655F" w:rsidRDefault="000E4090" w:rsidP="000E4090">
      <w:pPr>
        <w:pStyle w:val="BodyText"/>
        <w:keepNext/>
        <w:keepLines/>
        <w:jc w:val="both"/>
        <w:rPr>
          <w:rFonts w:ascii="Times New Roman" w:hAnsi="Times New Roman" w:cs="Times New Roman"/>
          <w:b/>
          <w:bCs/>
          <w:sz w:val="24"/>
          <w:szCs w:val="24"/>
          <w:lang w:val="fr-FR"/>
        </w:rPr>
      </w:pPr>
    </w:p>
    <w:p w:rsidR="001F52D0" w:rsidRPr="0023655F" w:rsidRDefault="000E4090" w:rsidP="001F52D0">
      <w:pPr>
        <w:pStyle w:val="BodyText2"/>
        <w:spacing w:after="0" w:line="240" w:lineRule="auto"/>
        <w:ind w:left="360"/>
        <w:jc w:val="both"/>
        <w:rPr>
          <w:bCs/>
        </w:rPr>
      </w:pPr>
      <w:r w:rsidRPr="0023655F">
        <w:t>Les contraintes</w:t>
      </w:r>
      <w:r w:rsidR="007A1461" w:rsidRPr="0023655F">
        <w:t xml:space="preserve"> </w:t>
      </w:r>
      <w:r w:rsidRPr="0023655F">
        <w:t xml:space="preserve"> majeures dans la mise en œuvre</w:t>
      </w:r>
      <w:r w:rsidR="007A1461" w:rsidRPr="0023655F">
        <w:t xml:space="preserve"> opérationnelle</w:t>
      </w:r>
      <w:r w:rsidRPr="0023655F">
        <w:t xml:space="preserve"> du projet portent sur </w:t>
      </w:r>
      <w:r w:rsidR="00F75A29" w:rsidRPr="0023655F">
        <w:t xml:space="preserve">la non-exécution des interventions liées </w:t>
      </w:r>
      <w:r w:rsidR="00F75A29" w:rsidRPr="0023655F">
        <w:rPr>
          <w:bCs/>
        </w:rPr>
        <w:t xml:space="preserve">à l’éducation civique à cause d’une restructuration institutionnelle au sein de l’UNESCO. </w:t>
      </w:r>
    </w:p>
    <w:p w:rsidR="00F75A29" w:rsidRPr="0023655F" w:rsidRDefault="00F75A29" w:rsidP="001F52D0">
      <w:pPr>
        <w:pStyle w:val="BodyText2"/>
        <w:spacing w:after="0" w:line="240" w:lineRule="auto"/>
        <w:ind w:left="360"/>
        <w:jc w:val="both"/>
        <w:rPr>
          <w:bCs/>
        </w:rPr>
      </w:pPr>
    </w:p>
    <w:p w:rsidR="00D45CE5" w:rsidRPr="0023655F" w:rsidRDefault="00F75A29" w:rsidP="00F75A29">
      <w:pPr>
        <w:pStyle w:val="BodyText2"/>
        <w:spacing w:after="0" w:line="240" w:lineRule="auto"/>
        <w:ind w:left="360"/>
        <w:jc w:val="both"/>
      </w:pPr>
      <w:r w:rsidRPr="0023655F">
        <w:t xml:space="preserve">En ce qui concerne le renforcement des capacités des monitrices en charge de la remontée des informations du terrain à la plateforme technique de la « Case de Veille » il a été </w:t>
      </w:r>
      <w:r w:rsidR="00862D2E" w:rsidRPr="0023655F">
        <w:t>constaté</w:t>
      </w:r>
      <w:r w:rsidRPr="0023655F">
        <w:t xml:space="preserve"> l</w:t>
      </w:r>
      <w:r w:rsidR="00D45CE5" w:rsidRPr="0023655F">
        <w:t>a durée trop courte</w:t>
      </w:r>
      <w:r w:rsidRPr="0023655F">
        <w:t xml:space="preserve"> des formations</w:t>
      </w:r>
      <w:r w:rsidR="00D45CE5" w:rsidRPr="0023655F">
        <w:t xml:space="preserve"> (1 jour).</w:t>
      </w:r>
      <w:r w:rsidRPr="0023655F">
        <w:t xml:space="preserve"> Vu le niveau des monitrices, a</w:t>
      </w:r>
      <w:r w:rsidR="00D45CE5" w:rsidRPr="0023655F">
        <w:t>u moins 2 jours auraient permis aux participants de mieux fixer les connaissances acquises sur la M Observation, un peu plus de simulations aidant.</w:t>
      </w:r>
    </w:p>
    <w:p w:rsidR="00CB5631" w:rsidRPr="0023655F" w:rsidRDefault="00CB5631" w:rsidP="00D45CE5">
      <w:pPr>
        <w:sectPr w:rsidR="00CB5631" w:rsidRPr="0023655F" w:rsidSect="0020340C">
          <w:footerReference w:type="default" r:id="rId14"/>
          <w:footerReference w:type="first" r:id="rId15"/>
          <w:pgSz w:w="12240" w:h="15840" w:code="1"/>
          <w:pgMar w:top="709" w:right="990" w:bottom="851" w:left="806" w:header="720" w:footer="418" w:gutter="0"/>
          <w:cols w:space="720"/>
          <w:docGrid w:linePitch="360"/>
        </w:sectPr>
      </w:pPr>
    </w:p>
    <w:p w:rsidR="00264361" w:rsidRPr="0023655F" w:rsidRDefault="00837683" w:rsidP="004D18B1">
      <w:pPr>
        <w:pStyle w:val="BodyText"/>
        <w:tabs>
          <w:tab w:val="left" w:pos="360"/>
        </w:tabs>
        <w:ind w:left="720"/>
        <w:jc w:val="both"/>
        <w:rPr>
          <w:rFonts w:ascii="Times New Roman" w:hAnsi="Times New Roman" w:cs="Times New Roman"/>
          <w:bCs/>
          <w:sz w:val="24"/>
          <w:szCs w:val="24"/>
          <w:lang w:val="fr-FR"/>
        </w:rPr>
      </w:pPr>
      <w:r w:rsidRPr="0023655F">
        <w:rPr>
          <w:rFonts w:ascii="Times New Roman" w:hAnsi="Times New Roman" w:cs="Times New Roman"/>
          <w:noProof/>
          <w:sz w:val="24"/>
          <w:szCs w:val="24"/>
        </w:rPr>
        <w:lastRenderedPageBreak/>
        <mc:AlternateContent>
          <mc:Choice Requires="wps">
            <w:drawing>
              <wp:anchor distT="0" distB="0" distL="114300" distR="114300" simplePos="0" relativeHeight="251659776" behindDoc="0" locked="0" layoutInCell="1" allowOverlap="1" wp14:anchorId="0B361E87" wp14:editId="363DD558">
                <wp:simplePos x="0" y="0"/>
                <wp:positionH relativeFrom="column">
                  <wp:posOffset>-517525</wp:posOffset>
                </wp:positionH>
                <wp:positionV relativeFrom="paragraph">
                  <wp:posOffset>-177800</wp:posOffset>
                </wp:positionV>
                <wp:extent cx="9446260" cy="291465"/>
                <wp:effectExtent l="0" t="0" r="2159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C5332E" w:rsidRPr="004001D8" w:rsidRDefault="00C5332E" w:rsidP="004D18B1">
                            <w:pPr>
                              <w:jc w:val="center"/>
                              <w:rPr>
                                <w:b/>
                              </w:rPr>
                            </w:pPr>
                            <w:r w:rsidRPr="004001D8">
                              <w:rPr>
                                <w:b/>
                              </w:rPr>
                              <w:t>ii) Evaluation de la performance à partir d’indicateurs: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6" o:spid="_x0000_s1026" type="#_x0000_t202" style="position:absolute;left:0;text-align:left;margin-left:-40.75pt;margin-top:-14pt;width:743.8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" fillcolor="#f2f2f2" strokecolor="#d8d8d8">
                <v:textbox>
                  <w:txbxContent>
                    <w:p w:rsidR="00C5332E" w:rsidRPr="004001D8" w:rsidRDefault="00C5332E" w:rsidP="004D18B1">
                      <w:pPr>
                        <w:jc w:val="center"/>
                        <w:rPr>
                          <w:b/>
                        </w:rPr>
                      </w:pPr>
                      <w:r w:rsidRPr="004001D8">
                        <w:rPr>
                          <w:b/>
                        </w:rPr>
                        <w:t>ii) Evaluation de la performance à partir d’indicateurs:</w:t>
                      </w:r>
                    </w:p>
                  </w:txbxContent>
                </v:textbox>
              </v:shape>
            </w:pict>
          </mc:Fallback>
        </mc:AlternateContent>
      </w:r>
    </w:p>
    <w:p w:rsidR="00264361" w:rsidRPr="0023655F" w:rsidRDefault="00264361" w:rsidP="004D18B1">
      <w:pPr>
        <w:pStyle w:val="BodyText"/>
        <w:jc w:val="both"/>
        <w:rPr>
          <w:rFonts w:ascii="Times New Roman" w:hAnsi="Times New Roman" w:cs="Times New Roman"/>
          <w:bCs/>
          <w:sz w:val="24"/>
          <w:szCs w:val="24"/>
          <w:lang w:val="fr-FR"/>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5"/>
        <w:gridCol w:w="3745"/>
        <w:gridCol w:w="3960"/>
        <w:gridCol w:w="3150"/>
      </w:tblGrid>
      <w:tr w:rsidR="00B41DFE" w:rsidRPr="0023655F" w:rsidTr="00B66207">
        <w:tc>
          <w:tcPr>
            <w:tcW w:w="4265" w:type="dxa"/>
            <w:tcBorders>
              <w:bottom w:val="single" w:sz="4" w:space="0" w:color="000000"/>
            </w:tcBorders>
            <w:shd w:val="clear" w:color="auto" w:fill="auto"/>
          </w:tcPr>
          <w:p w:rsidR="00B41DFE" w:rsidRPr="0023655F" w:rsidRDefault="00B41DFE" w:rsidP="00B66207">
            <w:pPr>
              <w:jc w:val="both"/>
              <w:rPr>
                <w:bCs/>
              </w:rPr>
            </w:pPr>
          </w:p>
        </w:tc>
        <w:tc>
          <w:tcPr>
            <w:tcW w:w="3745" w:type="dxa"/>
            <w:tcBorders>
              <w:bottom w:val="single" w:sz="4" w:space="0" w:color="000000"/>
            </w:tcBorders>
            <w:shd w:val="clear" w:color="auto" w:fill="auto"/>
          </w:tcPr>
          <w:p w:rsidR="00B41DFE" w:rsidRPr="0023655F" w:rsidRDefault="00B41DFE" w:rsidP="00B41DFE">
            <w:pPr>
              <w:jc w:val="center"/>
              <w:rPr>
                <w:b/>
              </w:rPr>
            </w:pPr>
            <w:r w:rsidRPr="0023655F">
              <w:rPr>
                <w:b/>
              </w:rPr>
              <w:t xml:space="preserve">Objectifs </w:t>
            </w:r>
            <w:r w:rsidRPr="0023655F">
              <w:rPr>
                <w:b/>
                <w:u w:val="single"/>
              </w:rPr>
              <w:t>atteints</w:t>
            </w:r>
            <w:r w:rsidRPr="0023655F">
              <w:rPr>
                <w:b/>
              </w:rPr>
              <w:t xml:space="preserve"> en lien avec les indicateurs</w:t>
            </w:r>
          </w:p>
        </w:tc>
        <w:tc>
          <w:tcPr>
            <w:tcW w:w="3960" w:type="dxa"/>
            <w:tcBorders>
              <w:bottom w:val="single" w:sz="4" w:space="0" w:color="000000"/>
            </w:tcBorders>
            <w:shd w:val="clear" w:color="auto" w:fill="auto"/>
          </w:tcPr>
          <w:p w:rsidR="00B41DFE" w:rsidRPr="0023655F" w:rsidRDefault="00B41DFE" w:rsidP="00B66207">
            <w:pPr>
              <w:jc w:val="center"/>
              <w:rPr>
                <w:b/>
              </w:rPr>
            </w:pPr>
            <w:r w:rsidRPr="0023655F">
              <w:rPr>
                <w:b/>
              </w:rPr>
              <w:t>Raisons des écarts éventuels par rapport aux objectifs fixés à l’origine</w:t>
            </w:r>
          </w:p>
        </w:tc>
        <w:tc>
          <w:tcPr>
            <w:tcW w:w="3150" w:type="dxa"/>
            <w:tcBorders>
              <w:bottom w:val="single" w:sz="4" w:space="0" w:color="000000"/>
            </w:tcBorders>
            <w:shd w:val="clear" w:color="auto" w:fill="auto"/>
          </w:tcPr>
          <w:p w:rsidR="00B41DFE" w:rsidRPr="0023655F" w:rsidRDefault="00B41DFE" w:rsidP="00B66207">
            <w:pPr>
              <w:jc w:val="center"/>
              <w:rPr>
                <w:b/>
              </w:rPr>
            </w:pPr>
            <w:r w:rsidRPr="0023655F">
              <w:rPr>
                <w:b/>
              </w:rPr>
              <w:t>Source de vérification</w:t>
            </w:r>
          </w:p>
        </w:tc>
      </w:tr>
      <w:tr w:rsidR="00B41DFE" w:rsidRPr="0023655F" w:rsidTr="00B66207">
        <w:trPr>
          <w:trHeight w:val="985"/>
        </w:trPr>
        <w:tc>
          <w:tcPr>
            <w:tcW w:w="4265" w:type="dxa"/>
            <w:shd w:val="pct15" w:color="auto" w:fill="auto"/>
          </w:tcPr>
          <w:p w:rsidR="00B41DFE" w:rsidRPr="0023655F" w:rsidRDefault="00B41DFE" w:rsidP="00B66207">
            <w:pPr>
              <w:rPr>
                <w:b/>
              </w:rPr>
            </w:pPr>
            <w:r w:rsidRPr="0023655F">
              <w:rPr>
                <w:b/>
              </w:rPr>
              <w:t>Effet direct 1</w:t>
            </w:r>
          </w:p>
          <w:p w:rsidR="00D06761" w:rsidRPr="0023655F" w:rsidRDefault="00B41DFE" w:rsidP="00D06761">
            <w:pPr>
              <w:rPr>
                <w:bCs/>
                <w:lang w:val="fr-BE"/>
              </w:rPr>
            </w:pPr>
            <w:r w:rsidRPr="0023655F">
              <w:rPr>
                <w:b/>
              </w:rPr>
              <w:t>Indicateur:</w:t>
            </w:r>
            <w:r w:rsidR="00D06761" w:rsidRPr="0023655F">
              <w:rPr>
                <w:b/>
              </w:rPr>
              <w:t xml:space="preserve"> </w:t>
            </w:r>
            <w:r w:rsidR="00D06761" w:rsidRPr="0023655F">
              <w:rPr>
                <w:lang w:val="fr-BE"/>
              </w:rPr>
              <w:t>#</w:t>
            </w:r>
            <w:r w:rsidR="00D06761" w:rsidRPr="0023655F">
              <w:t xml:space="preserve"> </w:t>
            </w:r>
            <w:r w:rsidR="00D06761" w:rsidRPr="0023655F">
              <w:rPr>
                <w:bCs/>
                <w:lang w:val="fr-BE"/>
              </w:rPr>
              <w:t xml:space="preserve"> de dysfonctionnements du processus électoral et violations de droits de l’homme rapportés depuis le démarrage de la campagne jusqu’à la proclamation des résultats</w:t>
            </w:r>
          </w:p>
          <w:p w:rsidR="00B41DFE" w:rsidRPr="0023655F" w:rsidRDefault="00D06761" w:rsidP="00B66207">
            <w:r w:rsidRPr="0023655F">
              <w:t xml:space="preserve"> </w:t>
            </w:r>
          </w:p>
          <w:p w:rsidR="00B41DFE" w:rsidRPr="0023655F" w:rsidRDefault="00B41DFE" w:rsidP="00B66207">
            <w:pPr>
              <w:rPr>
                <w:b/>
              </w:rPr>
            </w:pPr>
            <w:r w:rsidRPr="0023655F">
              <w:rPr>
                <w:b/>
              </w:rPr>
              <w:t>Indicateur de référence</w:t>
            </w:r>
            <w:r w:rsidR="002C402D" w:rsidRPr="0023655F">
              <w:rPr>
                <w:b/>
              </w:rPr>
              <w:t xml:space="preserve"> (2010)</w:t>
            </w:r>
            <w:r w:rsidRPr="0023655F">
              <w:rPr>
                <w:b/>
              </w:rPr>
              <w:t>:</w:t>
            </w:r>
            <w:r w:rsidR="002C402D" w:rsidRPr="0023655F">
              <w:rPr>
                <w:b/>
              </w:rPr>
              <w:t xml:space="preserve"> ND</w:t>
            </w:r>
            <w:r w:rsidR="00D06761" w:rsidRPr="0023655F">
              <w:rPr>
                <w:b/>
              </w:rPr>
              <w:t xml:space="preserve"> </w:t>
            </w:r>
          </w:p>
          <w:p w:rsidR="00B41DFE" w:rsidRPr="0023655F" w:rsidRDefault="00B41DFE" w:rsidP="00B66207">
            <w:pPr>
              <w:rPr>
                <w:bCs/>
              </w:rPr>
            </w:pPr>
            <w:r w:rsidRPr="0023655F">
              <w:rPr>
                <w:b/>
              </w:rPr>
              <w:t>Indicateur cible</w:t>
            </w:r>
            <w:r w:rsidR="002C402D" w:rsidRPr="0023655F">
              <w:rPr>
                <w:b/>
              </w:rPr>
              <w:t xml:space="preserve"> (2013)</w:t>
            </w:r>
            <w:r w:rsidRPr="0023655F">
              <w:rPr>
                <w:b/>
              </w:rPr>
              <w:t>:</w:t>
            </w:r>
            <w:r w:rsidR="00D06761" w:rsidRPr="0023655F">
              <w:rPr>
                <w:b/>
              </w:rPr>
              <w:t xml:space="preserve"> </w:t>
            </w:r>
            <w:r w:rsidR="00D06761" w:rsidRPr="0023655F">
              <w:rPr>
                <w:bCs/>
              </w:rPr>
              <w:t>Une baisse d’au moins 25% d’incidents comparée aux élections présidentielles de 2010</w:t>
            </w:r>
          </w:p>
        </w:tc>
        <w:tc>
          <w:tcPr>
            <w:tcW w:w="3745" w:type="dxa"/>
            <w:shd w:val="pct15" w:color="auto" w:fill="auto"/>
          </w:tcPr>
          <w:p w:rsidR="00B41DFE" w:rsidRPr="0023655F" w:rsidRDefault="00B41DFE" w:rsidP="00B66207">
            <w:pPr>
              <w:jc w:val="both"/>
              <w:rPr>
                <w:bCs/>
              </w:rPr>
            </w:pPr>
          </w:p>
          <w:p w:rsidR="008B175C" w:rsidRPr="0023655F" w:rsidRDefault="008B175C" w:rsidP="00B66207">
            <w:pPr>
              <w:jc w:val="both"/>
              <w:rPr>
                <w:bCs/>
              </w:rPr>
            </w:pPr>
            <w:r w:rsidRPr="0023655F">
              <w:rPr>
                <w:bCs/>
              </w:rPr>
              <w:t>8 sérieux cas de violences ont été identifiés et traités ainsi qu’un cas de violation des droits de l’homme</w:t>
            </w:r>
          </w:p>
          <w:p w:rsidR="008B175C" w:rsidRPr="0023655F" w:rsidRDefault="008B175C" w:rsidP="00B66207">
            <w:pPr>
              <w:jc w:val="both"/>
              <w:rPr>
                <w:bCs/>
              </w:rPr>
            </w:pPr>
          </w:p>
          <w:p w:rsidR="008B175C" w:rsidRPr="0023655F" w:rsidRDefault="008B175C" w:rsidP="00B66207">
            <w:pPr>
              <w:jc w:val="both"/>
              <w:rPr>
                <w:bCs/>
              </w:rPr>
            </w:pPr>
          </w:p>
          <w:p w:rsidR="000B68F6" w:rsidRPr="0023655F" w:rsidRDefault="0050363E" w:rsidP="00B66207">
            <w:pPr>
              <w:jc w:val="both"/>
              <w:rPr>
                <w:bCs/>
              </w:rPr>
            </w:pPr>
            <w:r w:rsidRPr="0023655F">
              <w:rPr>
                <w:bCs/>
              </w:rPr>
              <w:t xml:space="preserve">75% de baisse </w:t>
            </w:r>
            <w:r w:rsidR="005D4A0F" w:rsidRPr="0023655F">
              <w:rPr>
                <w:bCs/>
              </w:rPr>
              <w:t>d’incidents comparés aux élections présidentielles dans la période couverte par le projet</w:t>
            </w:r>
            <w:r w:rsidR="003737E4" w:rsidRPr="0023655F">
              <w:rPr>
                <w:bCs/>
              </w:rPr>
              <w:t xml:space="preserve"> </w:t>
            </w:r>
          </w:p>
        </w:tc>
        <w:tc>
          <w:tcPr>
            <w:tcW w:w="3960" w:type="dxa"/>
            <w:shd w:val="pct15" w:color="auto" w:fill="auto"/>
          </w:tcPr>
          <w:p w:rsidR="00B41DFE" w:rsidRPr="0023655F" w:rsidRDefault="00B41DFE" w:rsidP="00B66207">
            <w:pPr>
              <w:jc w:val="both"/>
              <w:rPr>
                <w:bCs/>
              </w:rPr>
            </w:pPr>
          </w:p>
        </w:tc>
        <w:tc>
          <w:tcPr>
            <w:tcW w:w="3150" w:type="dxa"/>
            <w:shd w:val="pct15" w:color="auto" w:fill="auto"/>
          </w:tcPr>
          <w:p w:rsidR="00B41DFE" w:rsidRPr="0023655F" w:rsidRDefault="005D4A0F" w:rsidP="00433557">
            <w:pPr>
              <w:jc w:val="both"/>
              <w:rPr>
                <w:bCs/>
              </w:rPr>
            </w:pPr>
            <w:r w:rsidRPr="0023655F">
              <w:rPr>
                <w:bCs/>
              </w:rPr>
              <w:t>Rapports HCDH 2010 et 2013</w:t>
            </w:r>
          </w:p>
        </w:tc>
      </w:tr>
      <w:tr w:rsidR="00B2320D" w:rsidRPr="0023655F" w:rsidTr="00B66207">
        <w:trPr>
          <w:trHeight w:val="985"/>
        </w:trPr>
        <w:tc>
          <w:tcPr>
            <w:tcW w:w="4265" w:type="dxa"/>
            <w:shd w:val="pct15" w:color="auto" w:fill="auto"/>
          </w:tcPr>
          <w:p w:rsidR="002C402D" w:rsidRPr="0023655F" w:rsidRDefault="002C402D" w:rsidP="002C402D">
            <w:pPr>
              <w:rPr>
                <w:b/>
              </w:rPr>
            </w:pPr>
            <w:r w:rsidRPr="0023655F">
              <w:rPr>
                <w:b/>
              </w:rPr>
              <w:t>Effet direct 2</w:t>
            </w:r>
          </w:p>
          <w:p w:rsidR="00B2320D" w:rsidRPr="0023655F" w:rsidRDefault="00B2320D" w:rsidP="00B66207">
            <w:pPr>
              <w:rPr>
                <w:b/>
              </w:rPr>
            </w:pPr>
          </w:p>
          <w:p w:rsidR="002C402D" w:rsidRPr="0023655F" w:rsidRDefault="002C402D" w:rsidP="002C402D">
            <w:pPr>
              <w:rPr>
                <w:bCs/>
                <w:snapToGrid w:val="0"/>
                <w:lang w:val="fr-BE"/>
              </w:rPr>
            </w:pPr>
            <w:r w:rsidRPr="0023655F">
              <w:rPr>
                <w:b/>
              </w:rPr>
              <w:t xml:space="preserve">Indicateur: </w:t>
            </w:r>
            <w:r w:rsidRPr="0023655F">
              <w:rPr>
                <w:bCs/>
                <w:snapToGrid w:val="0"/>
                <w:lang w:val="fr-BE"/>
              </w:rPr>
              <w:t>Taux de vote (hommes/femmes)</w:t>
            </w:r>
          </w:p>
          <w:p w:rsidR="002C402D" w:rsidRPr="0023655F" w:rsidRDefault="002C402D" w:rsidP="002C402D">
            <w:pPr>
              <w:rPr>
                <w:bCs/>
                <w:lang w:val="fr-BE"/>
              </w:rPr>
            </w:pPr>
          </w:p>
          <w:p w:rsidR="002C402D" w:rsidRPr="0023655F" w:rsidRDefault="002C402D" w:rsidP="002C402D">
            <w:r w:rsidRPr="0023655F">
              <w:rPr>
                <w:b/>
              </w:rPr>
              <w:t xml:space="preserve">Indicateur de référence (2010): </w:t>
            </w:r>
            <w:r w:rsidR="004D2091" w:rsidRPr="0023655F">
              <w:t>51,59% (premier tour) ; 67,87% (deuxième tour) soit une moyenne de 59,7</w:t>
            </w:r>
            <w:r w:rsidR="00CF2A60" w:rsidRPr="0023655F">
              <w:t>%</w:t>
            </w:r>
          </w:p>
          <w:p w:rsidR="002C402D" w:rsidRPr="0023655F" w:rsidRDefault="002C402D" w:rsidP="00B66207">
            <w:pPr>
              <w:rPr>
                <w:lang w:val="fr-BE"/>
              </w:rPr>
            </w:pPr>
            <w:r w:rsidRPr="0023655F">
              <w:rPr>
                <w:b/>
              </w:rPr>
              <w:t xml:space="preserve">Indicateur cible: </w:t>
            </w:r>
            <w:r w:rsidRPr="0023655F">
              <w:rPr>
                <w:bCs/>
                <w:snapToGrid w:val="0"/>
                <w:lang w:val="fr-BE"/>
              </w:rPr>
              <w:t>Un accroissement de 5% du taux de vote (homme/femmes) depuis les élections présidentielles de 2010</w:t>
            </w:r>
          </w:p>
        </w:tc>
        <w:tc>
          <w:tcPr>
            <w:tcW w:w="3745" w:type="dxa"/>
            <w:shd w:val="pct15" w:color="auto" w:fill="auto"/>
          </w:tcPr>
          <w:p w:rsidR="00B2320D" w:rsidRPr="0023655F" w:rsidRDefault="00B2320D" w:rsidP="00B66207">
            <w:pPr>
              <w:jc w:val="both"/>
              <w:rPr>
                <w:bCs/>
              </w:rPr>
            </w:pPr>
          </w:p>
          <w:p w:rsidR="00A30695" w:rsidRPr="0023655F" w:rsidRDefault="00A30695" w:rsidP="00E03D40">
            <w:pPr>
              <w:rPr>
                <w:bCs/>
              </w:rPr>
            </w:pPr>
            <w:r w:rsidRPr="0023655F">
              <w:rPr>
                <w:bCs/>
              </w:rPr>
              <w:t>Le taux de vo</w:t>
            </w:r>
            <w:r w:rsidR="000B68F6" w:rsidRPr="0023655F">
              <w:rPr>
                <w:bCs/>
              </w:rPr>
              <w:t>te des élections législatives de 2013</w:t>
            </w:r>
            <w:r w:rsidRPr="0023655F">
              <w:rPr>
                <w:bCs/>
              </w:rPr>
              <w:t> : 64% (64,28% à la proportionnel et 63,53%</w:t>
            </w:r>
            <w:r w:rsidR="002E4443" w:rsidRPr="0023655F">
              <w:rPr>
                <w:bCs/>
              </w:rPr>
              <w:t xml:space="preserve"> à l’uninominal</w:t>
            </w:r>
            <w:r w:rsidRPr="0023655F">
              <w:rPr>
                <w:bCs/>
              </w:rPr>
              <w:t>)</w:t>
            </w:r>
          </w:p>
          <w:p w:rsidR="00E03D40" w:rsidRPr="0023655F" w:rsidRDefault="00E03D40" w:rsidP="00E03D40">
            <w:pPr>
              <w:rPr>
                <w:bCs/>
              </w:rPr>
            </w:pPr>
          </w:p>
          <w:p w:rsidR="0021612C" w:rsidRPr="0023655F" w:rsidRDefault="0021612C" w:rsidP="00E03D40">
            <w:pPr>
              <w:rPr>
                <w:bCs/>
              </w:rPr>
            </w:pPr>
          </w:p>
        </w:tc>
        <w:tc>
          <w:tcPr>
            <w:tcW w:w="3960" w:type="dxa"/>
            <w:shd w:val="pct15" w:color="auto" w:fill="auto"/>
          </w:tcPr>
          <w:p w:rsidR="00B2320D" w:rsidRPr="0023655F" w:rsidRDefault="00B2320D" w:rsidP="00B66207">
            <w:pPr>
              <w:jc w:val="both"/>
              <w:rPr>
                <w:bCs/>
              </w:rPr>
            </w:pPr>
          </w:p>
          <w:p w:rsidR="000966B9" w:rsidRPr="0023655F" w:rsidRDefault="000966B9" w:rsidP="00B66207">
            <w:pPr>
              <w:jc w:val="both"/>
              <w:rPr>
                <w:bCs/>
              </w:rPr>
            </w:pPr>
            <w:r w:rsidRPr="0023655F">
              <w:rPr>
                <w:bCs/>
              </w:rPr>
              <w:t>Le taux désagrégé par sexe n’est pas disponible</w:t>
            </w:r>
          </w:p>
        </w:tc>
        <w:tc>
          <w:tcPr>
            <w:tcW w:w="3150" w:type="dxa"/>
            <w:shd w:val="pct15" w:color="auto" w:fill="auto"/>
          </w:tcPr>
          <w:p w:rsidR="00B2320D" w:rsidRPr="0023655F" w:rsidRDefault="00B2320D" w:rsidP="00B66207">
            <w:pPr>
              <w:jc w:val="both"/>
              <w:rPr>
                <w:bCs/>
              </w:rPr>
            </w:pPr>
          </w:p>
          <w:p w:rsidR="0021612C" w:rsidRPr="0023655F" w:rsidRDefault="0021612C" w:rsidP="00B66207">
            <w:pPr>
              <w:jc w:val="both"/>
              <w:rPr>
                <w:bCs/>
              </w:rPr>
            </w:pPr>
            <w:r w:rsidRPr="0023655F">
              <w:rPr>
                <w:bCs/>
              </w:rPr>
              <w:t>Rapport de la CENI</w:t>
            </w:r>
          </w:p>
        </w:tc>
      </w:tr>
      <w:tr w:rsidR="00B41DFE" w:rsidRPr="0023655F" w:rsidTr="00B66207">
        <w:trPr>
          <w:trHeight w:val="134"/>
        </w:trPr>
        <w:tc>
          <w:tcPr>
            <w:tcW w:w="15120" w:type="dxa"/>
            <w:gridSpan w:val="4"/>
            <w:shd w:val="clear" w:color="auto" w:fill="auto"/>
          </w:tcPr>
          <w:p w:rsidR="00B41DFE" w:rsidRPr="0023655F" w:rsidRDefault="008B175C" w:rsidP="00981A11">
            <w:pPr>
              <w:jc w:val="both"/>
              <w:rPr>
                <w:bCs/>
              </w:rPr>
            </w:pPr>
            <w:r w:rsidRPr="0023655F">
              <w:rPr>
                <w:b/>
              </w:rPr>
              <w:t>Résultat</w:t>
            </w:r>
            <w:r w:rsidR="00B41DFE" w:rsidRPr="0023655F">
              <w:rPr>
                <w:b/>
              </w:rPr>
              <w:t xml:space="preserve"> 1 </w:t>
            </w:r>
            <w:r w:rsidR="00D06761" w:rsidRPr="0023655F">
              <w:rPr>
                <w:b/>
                <w:bCs/>
              </w:rPr>
              <w:t>Un dispositif de monitoring électoral opérationnel avec une capacité de réponse rapide pour la gestion des dysfonctionnements du processus électoral et un dispositif de droits de l’homme est fonctionnel</w:t>
            </w:r>
          </w:p>
        </w:tc>
      </w:tr>
      <w:tr w:rsidR="00B41DFE" w:rsidRPr="0023655F" w:rsidTr="00B66207">
        <w:tc>
          <w:tcPr>
            <w:tcW w:w="4265" w:type="dxa"/>
            <w:shd w:val="clear" w:color="auto" w:fill="auto"/>
          </w:tcPr>
          <w:p w:rsidR="00B2320D" w:rsidRPr="0023655F" w:rsidRDefault="00E56B11" w:rsidP="002C402D">
            <w:pPr>
              <w:jc w:val="both"/>
              <w:rPr>
                <w:b/>
              </w:rPr>
            </w:pPr>
            <w:r w:rsidRPr="0023655F">
              <w:rPr>
                <w:b/>
              </w:rPr>
              <w:t>Indicateur  1.1</w:t>
            </w:r>
            <w:r w:rsidR="00B41DFE" w:rsidRPr="0023655F">
              <w:rPr>
                <w:b/>
              </w:rPr>
              <w:t xml:space="preserve">: </w:t>
            </w:r>
            <w:r w:rsidR="00B2320D" w:rsidRPr="0023655F">
              <w:rPr>
                <w:lang w:val="fr-BE"/>
              </w:rPr>
              <w:t>#</w:t>
            </w:r>
            <w:r w:rsidR="00B2320D" w:rsidRPr="0023655F">
              <w:t xml:space="preserve">  de solutions apportées par la Salle de Veille des Femmes aux incidences et dysfonctionnements  rapportées par les observatrices</w:t>
            </w:r>
          </w:p>
          <w:p w:rsidR="00B41DFE" w:rsidRPr="0023655F" w:rsidRDefault="00B41DFE" w:rsidP="00B66207"/>
          <w:p w:rsidR="00B41DFE" w:rsidRPr="0023655F" w:rsidRDefault="00B41DFE" w:rsidP="00B66207">
            <w:r w:rsidRPr="0023655F">
              <w:t>I</w:t>
            </w:r>
            <w:r w:rsidR="00D06761" w:rsidRPr="0023655F">
              <w:t>ndicateur de référence (201</w:t>
            </w:r>
            <w:r w:rsidR="00E56B11" w:rsidRPr="0023655F">
              <w:t>0</w:t>
            </w:r>
            <w:r w:rsidR="00D06761" w:rsidRPr="0023655F">
              <w:t>):</w:t>
            </w:r>
            <w:r w:rsidR="00E56B11" w:rsidRPr="0023655F">
              <w:t xml:space="preserve"> ND</w:t>
            </w:r>
            <w:r w:rsidR="00D06761" w:rsidRPr="0023655F">
              <w:t xml:space="preserve"> </w:t>
            </w:r>
          </w:p>
          <w:p w:rsidR="00B41DFE" w:rsidRPr="0023655F" w:rsidRDefault="00B41DFE" w:rsidP="00EC618B">
            <w:pPr>
              <w:rPr>
                <w:b/>
              </w:rPr>
            </w:pPr>
            <w:r w:rsidRPr="0023655F">
              <w:t>Indicateur cible (201</w:t>
            </w:r>
            <w:r w:rsidR="00E56B11" w:rsidRPr="0023655F">
              <w:t>3</w:t>
            </w:r>
            <w:r w:rsidRPr="0023655F">
              <w:t xml:space="preserve">): </w:t>
            </w:r>
            <w:r w:rsidR="00B2320D" w:rsidRPr="0023655F">
              <w:t>Aux moins 70% des urgences rapportées sont résolues</w:t>
            </w:r>
          </w:p>
        </w:tc>
        <w:tc>
          <w:tcPr>
            <w:tcW w:w="3745" w:type="dxa"/>
            <w:shd w:val="clear" w:color="auto" w:fill="auto"/>
          </w:tcPr>
          <w:p w:rsidR="00216B9D" w:rsidRPr="0023655F" w:rsidRDefault="00216B9D" w:rsidP="00216B9D">
            <w:pPr>
              <w:jc w:val="both"/>
              <w:rPr>
                <w:bCs/>
                <w:color w:val="FF0000"/>
              </w:rPr>
            </w:pPr>
            <w:r w:rsidRPr="0023655F">
              <w:t xml:space="preserve">100% des cinq alertes rouges ont été traité par la Salle de Veille le jour du scrutin </w:t>
            </w:r>
          </w:p>
        </w:tc>
        <w:tc>
          <w:tcPr>
            <w:tcW w:w="3960" w:type="dxa"/>
            <w:shd w:val="clear" w:color="auto" w:fill="auto"/>
          </w:tcPr>
          <w:p w:rsidR="00B41DFE" w:rsidRPr="0023655F" w:rsidRDefault="00B41DFE" w:rsidP="00B66207">
            <w:pPr>
              <w:jc w:val="both"/>
              <w:rPr>
                <w:bCs/>
              </w:rPr>
            </w:pPr>
          </w:p>
        </w:tc>
        <w:tc>
          <w:tcPr>
            <w:tcW w:w="3150" w:type="dxa"/>
            <w:shd w:val="clear" w:color="auto" w:fill="auto"/>
          </w:tcPr>
          <w:p w:rsidR="0021612C" w:rsidRPr="0023655F" w:rsidRDefault="0021612C" w:rsidP="006F793C">
            <w:pPr>
              <w:jc w:val="both"/>
              <w:rPr>
                <w:bCs/>
              </w:rPr>
            </w:pPr>
            <w:r w:rsidRPr="0023655F">
              <w:rPr>
                <w:bCs/>
              </w:rPr>
              <w:t>Rapports Case de Veille</w:t>
            </w:r>
          </w:p>
        </w:tc>
      </w:tr>
      <w:tr w:rsidR="00B41DFE" w:rsidRPr="0023655F" w:rsidTr="00B66207">
        <w:tc>
          <w:tcPr>
            <w:tcW w:w="4265" w:type="dxa"/>
            <w:shd w:val="clear" w:color="auto" w:fill="auto"/>
          </w:tcPr>
          <w:p w:rsidR="00B41DFE" w:rsidRPr="0023655F" w:rsidRDefault="00E56B11" w:rsidP="00B66207">
            <w:r w:rsidRPr="0023655F">
              <w:rPr>
                <w:b/>
              </w:rPr>
              <w:lastRenderedPageBreak/>
              <w:t>Indicateur 1.2</w:t>
            </w:r>
            <w:r w:rsidR="00B41DFE" w:rsidRPr="0023655F">
              <w:rPr>
                <w:b/>
              </w:rPr>
              <w:t xml:space="preserve">: </w:t>
            </w:r>
            <w:r w:rsidR="002C402D" w:rsidRPr="0023655F">
              <w:t>#  d’observatrices de la Case de Veille / moniteurs en droits de l’homme déployés</w:t>
            </w:r>
          </w:p>
          <w:p w:rsidR="00EC618B" w:rsidRPr="0023655F" w:rsidRDefault="00EC618B" w:rsidP="00E56B11">
            <w:pPr>
              <w:rPr>
                <w:b/>
              </w:rPr>
            </w:pPr>
          </w:p>
          <w:p w:rsidR="00E56B11" w:rsidRPr="0023655F" w:rsidRDefault="00B41DFE" w:rsidP="00E56B11">
            <w:r w:rsidRPr="0023655F">
              <w:t>Indicateur de référence (201</w:t>
            </w:r>
            <w:r w:rsidR="00E56B11" w:rsidRPr="0023655F">
              <w:t>0</w:t>
            </w:r>
            <w:r w:rsidRPr="0023655F">
              <w:t xml:space="preserve">): </w:t>
            </w:r>
            <w:r w:rsidR="002C402D" w:rsidRPr="0023655F">
              <w:t>ND</w:t>
            </w:r>
          </w:p>
          <w:p w:rsidR="00B41DFE" w:rsidRPr="0023655F" w:rsidRDefault="00B41DFE" w:rsidP="002C402D">
            <w:pPr>
              <w:rPr>
                <w:b/>
              </w:rPr>
            </w:pPr>
            <w:r w:rsidRPr="0023655F">
              <w:t xml:space="preserve">Indicateur cible </w:t>
            </w:r>
            <w:r w:rsidR="00E56B11" w:rsidRPr="0023655F">
              <w:t>(2013</w:t>
            </w:r>
            <w:r w:rsidRPr="0023655F">
              <w:t>):</w:t>
            </w:r>
            <w:r w:rsidR="00E56B11" w:rsidRPr="0023655F">
              <w:t xml:space="preserve"> </w:t>
            </w:r>
            <w:r w:rsidR="002C402D" w:rsidRPr="0023655F">
              <w:t>1040</w:t>
            </w:r>
          </w:p>
        </w:tc>
        <w:tc>
          <w:tcPr>
            <w:tcW w:w="3745" w:type="dxa"/>
            <w:shd w:val="clear" w:color="auto" w:fill="auto"/>
          </w:tcPr>
          <w:p w:rsidR="00572CF0" w:rsidRPr="0023655F" w:rsidRDefault="00CF2A60" w:rsidP="00B66207">
            <w:pPr>
              <w:jc w:val="both"/>
              <w:rPr>
                <w:bCs/>
              </w:rPr>
            </w:pPr>
            <w:r w:rsidRPr="0023655F">
              <w:rPr>
                <w:bCs/>
              </w:rPr>
              <w:t xml:space="preserve">780 observateurs dont </w:t>
            </w:r>
            <w:r w:rsidR="0021612C" w:rsidRPr="0023655F">
              <w:rPr>
                <w:bCs/>
              </w:rPr>
              <w:t>660 observatrices de la Case de Veille</w:t>
            </w:r>
            <w:r w:rsidRPr="0023655F">
              <w:rPr>
                <w:bCs/>
              </w:rPr>
              <w:t xml:space="preserve"> et 1</w:t>
            </w:r>
            <w:r w:rsidR="00572CF0" w:rsidRPr="0023655F">
              <w:rPr>
                <w:bCs/>
              </w:rPr>
              <w:t xml:space="preserve">20 moniteurs des droits de l’homme ont été effectivement déployés </w:t>
            </w:r>
          </w:p>
          <w:p w:rsidR="0021612C" w:rsidRPr="0023655F" w:rsidRDefault="0021612C" w:rsidP="00B66207">
            <w:pPr>
              <w:jc w:val="both"/>
              <w:rPr>
                <w:bCs/>
              </w:rPr>
            </w:pPr>
          </w:p>
        </w:tc>
        <w:tc>
          <w:tcPr>
            <w:tcW w:w="3960" w:type="dxa"/>
            <w:shd w:val="clear" w:color="auto" w:fill="auto"/>
          </w:tcPr>
          <w:p w:rsidR="00B41DFE" w:rsidRPr="0023655F" w:rsidRDefault="00F4345D" w:rsidP="00B66207">
            <w:pPr>
              <w:jc w:val="both"/>
              <w:rPr>
                <w:bCs/>
              </w:rPr>
            </w:pPr>
            <w:r w:rsidRPr="0023655F">
              <w:rPr>
                <w:bCs/>
              </w:rPr>
              <w:t xml:space="preserve">Vu les contraintes budgétaires le nombre de femmes observatrices de la case de veille a été réduit de 800 a 660 </w:t>
            </w:r>
          </w:p>
        </w:tc>
        <w:tc>
          <w:tcPr>
            <w:tcW w:w="3150" w:type="dxa"/>
            <w:shd w:val="clear" w:color="auto" w:fill="auto"/>
          </w:tcPr>
          <w:p w:rsidR="0021612C" w:rsidRPr="0023655F" w:rsidRDefault="0021612C" w:rsidP="00B66207">
            <w:pPr>
              <w:jc w:val="both"/>
              <w:rPr>
                <w:bCs/>
              </w:rPr>
            </w:pPr>
            <w:r w:rsidRPr="0023655F">
              <w:rPr>
                <w:bCs/>
              </w:rPr>
              <w:t xml:space="preserve">Rapport Case de Veille </w:t>
            </w:r>
          </w:p>
          <w:p w:rsidR="00572CF0" w:rsidRPr="0023655F" w:rsidRDefault="00572CF0" w:rsidP="00B66207">
            <w:pPr>
              <w:jc w:val="both"/>
              <w:rPr>
                <w:bCs/>
              </w:rPr>
            </w:pPr>
          </w:p>
          <w:p w:rsidR="0021612C" w:rsidRPr="0023655F" w:rsidRDefault="00572CF0" w:rsidP="00B66207">
            <w:pPr>
              <w:jc w:val="both"/>
              <w:rPr>
                <w:bCs/>
              </w:rPr>
            </w:pPr>
            <w:r w:rsidRPr="0023655F">
              <w:rPr>
                <w:bCs/>
              </w:rPr>
              <w:t>Fiches de présence des ateliers de renforcement des capacités  et rapport HCDH</w:t>
            </w:r>
          </w:p>
        </w:tc>
      </w:tr>
      <w:tr w:rsidR="00B41DFE" w:rsidRPr="0023655F" w:rsidTr="00B66207">
        <w:tc>
          <w:tcPr>
            <w:tcW w:w="4265" w:type="dxa"/>
            <w:shd w:val="clear" w:color="auto" w:fill="auto"/>
          </w:tcPr>
          <w:p w:rsidR="002C402D" w:rsidRPr="0023655F" w:rsidRDefault="00B41DFE" w:rsidP="002C402D">
            <w:r w:rsidRPr="0023655F">
              <w:rPr>
                <w:b/>
              </w:rPr>
              <w:t>Indicateur 1.3</w:t>
            </w:r>
            <w:r w:rsidR="00B2320D" w:rsidRPr="0023655F">
              <w:rPr>
                <w:b/>
              </w:rPr>
              <w:t> :</w:t>
            </w:r>
            <w:r w:rsidR="002C402D" w:rsidRPr="0023655F">
              <w:rPr>
                <w:b/>
              </w:rPr>
              <w:t xml:space="preserve"> </w:t>
            </w:r>
            <w:r w:rsidR="002C402D" w:rsidRPr="0023655F">
              <w:t># de bureaux de votes couverts par les observatrices de la Case de Veille / moniteurs en droits de l’homme déployés</w:t>
            </w:r>
          </w:p>
          <w:p w:rsidR="00B41DFE" w:rsidRPr="0023655F" w:rsidRDefault="00B41DFE" w:rsidP="00B66207">
            <w:pPr>
              <w:rPr>
                <w:b/>
              </w:rPr>
            </w:pPr>
          </w:p>
          <w:p w:rsidR="00B44D69" w:rsidRPr="0023655F" w:rsidRDefault="00B41DFE" w:rsidP="00B44D69">
            <w:r w:rsidRPr="0023655F">
              <w:t>Indicateur de référence (201</w:t>
            </w:r>
            <w:r w:rsidR="00B44D69" w:rsidRPr="0023655F">
              <w:t>0</w:t>
            </w:r>
            <w:r w:rsidRPr="0023655F">
              <w:t xml:space="preserve">): </w:t>
            </w:r>
            <w:r w:rsidR="00B44D69" w:rsidRPr="0023655F">
              <w:t>N/A</w:t>
            </w:r>
          </w:p>
          <w:p w:rsidR="00B41DFE" w:rsidRPr="0023655F" w:rsidRDefault="00B41DFE" w:rsidP="002C402D">
            <w:pPr>
              <w:rPr>
                <w:bCs/>
              </w:rPr>
            </w:pPr>
            <w:r w:rsidRPr="0023655F">
              <w:t>I</w:t>
            </w:r>
            <w:r w:rsidR="00B44D69" w:rsidRPr="0023655F">
              <w:t>ndicateur cible (2013</w:t>
            </w:r>
            <w:r w:rsidRPr="0023655F">
              <w:t>):</w:t>
            </w:r>
            <w:r w:rsidR="002C402D" w:rsidRPr="0023655F">
              <w:t xml:space="preserve"> Au moins 8 % des 12,000 BV couverts</w:t>
            </w:r>
          </w:p>
        </w:tc>
        <w:tc>
          <w:tcPr>
            <w:tcW w:w="3745" w:type="dxa"/>
            <w:shd w:val="clear" w:color="auto" w:fill="auto"/>
          </w:tcPr>
          <w:p w:rsidR="00B41DFE" w:rsidRPr="0023655F" w:rsidRDefault="00B41DFE" w:rsidP="00903917">
            <w:pPr>
              <w:jc w:val="both"/>
              <w:rPr>
                <w:bCs/>
                <w:highlight w:val="green"/>
              </w:rPr>
            </w:pPr>
          </w:p>
          <w:p w:rsidR="0021612C" w:rsidRPr="0023655F" w:rsidRDefault="00BD1A9C" w:rsidP="00BD1A9C">
            <w:pPr>
              <w:jc w:val="both"/>
              <w:rPr>
                <w:bCs/>
                <w:highlight w:val="green"/>
              </w:rPr>
            </w:pPr>
            <w:r w:rsidRPr="0023655F">
              <w:rPr>
                <w:bCs/>
              </w:rPr>
              <w:t xml:space="preserve">Un total de 1807 bureaux de vote ont été couverts, dont </w:t>
            </w:r>
            <w:r w:rsidR="00F4345D" w:rsidRPr="0023655F">
              <w:rPr>
                <w:bCs/>
              </w:rPr>
              <w:t xml:space="preserve">660 par la  Case de veille et </w:t>
            </w:r>
            <w:r w:rsidR="005D4A0F" w:rsidRPr="0023655F">
              <w:rPr>
                <w:bCs/>
              </w:rPr>
              <w:t xml:space="preserve">1147 par le </w:t>
            </w:r>
            <w:r w:rsidR="00C51CAF" w:rsidRPr="0023655F">
              <w:rPr>
                <w:bCs/>
              </w:rPr>
              <w:t>HCDH,</w:t>
            </w:r>
            <w:r w:rsidR="00F4345D" w:rsidRPr="0023655F">
              <w:rPr>
                <w:bCs/>
              </w:rPr>
              <w:t xml:space="preserve"> soit </w:t>
            </w:r>
            <w:r w:rsidRPr="0023655F">
              <w:rPr>
                <w:bCs/>
              </w:rPr>
              <w:t>une couverture</w:t>
            </w:r>
            <w:r w:rsidR="00F4345D" w:rsidRPr="0023655F">
              <w:rPr>
                <w:bCs/>
              </w:rPr>
              <w:t xml:space="preserve"> </w:t>
            </w:r>
            <w:r w:rsidRPr="0023655F">
              <w:rPr>
                <w:bCs/>
              </w:rPr>
              <w:t>9,5%</w:t>
            </w:r>
          </w:p>
        </w:tc>
        <w:tc>
          <w:tcPr>
            <w:tcW w:w="3960" w:type="dxa"/>
            <w:shd w:val="clear" w:color="auto" w:fill="auto"/>
          </w:tcPr>
          <w:p w:rsidR="00AE7C50" w:rsidRPr="0023655F" w:rsidRDefault="00AE7C50" w:rsidP="00B66207">
            <w:pPr>
              <w:jc w:val="both"/>
              <w:rPr>
                <w:bCs/>
              </w:rPr>
            </w:pPr>
          </w:p>
        </w:tc>
        <w:tc>
          <w:tcPr>
            <w:tcW w:w="3150" w:type="dxa"/>
            <w:shd w:val="clear" w:color="auto" w:fill="auto"/>
          </w:tcPr>
          <w:p w:rsidR="00B41DFE" w:rsidRPr="0023655F" w:rsidRDefault="00B41DFE" w:rsidP="00B66207">
            <w:pPr>
              <w:jc w:val="both"/>
              <w:rPr>
                <w:bCs/>
              </w:rPr>
            </w:pPr>
          </w:p>
          <w:p w:rsidR="0021612C" w:rsidRPr="0023655F" w:rsidRDefault="0021612C" w:rsidP="00B66207">
            <w:pPr>
              <w:jc w:val="both"/>
              <w:rPr>
                <w:bCs/>
              </w:rPr>
            </w:pPr>
            <w:r w:rsidRPr="0023655F">
              <w:rPr>
                <w:bCs/>
              </w:rPr>
              <w:t>Plans de déploiement des observateur/moniteur sur le terrain</w:t>
            </w:r>
          </w:p>
        </w:tc>
      </w:tr>
      <w:tr w:rsidR="00903917" w:rsidRPr="0023655F" w:rsidTr="00B66207">
        <w:trPr>
          <w:trHeight w:val="220"/>
        </w:trPr>
        <w:tc>
          <w:tcPr>
            <w:tcW w:w="15120" w:type="dxa"/>
            <w:gridSpan w:val="4"/>
            <w:shd w:val="clear" w:color="auto" w:fill="auto"/>
          </w:tcPr>
          <w:p w:rsidR="00903917" w:rsidRPr="0023655F" w:rsidRDefault="008B175C" w:rsidP="00EE17DD">
            <w:pPr>
              <w:jc w:val="both"/>
              <w:rPr>
                <w:b/>
              </w:rPr>
            </w:pPr>
            <w:r w:rsidRPr="0023655F">
              <w:rPr>
                <w:b/>
                <w:bCs/>
                <w:snapToGrid w:val="0"/>
                <w:lang w:val="fr-BE"/>
              </w:rPr>
              <w:t>Résultat</w:t>
            </w:r>
            <w:r w:rsidR="00903917" w:rsidRPr="0023655F">
              <w:rPr>
                <w:b/>
                <w:bCs/>
                <w:snapToGrid w:val="0"/>
                <w:lang w:val="fr-BE"/>
              </w:rPr>
              <w:t xml:space="preserve"> 2</w:t>
            </w:r>
            <w:r w:rsidR="00EE17DD" w:rsidRPr="0023655F">
              <w:rPr>
                <w:b/>
                <w:bCs/>
                <w:snapToGrid w:val="0"/>
                <w:lang w:val="fr-BE"/>
              </w:rPr>
              <w:t xml:space="preserve">: Promotion d’une culture de paix et non-violence en période pré- et </w:t>
            </w:r>
            <w:r w:rsidR="00C51CAF" w:rsidRPr="0023655F">
              <w:rPr>
                <w:b/>
                <w:bCs/>
                <w:snapToGrid w:val="0"/>
                <w:lang w:val="fr-BE"/>
              </w:rPr>
              <w:t>postélectorale</w:t>
            </w:r>
            <w:r w:rsidR="00EE17DD" w:rsidRPr="0023655F">
              <w:rPr>
                <w:b/>
                <w:bCs/>
                <w:snapToGrid w:val="0"/>
                <w:lang w:val="fr-BE"/>
              </w:rPr>
              <w:t xml:space="preserve">  et sensibilisation des populations sur leurs droits et devoirs citoyens dans le cadre des élections</w:t>
            </w:r>
          </w:p>
        </w:tc>
      </w:tr>
      <w:tr w:rsidR="00903917" w:rsidRPr="0023655F" w:rsidTr="00B66207">
        <w:trPr>
          <w:trHeight w:val="777"/>
        </w:trPr>
        <w:tc>
          <w:tcPr>
            <w:tcW w:w="4265" w:type="dxa"/>
            <w:shd w:val="clear" w:color="auto" w:fill="auto"/>
          </w:tcPr>
          <w:p w:rsidR="00EE17DD" w:rsidRPr="0023655F" w:rsidRDefault="00EE17DD" w:rsidP="00EE17DD">
            <w:pPr>
              <w:pStyle w:val="BodyText"/>
              <w:jc w:val="both"/>
              <w:rPr>
                <w:rFonts w:ascii="Times New Roman" w:hAnsi="Times New Roman" w:cs="Times New Roman"/>
                <w:sz w:val="24"/>
                <w:szCs w:val="24"/>
                <w:lang w:val="fr-FR"/>
              </w:rPr>
            </w:pPr>
            <w:r w:rsidRPr="0023655F">
              <w:rPr>
                <w:rFonts w:ascii="Times New Roman" w:hAnsi="Times New Roman" w:cs="Times New Roman"/>
                <w:b/>
                <w:sz w:val="24"/>
                <w:szCs w:val="24"/>
                <w:lang w:val="fr-BE"/>
              </w:rPr>
              <w:t>Indicateur  2.1</w:t>
            </w:r>
            <w:r w:rsidRPr="0023655F">
              <w:rPr>
                <w:rFonts w:ascii="Times New Roman" w:hAnsi="Times New Roman" w:cs="Times New Roman"/>
                <w:sz w:val="24"/>
                <w:szCs w:val="24"/>
                <w:lang w:val="fr-BE"/>
              </w:rPr>
              <w:t xml:space="preserve"> : </w:t>
            </w:r>
            <w:r w:rsidRPr="0023655F">
              <w:rPr>
                <w:rFonts w:ascii="Times New Roman" w:hAnsi="Times New Roman" w:cs="Times New Roman"/>
                <w:sz w:val="24"/>
                <w:szCs w:val="24"/>
                <w:lang w:val="fr-FR"/>
              </w:rPr>
              <w:t># de journalistes (ho/</w:t>
            </w:r>
            <w:proofErr w:type="spellStart"/>
            <w:r w:rsidRPr="0023655F">
              <w:rPr>
                <w:rFonts w:ascii="Times New Roman" w:hAnsi="Times New Roman" w:cs="Times New Roman"/>
                <w:sz w:val="24"/>
                <w:szCs w:val="24"/>
                <w:lang w:val="fr-FR"/>
              </w:rPr>
              <w:t>fe</w:t>
            </w:r>
            <w:proofErr w:type="spellEnd"/>
            <w:r w:rsidRPr="0023655F">
              <w:rPr>
                <w:rFonts w:ascii="Times New Roman" w:hAnsi="Times New Roman" w:cs="Times New Roman"/>
                <w:sz w:val="24"/>
                <w:szCs w:val="24"/>
                <w:lang w:val="fr-FR"/>
              </w:rPr>
              <w:t>) formées adhérant aux code de bonne conduite</w:t>
            </w:r>
          </w:p>
          <w:p w:rsidR="00EE17DD" w:rsidRPr="0023655F" w:rsidRDefault="00EE17DD" w:rsidP="00EE17DD">
            <w:pPr>
              <w:pStyle w:val="BodyText"/>
              <w:jc w:val="both"/>
              <w:rPr>
                <w:rFonts w:ascii="Times New Roman" w:hAnsi="Times New Roman" w:cs="Times New Roman"/>
                <w:sz w:val="24"/>
                <w:szCs w:val="24"/>
                <w:lang w:val="fr-FR"/>
              </w:rPr>
            </w:pPr>
          </w:p>
          <w:p w:rsidR="00EE17DD" w:rsidRPr="0023655F" w:rsidRDefault="00EE17DD" w:rsidP="00EE17DD">
            <w:r w:rsidRPr="0023655F">
              <w:t>Indicateur de référence (2010): N/A</w:t>
            </w:r>
          </w:p>
          <w:p w:rsidR="00903917" w:rsidRPr="0023655F" w:rsidRDefault="00EE17DD" w:rsidP="0047397C">
            <w:pPr>
              <w:pStyle w:val="BodyText"/>
              <w:jc w:val="both"/>
              <w:rPr>
                <w:rFonts w:ascii="Times New Roman" w:hAnsi="Times New Roman" w:cs="Times New Roman"/>
                <w:sz w:val="24"/>
                <w:szCs w:val="24"/>
                <w:lang w:val="fr-BE"/>
              </w:rPr>
            </w:pPr>
            <w:r w:rsidRPr="0023655F">
              <w:rPr>
                <w:rFonts w:ascii="Times New Roman" w:hAnsi="Times New Roman" w:cs="Times New Roman"/>
                <w:sz w:val="24"/>
                <w:szCs w:val="24"/>
                <w:lang w:val="fr-BE"/>
              </w:rPr>
              <w:t>Indicateur cible (2013): 50 journalistes dont aux moins 30% de femmes</w:t>
            </w:r>
          </w:p>
        </w:tc>
        <w:tc>
          <w:tcPr>
            <w:tcW w:w="3745" w:type="dxa"/>
            <w:shd w:val="clear" w:color="auto" w:fill="auto"/>
          </w:tcPr>
          <w:p w:rsidR="00572CF0" w:rsidRPr="0023655F" w:rsidRDefault="00572CF0" w:rsidP="00F96E45">
            <w:pPr>
              <w:jc w:val="both"/>
              <w:rPr>
                <w:bCs/>
              </w:rPr>
            </w:pPr>
            <w:r w:rsidRPr="0023655F">
              <w:rPr>
                <w:bCs/>
              </w:rPr>
              <w:t xml:space="preserve">Un code de bonne conduite des </w:t>
            </w:r>
            <w:r w:rsidR="00862D2E" w:rsidRPr="0023655F">
              <w:rPr>
                <w:bCs/>
              </w:rPr>
              <w:t>journalistes</w:t>
            </w:r>
            <w:r w:rsidRPr="0023655F">
              <w:rPr>
                <w:bCs/>
              </w:rPr>
              <w:t xml:space="preserve"> existe déjà et le HCDH en a rappelé le contenu aux journalistes en insistant sur son respect.</w:t>
            </w:r>
          </w:p>
          <w:p w:rsidR="00572CF0" w:rsidRPr="0023655F" w:rsidRDefault="00572CF0" w:rsidP="00CD61A6">
            <w:pPr>
              <w:pStyle w:val="BodyText"/>
              <w:ind w:left="360"/>
              <w:jc w:val="both"/>
              <w:rPr>
                <w:rFonts w:ascii="Times New Roman" w:hAnsi="Times New Roman" w:cs="Times New Roman"/>
                <w:sz w:val="24"/>
                <w:szCs w:val="24"/>
                <w:highlight w:val="green"/>
                <w:lang w:val="fr-BE"/>
              </w:rPr>
            </w:pPr>
          </w:p>
          <w:p w:rsidR="00903917" w:rsidRPr="0023655F" w:rsidRDefault="00862D2E" w:rsidP="00F96E45">
            <w:pPr>
              <w:pStyle w:val="BodyText"/>
              <w:jc w:val="both"/>
              <w:rPr>
                <w:rFonts w:ascii="Times New Roman" w:hAnsi="Times New Roman" w:cs="Times New Roman"/>
                <w:sz w:val="24"/>
                <w:szCs w:val="24"/>
                <w:lang w:val="fr-BE"/>
              </w:rPr>
            </w:pPr>
            <w:r w:rsidRPr="0023655F">
              <w:rPr>
                <w:rFonts w:ascii="Times New Roman" w:hAnsi="Times New Roman" w:cs="Times New Roman"/>
                <w:bCs/>
                <w:sz w:val="24"/>
                <w:szCs w:val="24"/>
                <w:lang w:val="fr-FR" w:eastAsia="fr-FR"/>
              </w:rPr>
              <w:t>21% de participation des femmes</w:t>
            </w:r>
          </w:p>
        </w:tc>
        <w:tc>
          <w:tcPr>
            <w:tcW w:w="3960" w:type="dxa"/>
            <w:shd w:val="clear" w:color="auto" w:fill="auto"/>
          </w:tcPr>
          <w:p w:rsidR="00903917" w:rsidRPr="0023655F" w:rsidRDefault="00903917" w:rsidP="00B66207">
            <w:pPr>
              <w:jc w:val="both"/>
              <w:rPr>
                <w:bCs/>
              </w:rPr>
            </w:pPr>
          </w:p>
        </w:tc>
        <w:tc>
          <w:tcPr>
            <w:tcW w:w="3150" w:type="dxa"/>
            <w:shd w:val="clear" w:color="auto" w:fill="auto"/>
          </w:tcPr>
          <w:p w:rsidR="00903917" w:rsidRPr="0023655F" w:rsidRDefault="00572CF0" w:rsidP="00B66207">
            <w:pPr>
              <w:jc w:val="both"/>
              <w:rPr>
                <w:bCs/>
              </w:rPr>
            </w:pPr>
            <w:r w:rsidRPr="0023655F">
              <w:rPr>
                <w:bCs/>
              </w:rPr>
              <w:t xml:space="preserve">Fiches de présence </w:t>
            </w:r>
            <w:r w:rsidR="00EB0823" w:rsidRPr="0023655F">
              <w:rPr>
                <w:bCs/>
              </w:rPr>
              <w:t xml:space="preserve">et rapport HCDH </w:t>
            </w:r>
          </w:p>
        </w:tc>
      </w:tr>
      <w:tr w:rsidR="00903917" w:rsidRPr="0023655F" w:rsidTr="00B66207">
        <w:trPr>
          <w:trHeight w:val="1110"/>
        </w:trPr>
        <w:tc>
          <w:tcPr>
            <w:tcW w:w="4265" w:type="dxa"/>
            <w:shd w:val="clear" w:color="auto" w:fill="auto"/>
          </w:tcPr>
          <w:p w:rsidR="00903917" w:rsidRPr="0023655F" w:rsidRDefault="00903917" w:rsidP="00B66207">
            <w:pPr>
              <w:rPr>
                <w:b/>
              </w:rPr>
            </w:pPr>
            <w:r w:rsidRPr="0023655F">
              <w:rPr>
                <w:b/>
              </w:rPr>
              <w:t>Indicateur 2.2</w:t>
            </w:r>
            <w:r w:rsidR="0047397C" w:rsidRPr="0023655F">
              <w:rPr>
                <w:b/>
              </w:rPr>
              <w:t> </w:t>
            </w:r>
            <w:r w:rsidR="0047397C" w:rsidRPr="0023655F">
              <w:rPr>
                <w:lang w:eastAsia="en-US"/>
              </w:rPr>
              <w:t>: # de pairs éducateurs formés (ho/</w:t>
            </w:r>
            <w:proofErr w:type="spellStart"/>
            <w:r w:rsidR="0047397C" w:rsidRPr="0023655F">
              <w:rPr>
                <w:lang w:eastAsia="en-US"/>
              </w:rPr>
              <w:t>fe</w:t>
            </w:r>
            <w:proofErr w:type="spellEnd"/>
            <w:r w:rsidR="0047397C" w:rsidRPr="0023655F">
              <w:rPr>
                <w:lang w:eastAsia="en-US"/>
              </w:rPr>
              <w:t>)</w:t>
            </w:r>
          </w:p>
          <w:p w:rsidR="0047397C" w:rsidRPr="0023655F" w:rsidRDefault="0047397C" w:rsidP="00B66207"/>
          <w:p w:rsidR="00903917" w:rsidRPr="0023655F" w:rsidRDefault="00903917" w:rsidP="00B66207">
            <w:r w:rsidRPr="0023655F">
              <w:t>Indicateur de référence: ND</w:t>
            </w:r>
          </w:p>
          <w:p w:rsidR="00903917" w:rsidRPr="0023655F" w:rsidRDefault="00903917" w:rsidP="00B66207">
            <w:pPr>
              <w:jc w:val="both"/>
            </w:pPr>
            <w:r w:rsidRPr="0023655F">
              <w:t>Indicateur cible:</w:t>
            </w:r>
            <w:r w:rsidR="0047397C" w:rsidRPr="0023655F">
              <w:t xml:space="preserve"> 150 pairs éducateurs, dont aux moins 30% de femmes</w:t>
            </w:r>
          </w:p>
        </w:tc>
        <w:tc>
          <w:tcPr>
            <w:tcW w:w="3745" w:type="dxa"/>
            <w:shd w:val="clear" w:color="auto" w:fill="auto"/>
          </w:tcPr>
          <w:p w:rsidR="00903917" w:rsidRPr="0023655F" w:rsidRDefault="001B7E9B" w:rsidP="001B7E9B">
            <w:pPr>
              <w:jc w:val="both"/>
              <w:rPr>
                <w:lang w:val="fr-BE" w:eastAsia="en-US"/>
              </w:rPr>
            </w:pPr>
            <w:r w:rsidRPr="0023655F">
              <w:rPr>
                <w:lang w:val="fr-BE" w:eastAsia="en-US"/>
              </w:rPr>
              <w:t>L’activité n’a pas été mis</w:t>
            </w:r>
            <w:r w:rsidR="003C6173" w:rsidRPr="0023655F">
              <w:rPr>
                <w:lang w:val="fr-BE" w:eastAsia="en-US"/>
              </w:rPr>
              <w:t>e</w:t>
            </w:r>
            <w:r w:rsidRPr="0023655F">
              <w:rPr>
                <w:lang w:val="fr-BE" w:eastAsia="en-US"/>
              </w:rPr>
              <w:t xml:space="preserve"> en œuvre (UNESCO)</w:t>
            </w:r>
          </w:p>
        </w:tc>
        <w:tc>
          <w:tcPr>
            <w:tcW w:w="3960" w:type="dxa"/>
            <w:shd w:val="clear" w:color="auto" w:fill="auto"/>
          </w:tcPr>
          <w:p w:rsidR="00903917" w:rsidRPr="0023655F" w:rsidRDefault="0021612C" w:rsidP="00B66207">
            <w:pPr>
              <w:jc w:val="both"/>
              <w:rPr>
                <w:bCs/>
              </w:rPr>
            </w:pPr>
            <w:r w:rsidRPr="0023655F">
              <w:rPr>
                <w:bCs/>
              </w:rPr>
              <w:t>L’activité n’a pas été mise en œuvre a cause d’une restructuration au sein de la CENI</w:t>
            </w:r>
          </w:p>
        </w:tc>
        <w:tc>
          <w:tcPr>
            <w:tcW w:w="3150" w:type="dxa"/>
            <w:shd w:val="clear" w:color="auto" w:fill="auto"/>
          </w:tcPr>
          <w:p w:rsidR="00903917" w:rsidRPr="0023655F" w:rsidRDefault="00903917" w:rsidP="00B66207">
            <w:pPr>
              <w:jc w:val="both"/>
              <w:rPr>
                <w:bCs/>
              </w:rPr>
            </w:pPr>
          </w:p>
        </w:tc>
      </w:tr>
      <w:tr w:rsidR="0021612C" w:rsidRPr="0023655F" w:rsidTr="00B66207">
        <w:trPr>
          <w:trHeight w:val="1110"/>
        </w:trPr>
        <w:tc>
          <w:tcPr>
            <w:tcW w:w="4265" w:type="dxa"/>
            <w:shd w:val="clear" w:color="auto" w:fill="auto"/>
          </w:tcPr>
          <w:p w:rsidR="0021612C" w:rsidRPr="0023655F" w:rsidRDefault="0021612C" w:rsidP="000A6BB6">
            <w:pPr>
              <w:rPr>
                <w:b/>
                <w:lang w:val="fr-BE"/>
              </w:rPr>
            </w:pPr>
            <w:r w:rsidRPr="0023655F">
              <w:rPr>
                <w:b/>
                <w:lang w:val="fr-BE"/>
              </w:rPr>
              <w:t xml:space="preserve">Indicateur 2.3 : </w:t>
            </w:r>
            <w:r w:rsidRPr="0023655F">
              <w:rPr>
                <w:lang w:eastAsia="en-US"/>
              </w:rPr>
              <w:t># de personnes touchées par la sensibilisation de proximités et les caravanes</w:t>
            </w:r>
          </w:p>
          <w:p w:rsidR="0021612C" w:rsidRPr="0023655F" w:rsidRDefault="0021612C" w:rsidP="000A6BB6">
            <w:pPr>
              <w:rPr>
                <w:b/>
                <w:lang w:val="fr-BE"/>
              </w:rPr>
            </w:pPr>
          </w:p>
          <w:p w:rsidR="0021612C" w:rsidRPr="0023655F" w:rsidRDefault="0021612C" w:rsidP="000A6BB6">
            <w:r w:rsidRPr="0023655F">
              <w:t>Indicateur de référence: ND</w:t>
            </w:r>
          </w:p>
          <w:p w:rsidR="0021612C" w:rsidRPr="0023655F" w:rsidRDefault="0021612C" w:rsidP="000A6BB6">
            <w:r w:rsidRPr="0023655F">
              <w:t>Indicateur cible: 400 personnes sensibilisées</w:t>
            </w:r>
          </w:p>
        </w:tc>
        <w:tc>
          <w:tcPr>
            <w:tcW w:w="3745" w:type="dxa"/>
            <w:shd w:val="clear" w:color="auto" w:fill="auto"/>
          </w:tcPr>
          <w:p w:rsidR="0021612C" w:rsidRPr="0023655F" w:rsidRDefault="0021612C" w:rsidP="000A6BB6">
            <w:pPr>
              <w:pStyle w:val="BodyText"/>
              <w:jc w:val="both"/>
              <w:rPr>
                <w:rFonts w:ascii="Times New Roman" w:hAnsi="Times New Roman" w:cs="Times New Roman"/>
                <w:sz w:val="24"/>
                <w:szCs w:val="24"/>
                <w:highlight w:val="green"/>
                <w:lang w:val="fr-BE"/>
              </w:rPr>
            </w:pPr>
            <w:r w:rsidRPr="0023655F">
              <w:rPr>
                <w:rFonts w:ascii="Times New Roman" w:hAnsi="Times New Roman" w:cs="Times New Roman"/>
                <w:sz w:val="24"/>
                <w:szCs w:val="24"/>
                <w:lang w:val="fr-BE"/>
              </w:rPr>
              <w:t>L’activité n’a pas été mise en œuvre (UNESCO)</w:t>
            </w:r>
          </w:p>
        </w:tc>
        <w:tc>
          <w:tcPr>
            <w:tcW w:w="3960" w:type="dxa"/>
            <w:shd w:val="clear" w:color="auto" w:fill="auto"/>
          </w:tcPr>
          <w:p w:rsidR="0021612C" w:rsidRPr="0023655F" w:rsidRDefault="0021612C" w:rsidP="00C64442">
            <w:pPr>
              <w:jc w:val="both"/>
              <w:rPr>
                <w:bCs/>
              </w:rPr>
            </w:pPr>
            <w:r w:rsidRPr="0023655F">
              <w:rPr>
                <w:bCs/>
              </w:rPr>
              <w:t>L’activité n’a pas été mise en œuvre a cause d’une restructuration au sein de la CENI</w:t>
            </w:r>
          </w:p>
        </w:tc>
        <w:tc>
          <w:tcPr>
            <w:tcW w:w="3150" w:type="dxa"/>
            <w:shd w:val="clear" w:color="auto" w:fill="auto"/>
          </w:tcPr>
          <w:p w:rsidR="0021612C" w:rsidRPr="0023655F" w:rsidRDefault="0021612C" w:rsidP="00B66207">
            <w:pPr>
              <w:jc w:val="both"/>
              <w:rPr>
                <w:bCs/>
              </w:rPr>
            </w:pPr>
          </w:p>
        </w:tc>
      </w:tr>
      <w:tr w:rsidR="0021612C" w:rsidRPr="0023655F" w:rsidTr="00B66207">
        <w:trPr>
          <w:trHeight w:val="1110"/>
        </w:trPr>
        <w:tc>
          <w:tcPr>
            <w:tcW w:w="4265" w:type="dxa"/>
            <w:shd w:val="clear" w:color="auto" w:fill="auto"/>
          </w:tcPr>
          <w:p w:rsidR="0021612C" w:rsidRPr="0023655F" w:rsidRDefault="0021612C" w:rsidP="00463F2E">
            <w:pPr>
              <w:jc w:val="both"/>
            </w:pPr>
            <w:r w:rsidRPr="0023655F">
              <w:rPr>
                <w:b/>
                <w:lang w:val="fr-BE"/>
              </w:rPr>
              <w:lastRenderedPageBreak/>
              <w:t>Indicateur 2.4</w:t>
            </w:r>
            <w:r w:rsidRPr="0023655F">
              <w:rPr>
                <w:lang w:val="fr-BE"/>
              </w:rPr>
              <w:t xml:space="preserve">: </w:t>
            </w:r>
            <w:r w:rsidRPr="0023655F">
              <w:rPr>
                <w:lang w:eastAsia="en-US"/>
              </w:rPr>
              <w:t xml:space="preserve"># de spots de sensibilisation produits </w:t>
            </w:r>
          </w:p>
          <w:p w:rsidR="0021612C" w:rsidRPr="0023655F" w:rsidRDefault="0021612C" w:rsidP="000A6BB6">
            <w:pPr>
              <w:rPr>
                <w:b/>
                <w:lang w:val="fr-BE"/>
              </w:rPr>
            </w:pPr>
          </w:p>
          <w:p w:rsidR="0021612C" w:rsidRPr="0023655F" w:rsidRDefault="0021612C" w:rsidP="000A6BB6">
            <w:r w:rsidRPr="0023655F">
              <w:t>Indicateur de référence (2010): ND</w:t>
            </w:r>
          </w:p>
          <w:p w:rsidR="0021612C" w:rsidRPr="0023655F" w:rsidRDefault="0021612C" w:rsidP="000A6BB6">
            <w:r w:rsidRPr="0023655F">
              <w:t>Indicateur cible (2013) : 4</w:t>
            </w:r>
          </w:p>
          <w:p w:rsidR="0021612C" w:rsidRPr="0023655F" w:rsidRDefault="0021612C" w:rsidP="00B66207"/>
        </w:tc>
        <w:tc>
          <w:tcPr>
            <w:tcW w:w="3745" w:type="dxa"/>
            <w:shd w:val="clear" w:color="auto" w:fill="auto"/>
          </w:tcPr>
          <w:p w:rsidR="0021612C" w:rsidRPr="0023655F" w:rsidRDefault="00EB0823" w:rsidP="00244654">
            <w:pPr>
              <w:pStyle w:val="BodyText"/>
              <w:jc w:val="both"/>
              <w:rPr>
                <w:rFonts w:ascii="Times New Roman" w:hAnsi="Times New Roman" w:cs="Times New Roman"/>
                <w:sz w:val="24"/>
                <w:szCs w:val="24"/>
                <w:lang w:val="fr-BE"/>
              </w:rPr>
            </w:pPr>
            <w:r w:rsidRPr="0023655F">
              <w:rPr>
                <w:rFonts w:ascii="Times New Roman" w:hAnsi="Times New Roman" w:cs="Times New Roman"/>
                <w:sz w:val="24"/>
                <w:szCs w:val="24"/>
                <w:lang w:val="fr-BE"/>
              </w:rPr>
              <w:t xml:space="preserve">1 spot de sensibilisation pour 3,6 millions d’auditeurs </w:t>
            </w:r>
          </w:p>
        </w:tc>
        <w:tc>
          <w:tcPr>
            <w:tcW w:w="3960" w:type="dxa"/>
            <w:shd w:val="clear" w:color="auto" w:fill="auto"/>
          </w:tcPr>
          <w:p w:rsidR="0021612C" w:rsidRPr="0023655F" w:rsidRDefault="0021612C" w:rsidP="00B66207">
            <w:pPr>
              <w:jc w:val="both"/>
              <w:rPr>
                <w:lang w:val="fr-BE" w:eastAsia="en-US"/>
              </w:rPr>
            </w:pPr>
          </w:p>
        </w:tc>
        <w:tc>
          <w:tcPr>
            <w:tcW w:w="3150" w:type="dxa"/>
            <w:shd w:val="clear" w:color="auto" w:fill="auto"/>
          </w:tcPr>
          <w:p w:rsidR="0021612C" w:rsidRPr="0023655F" w:rsidRDefault="0021612C" w:rsidP="00B66207">
            <w:pPr>
              <w:jc w:val="both"/>
              <w:rPr>
                <w:lang w:val="fr-BE" w:eastAsia="en-US"/>
              </w:rPr>
            </w:pPr>
            <w:r w:rsidRPr="0023655F">
              <w:rPr>
                <w:lang w:val="fr-BE" w:eastAsia="en-US"/>
              </w:rPr>
              <w:t xml:space="preserve">HCDH a </w:t>
            </w:r>
            <w:r w:rsidR="00862D2E" w:rsidRPr="0023655F">
              <w:rPr>
                <w:lang w:val="fr-BE" w:eastAsia="en-US"/>
              </w:rPr>
              <w:t>compléter</w:t>
            </w:r>
          </w:p>
          <w:p w:rsidR="00EB0823" w:rsidRPr="0023655F" w:rsidRDefault="00EB0823" w:rsidP="00B66207">
            <w:pPr>
              <w:jc w:val="both"/>
              <w:rPr>
                <w:lang w:val="fr-BE" w:eastAsia="en-US"/>
              </w:rPr>
            </w:pPr>
            <w:r w:rsidRPr="0023655F">
              <w:rPr>
                <w:lang w:val="fr-BE" w:eastAsia="en-US"/>
              </w:rPr>
              <w:t xml:space="preserve">Rapport HCDH </w:t>
            </w:r>
          </w:p>
          <w:p w:rsidR="00EB0823" w:rsidRPr="0023655F" w:rsidRDefault="00EB0823" w:rsidP="00B66207">
            <w:pPr>
              <w:jc w:val="both"/>
              <w:rPr>
                <w:lang w:val="fr-BE" w:eastAsia="en-US"/>
              </w:rPr>
            </w:pPr>
            <w:r w:rsidRPr="0023655F">
              <w:rPr>
                <w:lang w:val="fr-BE" w:eastAsia="en-US"/>
              </w:rPr>
              <w:t>Compte rendu suivi de la di</w:t>
            </w:r>
            <w:r w:rsidR="00841320" w:rsidRPr="0023655F">
              <w:rPr>
                <w:lang w:val="fr-BE" w:eastAsia="en-US"/>
              </w:rPr>
              <w:t xml:space="preserve">ffusion du spot par Search for </w:t>
            </w:r>
            <w:r w:rsidRPr="0023655F">
              <w:rPr>
                <w:lang w:val="fr-BE" w:eastAsia="en-US"/>
              </w:rPr>
              <w:t xml:space="preserve">Common Ground </w:t>
            </w:r>
          </w:p>
        </w:tc>
      </w:tr>
      <w:tr w:rsidR="0021612C" w:rsidRPr="0023655F" w:rsidTr="00B66207">
        <w:trPr>
          <w:trHeight w:val="1110"/>
        </w:trPr>
        <w:tc>
          <w:tcPr>
            <w:tcW w:w="4265" w:type="dxa"/>
            <w:shd w:val="clear" w:color="auto" w:fill="auto"/>
          </w:tcPr>
          <w:p w:rsidR="0021612C" w:rsidRPr="0023655F" w:rsidRDefault="0021612C" w:rsidP="00B66207">
            <w:pPr>
              <w:rPr>
                <w:lang w:eastAsia="en-US"/>
              </w:rPr>
            </w:pPr>
            <w:r w:rsidRPr="0023655F">
              <w:rPr>
                <w:b/>
                <w:lang w:val="fr-BE"/>
              </w:rPr>
              <w:t>Indicateur 2.5</w:t>
            </w:r>
            <w:r w:rsidRPr="0023655F">
              <w:rPr>
                <w:lang w:val="fr-BE"/>
              </w:rPr>
              <w:t xml:space="preserve">: </w:t>
            </w:r>
            <w:r w:rsidRPr="0023655F">
              <w:rPr>
                <w:lang w:eastAsia="en-US"/>
              </w:rPr>
              <w:t># de TV et de radios rurales assurant la diffusion</w:t>
            </w:r>
          </w:p>
          <w:p w:rsidR="0021612C" w:rsidRPr="0023655F" w:rsidRDefault="0021612C" w:rsidP="00B66207">
            <w:pPr>
              <w:rPr>
                <w:lang w:eastAsia="en-US"/>
              </w:rPr>
            </w:pPr>
          </w:p>
          <w:p w:rsidR="0021612C" w:rsidRPr="0023655F" w:rsidRDefault="0021612C" w:rsidP="00463F2E">
            <w:r w:rsidRPr="0023655F">
              <w:t>Indicateur de référence (2010): ND</w:t>
            </w:r>
          </w:p>
          <w:p w:rsidR="0021612C" w:rsidRPr="0023655F" w:rsidRDefault="0021612C" w:rsidP="00463F2E">
            <w:r w:rsidRPr="0023655F">
              <w:t>Indicateur cible (2013): 4</w:t>
            </w:r>
          </w:p>
          <w:p w:rsidR="0021612C" w:rsidRPr="0023655F" w:rsidRDefault="0021612C" w:rsidP="00B66207">
            <w:pPr>
              <w:rPr>
                <w:b/>
              </w:rPr>
            </w:pPr>
          </w:p>
        </w:tc>
        <w:tc>
          <w:tcPr>
            <w:tcW w:w="3745" w:type="dxa"/>
            <w:shd w:val="clear" w:color="auto" w:fill="auto"/>
          </w:tcPr>
          <w:p w:rsidR="00EB0823" w:rsidRPr="0023655F" w:rsidRDefault="00841320" w:rsidP="00244654">
            <w:pPr>
              <w:pStyle w:val="BodyText"/>
              <w:jc w:val="both"/>
              <w:rPr>
                <w:rFonts w:ascii="Times New Roman" w:hAnsi="Times New Roman" w:cs="Times New Roman"/>
                <w:sz w:val="24"/>
                <w:szCs w:val="24"/>
                <w:lang w:val="fr-BE"/>
              </w:rPr>
            </w:pPr>
            <w:r w:rsidRPr="0023655F">
              <w:rPr>
                <w:rFonts w:ascii="Times New Roman" w:hAnsi="Times New Roman" w:cs="Times New Roman"/>
                <w:sz w:val="24"/>
                <w:szCs w:val="24"/>
                <w:lang w:val="fr-BE"/>
              </w:rPr>
              <w:t xml:space="preserve">2 TV  et 25 radios  ont diffusé les spots </w:t>
            </w:r>
          </w:p>
        </w:tc>
        <w:tc>
          <w:tcPr>
            <w:tcW w:w="3960" w:type="dxa"/>
            <w:shd w:val="clear" w:color="auto" w:fill="auto"/>
          </w:tcPr>
          <w:p w:rsidR="0021612C" w:rsidRPr="0023655F" w:rsidRDefault="0021612C" w:rsidP="00B66207">
            <w:pPr>
              <w:jc w:val="both"/>
              <w:rPr>
                <w:lang w:val="fr-BE" w:eastAsia="en-US"/>
              </w:rPr>
            </w:pPr>
          </w:p>
        </w:tc>
        <w:tc>
          <w:tcPr>
            <w:tcW w:w="3150" w:type="dxa"/>
            <w:shd w:val="clear" w:color="auto" w:fill="auto"/>
          </w:tcPr>
          <w:p w:rsidR="00841320" w:rsidRPr="0023655F" w:rsidRDefault="00841320" w:rsidP="00B66207">
            <w:pPr>
              <w:jc w:val="both"/>
              <w:rPr>
                <w:lang w:val="fr-BE" w:eastAsia="en-US"/>
              </w:rPr>
            </w:pPr>
            <w:r w:rsidRPr="0023655F">
              <w:rPr>
                <w:lang w:val="fr-BE" w:eastAsia="en-US"/>
              </w:rPr>
              <w:t>Grilles de diffusion des médias concernés</w:t>
            </w:r>
          </w:p>
          <w:p w:rsidR="00841320" w:rsidRPr="0023655F" w:rsidRDefault="00841320" w:rsidP="00B66207">
            <w:pPr>
              <w:jc w:val="both"/>
              <w:rPr>
                <w:lang w:val="fr-BE" w:eastAsia="en-US"/>
              </w:rPr>
            </w:pPr>
            <w:r w:rsidRPr="0023655F">
              <w:rPr>
                <w:lang w:val="fr-BE" w:eastAsia="en-US"/>
              </w:rPr>
              <w:t xml:space="preserve">Compte rendu suivi de la diffusion par Search for Common Ground </w:t>
            </w:r>
          </w:p>
          <w:p w:rsidR="0021612C" w:rsidRPr="0023655F" w:rsidRDefault="0021612C" w:rsidP="00B66207">
            <w:pPr>
              <w:jc w:val="both"/>
              <w:rPr>
                <w:lang w:val="fr-BE" w:eastAsia="en-US"/>
              </w:rPr>
            </w:pPr>
          </w:p>
        </w:tc>
      </w:tr>
    </w:tbl>
    <w:p w:rsidR="00B41DFE" w:rsidRPr="0023655F" w:rsidRDefault="00B41DFE" w:rsidP="004D18B1">
      <w:pPr>
        <w:pStyle w:val="BodyText"/>
        <w:jc w:val="both"/>
        <w:rPr>
          <w:rFonts w:ascii="Times New Roman" w:hAnsi="Times New Roman" w:cs="Times New Roman"/>
          <w:bCs/>
          <w:sz w:val="24"/>
          <w:szCs w:val="24"/>
          <w:lang w:val="fr-FR"/>
        </w:rPr>
      </w:pPr>
    </w:p>
    <w:p w:rsidR="00264361" w:rsidRPr="0023655F" w:rsidRDefault="00264361" w:rsidP="004D18B1">
      <w:pPr>
        <w:pStyle w:val="BodyText"/>
        <w:jc w:val="both"/>
        <w:rPr>
          <w:rFonts w:ascii="Times New Roman" w:hAnsi="Times New Roman" w:cs="Times New Roman"/>
          <w:sz w:val="24"/>
          <w:szCs w:val="24"/>
          <w:lang w:val="fr-FR"/>
        </w:rPr>
      </w:pPr>
    </w:p>
    <w:p w:rsidR="00264361" w:rsidRPr="0023655F" w:rsidRDefault="00264361" w:rsidP="004D18B1">
      <w:pPr>
        <w:pStyle w:val="BodyText"/>
        <w:jc w:val="both"/>
        <w:rPr>
          <w:rFonts w:ascii="Times New Roman" w:hAnsi="Times New Roman" w:cs="Times New Roman"/>
          <w:sz w:val="24"/>
          <w:szCs w:val="24"/>
          <w:lang w:val="fr-FR"/>
        </w:rPr>
        <w:sectPr w:rsidR="00264361" w:rsidRPr="0023655F" w:rsidSect="00595EB4">
          <w:pgSz w:w="15840" w:h="12240" w:orient="landscape" w:code="1"/>
          <w:pgMar w:top="806" w:right="810" w:bottom="810" w:left="1354" w:header="720" w:footer="418" w:gutter="0"/>
          <w:cols w:space="720"/>
          <w:docGrid w:linePitch="360"/>
        </w:sectPr>
      </w:pPr>
    </w:p>
    <w:p w:rsidR="00264361" w:rsidRPr="0023655F" w:rsidRDefault="00264361" w:rsidP="004D18B1">
      <w:pPr>
        <w:pStyle w:val="BodyText"/>
        <w:jc w:val="both"/>
        <w:rPr>
          <w:rFonts w:ascii="Times New Roman" w:hAnsi="Times New Roman" w:cs="Times New Roman"/>
          <w:b/>
          <w:sz w:val="24"/>
          <w:szCs w:val="24"/>
          <w:lang w:val="fr-FR"/>
        </w:rPr>
      </w:pPr>
      <w:r w:rsidRPr="0023655F">
        <w:rPr>
          <w:rFonts w:ascii="Times New Roman" w:hAnsi="Times New Roman" w:cs="Times New Roman"/>
          <w:b/>
          <w:sz w:val="24"/>
          <w:szCs w:val="24"/>
          <w:lang w:val="fr-FR"/>
        </w:rPr>
        <w:lastRenderedPageBreak/>
        <w:t>iii) Histoire d’une réussite précise</w:t>
      </w:r>
      <w:r w:rsidR="00B66207" w:rsidRPr="0023655F">
        <w:rPr>
          <w:rFonts w:ascii="Times New Roman" w:hAnsi="Times New Roman" w:cs="Times New Roman"/>
          <w:b/>
          <w:sz w:val="24"/>
          <w:szCs w:val="24"/>
          <w:lang w:val="fr-FR"/>
        </w:rPr>
        <w:t xml:space="preserve"> </w:t>
      </w:r>
    </w:p>
    <w:p w:rsidR="008B3F01" w:rsidRPr="0023655F" w:rsidRDefault="008B3F01" w:rsidP="004D18B1">
      <w:pPr>
        <w:pStyle w:val="BodyText"/>
        <w:jc w:val="both"/>
        <w:rPr>
          <w:rFonts w:ascii="Times New Roman" w:hAnsi="Times New Roman" w:cs="Times New Roman"/>
          <w:b/>
          <w:sz w:val="24"/>
          <w:szCs w:val="24"/>
          <w:lang w:val="fr-FR"/>
        </w:rPr>
      </w:pPr>
    </w:p>
    <w:p w:rsidR="006114EC" w:rsidRPr="0023655F" w:rsidRDefault="00136B76">
      <w:pPr>
        <w:pStyle w:val="BodyText"/>
        <w:numPr>
          <w:ilvl w:val="0"/>
          <w:numId w:val="16"/>
        </w:numPr>
        <w:jc w:val="both"/>
        <w:rPr>
          <w:rFonts w:ascii="Times New Roman" w:hAnsi="Times New Roman" w:cs="Times New Roman"/>
          <w:sz w:val="24"/>
          <w:szCs w:val="24"/>
          <w:lang w:val="fr-FR"/>
        </w:rPr>
      </w:pPr>
      <w:r w:rsidRPr="0023655F">
        <w:rPr>
          <w:rFonts w:ascii="Times New Roman" w:hAnsi="Times New Roman" w:cs="Times New Roman"/>
          <w:sz w:val="24"/>
          <w:szCs w:val="24"/>
          <w:lang w:val="fr-FR"/>
        </w:rPr>
        <w:t xml:space="preserve">Dans la nuit du 28 septembre 2012, par la ligne verte, un chef de quartier dans la banlieue de Conakry a contacté le Bureau que des jeunes ont attaqué son domicile. Le Bureau a appelé la FOSSEL qui, dans les minutes qui ont suivi ont envoyé des éléments à sa rescousse. </w:t>
      </w:r>
    </w:p>
    <w:p w:rsidR="009C132C" w:rsidRPr="0023655F" w:rsidRDefault="009C132C" w:rsidP="004D18B1">
      <w:pPr>
        <w:pStyle w:val="BodyText"/>
        <w:jc w:val="both"/>
        <w:rPr>
          <w:rFonts w:ascii="Times New Roman" w:hAnsi="Times New Roman" w:cs="Times New Roman"/>
          <w:sz w:val="24"/>
          <w:szCs w:val="24"/>
          <w:lang w:val="fr-FR"/>
        </w:rPr>
      </w:pPr>
    </w:p>
    <w:p w:rsidR="006114EC" w:rsidRPr="0023655F" w:rsidRDefault="00136B76">
      <w:pPr>
        <w:pStyle w:val="BodyText"/>
        <w:numPr>
          <w:ilvl w:val="0"/>
          <w:numId w:val="16"/>
        </w:numPr>
        <w:jc w:val="both"/>
        <w:rPr>
          <w:rFonts w:ascii="Times New Roman" w:hAnsi="Times New Roman" w:cs="Times New Roman"/>
          <w:sz w:val="24"/>
          <w:szCs w:val="24"/>
          <w:lang w:val="fr-FR"/>
        </w:rPr>
      </w:pPr>
      <w:r w:rsidRPr="0023655F">
        <w:rPr>
          <w:rFonts w:ascii="Times New Roman" w:hAnsi="Times New Roman" w:cs="Times New Roman"/>
          <w:sz w:val="24"/>
          <w:szCs w:val="24"/>
          <w:lang w:val="fr-FR"/>
        </w:rPr>
        <w:t>Le 30 septembre 2012, nous avons reçu via la ligne verte une information selon laquelle 13 jeunes auraient disparu suite à leur arrestation. Le HCDH a déclenché ses mécanismes de monitoring en lien avec le Ministère des droits de l’homme et des libertés publiques, ce qui a abouti à des actions correctives.</w:t>
      </w:r>
    </w:p>
    <w:p w:rsidR="009F0768" w:rsidRPr="0023655F" w:rsidRDefault="009F0768" w:rsidP="005252C6">
      <w:pPr>
        <w:rPr>
          <w:b/>
          <w:lang w:eastAsia="en-US"/>
        </w:rPr>
      </w:pPr>
    </w:p>
    <w:p w:rsidR="00264361" w:rsidRPr="0023655F" w:rsidRDefault="00264361" w:rsidP="004D18B1">
      <w:pPr>
        <w:pStyle w:val="BodyText"/>
        <w:numPr>
          <w:ilvl w:val="0"/>
          <w:numId w:val="1"/>
        </w:numPr>
        <w:rPr>
          <w:rFonts w:ascii="Times New Roman" w:hAnsi="Times New Roman" w:cs="Times New Roman"/>
          <w:b/>
          <w:sz w:val="24"/>
          <w:szCs w:val="24"/>
          <w:lang w:val="fr-FR"/>
        </w:rPr>
      </w:pPr>
      <w:r w:rsidRPr="0023655F">
        <w:rPr>
          <w:rFonts w:ascii="Times New Roman" w:hAnsi="Times New Roman" w:cs="Times New Roman"/>
          <w:b/>
          <w:sz w:val="24"/>
          <w:szCs w:val="24"/>
          <w:lang w:val="fr-FR"/>
        </w:rPr>
        <w:t xml:space="preserve">Dispositions de suivi </w:t>
      </w:r>
    </w:p>
    <w:p w:rsidR="00264361" w:rsidRPr="0023655F" w:rsidRDefault="00264361" w:rsidP="004D18B1">
      <w:pPr>
        <w:pStyle w:val="BodyText"/>
        <w:jc w:val="both"/>
        <w:rPr>
          <w:rFonts w:ascii="Times New Roman" w:hAnsi="Times New Roman" w:cs="Times New Roman"/>
          <w:sz w:val="24"/>
          <w:szCs w:val="24"/>
          <w:lang w:val="fr-FR"/>
        </w:rPr>
      </w:pPr>
    </w:p>
    <w:p w:rsidR="000E18A7" w:rsidRPr="0023655F" w:rsidRDefault="000E18A7" w:rsidP="004D18B1">
      <w:pPr>
        <w:pStyle w:val="BodyText"/>
        <w:jc w:val="both"/>
        <w:rPr>
          <w:rFonts w:ascii="Times New Roman" w:hAnsi="Times New Roman" w:cs="Times New Roman"/>
          <w:sz w:val="24"/>
          <w:szCs w:val="24"/>
          <w:lang w:val="fr-FR"/>
        </w:rPr>
      </w:pPr>
      <w:r w:rsidRPr="0023655F">
        <w:rPr>
          <w:rFonts w:ascii="Times New Roman" w:hAnsi="Times New Roman" w:cs="Times New Roman"/>
          <w:sz w:val="24"/>
          <w:szCs w:val="24"/>
          <w:lang w:val="fr-FR"/>
        </w:rPr>
        <w:t>Dans le cadre de la mise en œuvre des activités de la « Case de veille », un comité de coordination a été mis en place compos</w:t>
      </w:r>
      <w:r w:rsidR="002C0A47" w:rsidRPr="0023655F">
        <w:rPr>
          <w:rFonts w:ascii="Times New Roman" w:hAnsi="Times New Roman" w:cs="Times New Roman"/>
          <w:sz w:val="24"/>
          <w:szCs w:val="24"/>
          <w:lang w:val="fr-FR"/>
        </w:rPr>
        <w:t>é</w:t>
      </w:r>
      <w:r w:rsidRPr="0023655F">
        <w:rPr>
          <w:rFonts w:ascii="Times New Roman" w:hAnsi="Times New Roman" w:cs="Times New Roman"/>
          <w:sz w:val="24"/>
          <w:szCs w:val="24"/>
          <w:lang w:val="fr-FR"/>
        </w:rPr>
        <w:t xml:space="preserve"> des organisations de mise en œuvre (COFIGG et CODE), l’institut Gorée en charge de l’accompagnement technique et le Spécialiste Genre et Consolidation de la Paix du Bureau du Coordonnateur Résident du Système des Nations Unies. Les rencontres de suivi ont commenc</w:t>
      </w:r>
      <w:r w:rsidR="002C0A47" w:rsidRPr="0023655F">
        <w:rPr>
          <w:rFonts w:ascii="Times New Roman" w:hAnsi="Times New Roman" w:cs="Times New Roman"/>
          <w:sz w:val="24"/>
          <w:szCs w:val="24"/>
          <w:lang w:val="fr-FR"/>
        </w:rPr>
        <w:t>é</w:t>
      </w:r>
      <w:r w:rsidRPr="0023655F">
        <w:rPr>
          <w:rFonts w:ascii="Times New Roman" w:hAnsi="Times New Roman" w:cs="Times New Roman"/>
          <w:sz w:val="24"/>
          <w:szCs w:val="24"/>
          <w:lang w:val="fr-FR"/>
        </w:rPr>
        <w:t xml:space="preserve"> en aval des élections et se sont tenues de manières journalières pendant toute la durée de la Case de Veille (12 jours). Les rencontres ont été présidées par le Présidente de la COFFIG</w:t>
      </w:r>
      <w:r w:rsidR="002C0A47" w:rsidRPr="0023655F">
        <w:rPr>
          <w:rFonts w:ascii="Times New Roman" w:hAnsi="Times New Roman" w:cs="Times New Roman"/>
          <w:sz w:val="24"/>
          <w:szCs w:val="24"/>
          <w:lang w:val="fr-FR"/>
        </w:rPr>
        <w:t>.</w:t>
      </w:r>
      <w:r w:rsidRPr="0023655F">
        <w:rPr>
          <w:rFonts w:ascii="Times New Roman" w:hAnsi="Times New Roman" w:cs="Times New Roman"/>
          <w:sz w:val="24"/>
          <w:szCs w:val="24"/>
          <w:lang w:val="fr-FR"/>
        </w:rPr>
        <w:t xml:space="preserve">  </w:t>
      </w:r>
      <w:r w:rsidR="002C0A47" w:rsidRPr="0023655F">
        <w:rPr>
          <w:rFonts w:ascii="Times New Roman" w:hAnsi="Times New Roman" w:cs="Times New Roman"/>
          <w:sz w:val="24"/>
          <w:szCs w:val="24"/>
          <w:lang w:val="fr-FR"/>
        </w:rPr>
        <w:t xml:space="preserve">La Spécialiste Genre a </w:t>
      </w:r>
      <w:r w:rsidR="00E51DAB" w:rsidRPr="0023655F">
        <w:rPr>
          <w:rFonts w:ascii="Times New Roman" w:hAnsi="Times New Roman" w:cs="Times New Roman"/>
          <w:sz w:val="24"/>
          <w:szCs w:val="24"/>
          <w:lang w:val="fr-FR"/>
        </w:rPr>
        <w:t>systématiquement</w:t>
      </w:r>
      <w:r w:rsidR="002C0A47" w:rsidRPr="0023655F">
        <w:rPr>
          <w:rFonts w:ascii="Times New Roman" w:hAnsi="Times New Roman" w:cs="Times New Roman"/>
          <w:sz w:val="24"/>
          <w:szCs w:val="24"/>
          <w:lang w:val="fr-FR"/>
        </w:rPr>
        <w:t xml:space="preserve"> informé le Groupe de Coordination Elections piloté par le PNUD et le Coordonnateur du PBF sur l’état d’avancement des activités. Un atelier de restitution et de capitalisation facilité par l’Institut Gorée a eu lieu les  16 et 17 février 2014 pour partager les expériences avec le grand public</w:t>
      </w:r>
      <w:r w:rsidR="0073411E" w:rsidRPr="0023655F">
        <w:rPr>
          <w:rFonts w:ascii="Times New Roman" w:hAnsi="Times New Roman" w:cs="Times New Roman"/>
          <w:sz w:val="24"/>
          <w:szCs w:val="24"/>
          <w:lang w:val="fr-FR"/>
        </w:rPr>
        <w:t>.</w:t>
      </w:r>
    </w:p>
    <w:p w:rsidR="002C0A47" w:rsidRPr="0023655F" w:rsidRDefault="002C0A47" w:rsidP="004D18B1">
      <w:pPr>
        <w:pStyle w:val="BodyText"/>
        <w:jc w:val="both"/>
        <w:rPr>
          <w:rFonts w:ascii="Times New Roman" w:hAnsi="Times New Roman" w:cs="Times New Roman"/>
          <w:sz w:val="24"/>
          <w:szCs w:val="24"/>
          <w:lang w:val="fr-FR"/>
        </w:rPr>
      </w:pPr>
    </w:p>
    <w:p w:rsidR="00963A6B" w:rsidRPr="0023655F" w:rsidRDefault="00073365" w:rsidP="004D18B1">
      <w:pPr>
        <w:pStyle w:val="BodyText"/>
        <w:jc w:val="both"/>
        <w:rPr>
          <w:rFonts w:ascii="Times New Roman" w:hAnsi="Times New Roman" w:cs="Times New Roman"/>
          <w:sz w:val="24"/>
          <w:szCs w:val="24"/>
          <w:lang w:val="fr-FR"/>
        </w:rPr>
      </w:pPr>
      <w:r w:rsidRPr="0023655F">
        <w:rPr>
          <w:rFonts w:ascii="Times New Roman" w:hAnsi="Times New Roman" w:cs="Times New Roman"/>
          <w:sz w:val="24"/>
          <w:szCs w:val="24"/>
          <w:lang w:val="fr-FR"/>
        </w:rPr>
        <w:t>Conformément à son expertise dans le domaine du monitoring des droits de l’homme en</w:t>
      </w:r>
      <w:r w:rsidR="00862D2E" w:rsidRPr="0023655F">
        <w:rPr>
          <w:rFonts w:ascii="Times New Roman" w:hAnsi="Times New Roman" w:cs="Times New Roman"/>
          <w:sz w:val="24"/>
          <w:szCs w:val="24"/>
          <w:lang w:val="fr-FR"/>
        </w:rPr>
        <w:t xml:space="preserve"> général et en particulier en période électorale, le HCDH a mis en place un mécanisme de collecte et de traitement des données liées aux droits de l’homme  pendant le processus électoral. </w:t>
      </w:r>
      <w:r w:rsidR="00A54AC1" w:rsidRPr="0023655F">
        <w:rPr>
          <w:rFonts w:ascii="Times New Roman" w:hAnsi="Times New Roman" w:cs="Times New Roman"/>
          <w:sz w:val="24"/>
          <w:szCs w:val="24"/>
          <w:lang w:val="fr-FR"/>
        </w:rPr>
        <w:t xml:space="preserve">A cet effet, </w:t>
      </w:r>
      <w:r w:rsidR="00862D2E" w:rsidRPr="0023655F">
        <w:rPr>
          <w:rFonts w:ascii="Times New Roman" w:hAnsi="Times New Roman" w:cs="Times New Roman"/>
          <w:sz w:val="24"/>
          <w:szCs w:val="24"/>
          <w:lang w:val="fr-FR"/>
        </w:rPr>
        <w:t>une cellule de veille chargée de la collecte des informations liées à des atteintes et aux situations de violation des droits de l’homme</w:t>
      </w:r>
      <w:r w:rsidR="00A54AC1" w:rsidRPr="0023655F">
        <w:rPr>
          <w:rFonts w:ascii="Times New Roman" w:hAnsi="Times New Roman" w:cs="Times New Roman"/>
          <w:sz w:val="24"/>
          <w:szCs w:val="24"/>
          <w:lang w:val="fr-FR"/>
        </w:rPr>
        <w:t xml:space="preserve"> a été mise en place et a fonctionné 24/24 tout au long des élections. Comme support, cette cellule disposait de </w:t>
      </w:r>
      <w:r w:rsidR="007E2B4B" w:rsidRPr="0023655F">
        <w:rPr>
          <w:rFonts w:ascii="Times New Roman" w:hAnsi="Times New Roman" w:cs="Times New Roman"/>
          <w:sz w:val="24"/>
          <w:szCs w:val="24"/>
          <w:lang w:val="fr-FR"/>
        </w:rPr>
        <w:t>deux lignes vertes et orientai</w:t>
      </w:r>
      <w:r w:rsidR="00A54AC1" w:rsidRPr="0023655F">
        <w:rPr>
          <w:rFonts w:ascii="Times New Roman" w:hAnsi="Times New Roman" w:cs="Times New Roman"/>
          <w:sz w:val="24"/>
          <w:szCs w:val="24"/>
          <w:lang w:val="fr-FR"/>
        </w:rPr>
        <w:t>t les informations suivant les préoccupations exprimées</w:t>
      </w:r>
      <w:r w:rsidR="0073411E" w:rsidRPr="0023655F">
        <w:rPr>
          <w:rFonts w:ascii="Times New Roman" w:hAnsi="Times New Roman" w:cs="Times New Roman"/>
          <w:sz w:val="24"/>
          <w:szCs w:val="24"/>
          <w:lang w:val="fr-FR"/>
        </w:rPr>
        <w:t xml:space="preserve"> par les appelants soit vers la CENI ou vers la Force Spéciale de Sécurisation du Processus Electoral (FO</w:t>
      </w:r>
      <w:r w:rsidR="007E2B4B" w:rsidRPr="0023655F">
        <w:rPr>
          <w:rFonts w:ascii="Times New Roman" w:hAnsi="Times New Roman" w:cs="Times New Roman"/>
          <w:sz w:val="24"/>
          <w:szCs w:val="24"/>
          <w:lang w:val="fr-FR"/>
        </w:rPr>
        <w:t>SSEL</w:t>
      </w:r>
    </w:p>
    <w:p w:rsidR="00F4345D" w:rsidRPr="0023655F" w:rsidRDefault="00F4345D" w:rsidP="004D18B1">
      <w:pPr>
        <w:pStyle w:val="BodyText"/>
        <w:jc w:val="both"/>
        <w:rPr>
          <w:rFonts w:ascii="Times New Roman" w:hAnsi="Times New Roman" w:cs="Times New Roman"/>
          <w:sz w:val="24"/>
          <w:szCs w:val="24"/>
          <w:lang w:val="fr-FR"/>
        </w:rPr>
      </w:pPr>
    </w:p>
    <w:p w:rsidR="00264361" w:rsidRDefault="00264361" w:rsidP="004D18B1">
      <w:pPr>
        <w:pStyle w:val="BodyText"/>
        <w:numPr>
          <w:ilvl w:val="0"/>
          <w:numId w:val="1"/>
        </w:numPr>
        <w:jc w:val="both"/>
        <w:rPr>
          <w:rFonts w:ascii="Times New Roman" w:hAnsi="Times New Roman" w:cs="Times New Roman"/>
          <w:b/>
          <w:sz w:val="24"/>
          <w:szCs w:val="24"/>
          <w:lang w:val="fr-FR"/>
        </w:rPr>
      </w:pPr>
      <w:r w:rsidRPr="0023655F">
        <w:rPr>
          <w:rFonts w:ascii="Times New Roman" w:hAnsi="Times New Roman" w:cs="Times New Roman"/>
          <w:b/>
          <w:sz w:val="24"/>
          <w:szCs w:val="24"/>
          <w:lang w:val="fr-FR"/>
        </w:rPr>
        <w:t>Révisions p</w:t>
      </w:r>
      <w:r w:rsidR="00724CD4">
        <w:rPr>
          <w:rFonts w:ascii="Times New Roman" w:hAnsi="Times New Roman" w:cs="Times New Roman"/>
          <w:b/>
          <w:sz w:val="24"/>
          <w:szCs w:val="24"/>
          <w:lang w:val="fr-FR"/>
        </w:rPr>
        <w:t>rogrammatiques (le cas échéant)</w:t>
      </w:r>
      <w:r w:rsidR="008B0EB2">
        <w:rPr>
          <w:rFonts w:ascii="Times New Roman" w:hAnsi="Times New Roman" w:cs="Times New Roman"/>
          <w:b/>
          <w:sz w:val="24"/>
          <w:szCs w:val="24"/>
          <w:lang w:val="fr-FR"/>
        </w:rPr>
        <w:t> :</w:t>
      </w:r>
    </w:p>
    <w:p w:rsidR="008B0EB2" w:rsidRDefault="008B0EB2" w:rsidP="008B0EB2">
      <w:pPr>
        <w:pStyle w:val="BodyText"/>
        <w:ind w:left="1080"/>
        <w:jc w:val="both"/>
        <w:rPr>
          <w:rFonts w:ascii="Times New Roman" w:hAnsi="Times New Roman" w:cs="Times New Roman"/>
          <w:b/>
          <w:sz w:val="24"/>
          <w:szCs w:val="24"/>
          <w:lang w:val="fr-FR"/>
        </w:rPr>
      </w:pPr>
    </w:p>
    <w:p w:rsidR="00724CD4" w:rsidRPr="00724CD4" w:rsidRDefault="00724CD4" w:rsidP="00724CD4">
      <w:pPr>
        <w:pStyle w:val="BodyText"/>
        <w:ind w:left="360"/>
        <w:jc w:val="both"/>
        <w:rPr>
          <w:rFonts w:ascii="Times New Roman" w:hAnsi="Times New Roman" w:cs="Times New Roman"/>
          <w:b/>
          <w:sz w:val="24"/>
          <w:szCs w:val="24"/>
          <w:lang w:val="fr-FR"/>
        </w:rPr>
      </w:pPr>
      <w:r w:rsidRPr="00724CD4">
        <w:rPr>
          <w:rFonts w:ascii="Times New Roman" w:hAnsi="Times New Roman" w:cs="Times New Roman"/>
          <w:sz w:val="24"/>
          <w:szCs w:val="24"/>
          <w:lang w:val="fr-FR"/>
        </w:rPr>
        <w:t>A l’analyse du taux d’</w:t>
      </w:r>
      <w:r>
        <w:rPr>
          <w:rFonts w:ascii="Times New Roman" w:hAnsi="Times New Roman" w:cs="Times New Roman"/>
          <w:sz w:val="24"/>
          <w:szCs w:val="24"/>
          <w:lang w:val="fr-FR"/>
        </w:rPr>
        <w:t>exécution d</w:t>
      </w:r>
      <w:r w:rsidRPr="00724CD4">
        <w:rPr>
          <w:rFonts w:ascii="Times New Roman" w:hAnsi="Times New Roman" w:cs="Times New Roman"/>
          <w:sz w:val="24"/>
          <w:szCs w:val="24"/>
          <w:lang w:val="fr-FR"/>
        </w:rPr>
        <w:t xml:space="preserve">es activités, on comprend aisément que l’UNESCO n’a pas réussi à mettre en œuvre les actions planifiées. Cette situation est due à des restructurations internes  au sein de  l’UNESCO. En effet, </w:t>
      </w:r>
      <w:r w:rsidRPr="00724CD4">
        <w:rPr>
          <w:rFonts w:ascii="Times New Roman" w:hAnsi="Times New Roman" w:cs="Times New Roman"/>
          <w:bCs/>
          <w:sz w:val="24"/>
          <w:szCs w:val="24"/>
          <w:lang w:val="fr-FR"/>
        </w:rPr>
        <w:t>la passation de service entre le Bureau  </w:t>
      </w:r>
      <w:proofErr w:type="spellStart"/>
      <w:r w:rsidRPr="00724CD4">
        <w:rPr>
          <w:rFonts w:ascii="Times New Roman" w:hAnsi="Times New Roman" w:cs="Times New Roman"/>
          <w:bCs/>
          <w:sz w:val="24"/>
          <w:szCs w:val="24"/>
          <w:lang w:val="fr-FR"/>
        </w:rPr>
        <w:t>Multipays</w:t>
      </w:r>
      <w:proofErr w:type="spellEnd"/>
      <w:r w:rsidRPr="00724CD4">
        <w:rPr>
          <w:rFonts w:ascii="Times New Roman" w:hAnsi="Times New Roman" w:cs="Times New Roman"/>
          <w:bCs/>
          <w:sz w:val="24"/>
          <w:szCs w:val="24"/>
          <w:lang w:val="fr-FR"/>
        </w:rPr>
        <w:t xml:space="preserve"> de l'UNESCO Bamako devenu Bureau National et le nouveau (Bureau Régional d’Abuja)</w:t>
      </w:r>
      <w:r>
        <w:rPr>
          <w:rFonts w:ascii="Times New Roman" w:hAnsi="Times New Roman" w:cs="Times New Roman"/>
          <w:bCs/>
          <w:sz w:val="24"/>
          <w:szCs w:val="24"/>
          <w:lang w:val="fr-FR"/>
        </w:rPr>
        <w:t xml:space="preserve"> qui gère désormais la Guinée </w:t>
      </w:r>
      <w:r w:rsidRPr="00724CD4">
        <w:rPr>
          <w:rFonts w:ascii="Times New Roman" w:hAnsi="Times New Roman" w:cs="Times New Roman"/>
          <w:bCs/>
          <w:sz w:val="24"/>
          <w:szCs w:val="24"/>
          <w:lang w:val="fr-FR"/>
        </w:rPr>
        <w:t xml:space="preserve">a </w:t>
      </w:r>
      <w:r>
        <w:rPr>
          <w:rFonts w:ascii="Times New Roman" w:hAnsi="Times New Roman" w:cs="Times New Roman"/>
          <w:bCs/>
          <w:sz w:val="24"/>
          <w:szCs w:val="24"/>
          <w:lang w:val="fr-FR"/>
        </w:rPr>
        <w:t xml:space="preserve">rencontré des contraintes administratives particulières qui ont impacté sur </w:t>
      </w:r>
      <w:r w:rsidRPr="00724CD4">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l</w:t>
      </w:r>
      <w:r w:rsidRPr="00724CD4">
        <w:rPr>
          <w:rFonts w:ascii="Times New Roman" w:hAnsi="Times New Roman" w:cs="Times New Roman"/>
          <w:bCs/>
          <w:sz w:val="24"/>
          <w:szCs w:val="24"/>
          <w:lang w:val="fr-FR"/>
        </w:rPr>
        <w:t>'exécut</w:t>
      </w:r>
      <w:r>
        <w:rPr>
          <w:rFonts w:ascii="Times New Roman" w:hAnsi="Times New Roman" w:cs="Times New Roman"/>
          <w:bCs/>
          <w:sz w:val="24"/>
          <w:szCs w:val="24"/>
          <w:lang w:val="fr-FR"/>
        </w:rPr>
        <w:t xml:space="preserve">ion </w:t>
      </w:r>
      <w:r w:rsidRPr="00724CD4">
        <w:rPr>
          <w:rFonts w:ascii="Times New Roman" w:hAnsi="Times New Roman" w:cs="Times New Roman"/>
          <w:bCs/>
          <w:sz w:val="24"/>
          <w:szCs w:val="24"/>
          <w:lang w:val="fr-FR"/>
        </w:rPr>
        <w:t xml:space="preserve"> à temps </w:t>
      </w:r>
      <w:r>
        <w:rPr>
          <w:rFonts w:ascii="Times New Roman" w:hAnsi="Times New Roman" w:cs="Times New Roman"/>
          <w:bCs/>
          <w:sz w:val="24"/>
          <w:szCs w:val="24"/>
          <w:lang w:val="fr-FR"/>
        </w:rPr>
        <w:t>d</w:t>
      </w:r>
      <w:r w:rsidRPr="00724CD4">
        <w:rPr>
          <w:rFonts w:ascii="Times New Roman" w:hAnsi="Times New Roman" w:cs="Times New Roman"/>
          <w:bCs/>
          <w:sz w:val="24"/>
          <w:szCs w:val="24"/>
          <w:lang w:val="fr-FR"/>
        </w:rPr>
        <w:t xml:space="preserve">es activités du </w:t>
      </w:r>
      <w:r>
        <w:rPr>
          <w:rFonts w:ascii="Times New Roman" w:hAnsi="Times New Roman" w:cs="Times New Roman"/>
          <w:bCs/>
          <w:sz w:val="24"/>
          <w:szCs w:val="24"/>
          <w:lang w:val="fr-FR"/>
        </w:rPr>
        <w:t xml:space="preserve"> </w:t>
      </w:r>
      <w:r w:rsidRPr="00724CD4">
        <w:rPr>
          <w:rFonts w:ascii="Times New Roman" w:hAnsi="Times New Roman" w:cs="Times New Roman"/>
          <w:bCs/>
          <w:sz w:val="24"/>
          <w:szCs w:val="24"/>
          <w:lang w:val="fr-FR"/>
        </w:rPr>
        <w:t>projet</w:t>
      </w:r>
      <w:r>
        <w:rPr>
          <w:rFonts w:ascii="Times New Roman" w:hAnsi="Times New Roman" w:cs="Times New Roman"/>
          <w:bCs/>
          <w:sz w:val="24"/>
          <w:szCs w:val="24"/>
          <w:lang w:val="fr-FR"/>
        </w:rPr>
        <w:t>.</w:t>
      </w:r>
    </w:p>
    <w:p w:rsidR="009F0768" w:rsidRPr="0023655F" w:rsidRDefault="009F0768" w:rsidP="005252C6">
      <w:pPr>
        <w:pStyle w:val="BodyText"/>
        <w:jc w:val="both"/>
        <w:rPr>
          <w:rFonts w:ascii="Times New Roman" w:hAnsi="Times New Roman" w:cs="Times New Roman"/>
          <w:sz w:val="24"/>
          <w:szCs w:val="24"/>
          <w:lang w:val="fr-FR"/>
        </w:rPr>
      </w:pPr>
    </w:p>
    <w:p w:rsidR="00A97130" w:rsidRPr="0023655F" w:rsidRDefault="007103F0" w:rsidP="00A97130">
      <w:pPr>
        <w:pStyle w:val="BodyText2"/>
        <w:spacing w:after="0" w:line="240" w:lineRule="auto"/>
        <w:ind w:left="284"/>
        <w:jc w:val="both"/>
        <w:rPr>
          <w:bCs/>
        </w:rPr>
      </w:pPr>
      <w:r>
        <w:rPr>
          <w:bCs/>
        </w:rPr>
        <w:t xml:space="preserve"> </w:t>
      </w:r>
    </w:p>
    <w:p w:rsidR="00F4345D" w:rsidRPr="0023655F" w:rsidRDefault="00F4345D">
      <w:pPr>
        <w:rPr>
          <w:lang w:eastAsia="en-US"/>
        </w:rPr>
      </w:pPr>
      <w:r w:rsidRPr="0023655F">
        <w:br w:type="page"/>
      </w:r>
    </w:p>
    <w:p w:rsidR="00264361" w:rsidRPr="0023655F" w:rsidRDefault="00B66207" w:rsidP="00B66207">
      <w:pPr>
        <w:pStyle w:val="BodyText"/>
        <w:keepNext/>
        <w:keepLines/>
        <w:numPr>
          <w:ilvl w:val="0"/>
          <w:numId w:val="1"/>
        </w:numPr>
        <w:rPr>
          <w:rFonts w:ascii="Times New Roman" w:hAnsi="Times New Roman" w:cs="Times New Roman"/>
          <w:b/>
          <w:sz w:val="24"/>
          <w:szCs w:val="24"/>
          <w:lang w:val="fr-FR"/>
        </w:rPr>
      </w:pPr>
      <w:r w:rsidRPr="0023655F">
        <w:rPr>
          <w:rFonts w:ascii="Times New Roman" w:hAnsi="Times New Roman" w:cs="Times New Roman"/>
          <w:b/>
          <w:sz w:val="24"/>
          <w:szCs w:val="24"/>
          <w:lang w:val="fr-FR"/>
        </w:rPr>
        <w:lastRenderedPageBreak/>
        <w:t xml:space="preserve">Ressources </w:t>
      </w:r>
    </w:p>
    <w:p w:rsidR="00B66207" w:rsidRPr="0023655F" w:rsidRDefault="00B66207" w:rsidP="00B66207">
      <w:pPr>
        <w:pStyle w:val="BodyText"/>
        <w:keepNext/>
        <w:keepLines/>
        <w:rPr>
          <w:rFonts w:ascii="Times New Roman" w:hAnsi="Times New Roman" w:cs="Times New Roman"/>
          <w:b/>
          <w:sz w:val="24"/>
          <w:szCs w:val="24"/>
          <w:lang w:val="fr-FR"/>
        </w:rPr>
      </w:pPr>
    </w:p>
    <w:p w:rsidR="006D3909" w:rsidRPr="0023655F" w:rsidRDefault="00750000" w:rsidP="00B66207">
      <w:pPr>
        <w:pStyle w:val="BodyText"/>
        <w:keepNext/>
        <w:keepLines/>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r w:rsidR="006D3909" w:rsidRPr="0023655F">
        <w:rPr>
          <w:rFonts w:ascii="Times New Roman" w:hAnsi="Times New Roman" w:cs="Times New Roman"/>
          <w:b/>
          <w:sz w:val="24"/>
          <w:szCs w:val="24"/>
          <w:lang w:val="fr-FR"/>
        </w:rPr>
        <w:t>5.1. Financières</w:t>
      </w:r>
    </w:p>
    <w:p w:rsidR="006D3909" w:rsidRPr="0023655F" w:rsidRDefault="006D3909" w:rsidP="00B66207">
      <w:pPr>
        <w:pStyle w:val="BodyText"/>
        <w:keepNext/>
        <w:keepLines/>
        <w:rPr>
          <w:rFonts w:ascii="Times New Roman" w:hAnsi="Times New Roman" w:cs="Times New Roman"/>
          <w:b/>
          <w:sz w:val="24"/>
          <w:szCs w:val="24"/>
          <w:lang w:val="fr-FR"/>
        </w:rPr>
      </w:pPr>
    </w:p>
    <w:p w:rsidR="00B66207" w:rsidRPr="0023655F" w:rsidRDefault="00B66207" w:rsidP="00BD7198">
      <w:pPr>
        <w:pStyle w:val="ListParagraph"/>
        <w:numPr>
          <w:ilvl w:val="0"/>
          <w:numId w:val="9"/>
        </w:numPr>
      </w:pPr>
      <w:r w:rsidRPr="0023655F">
        <w:t xml:space="preserve">Le </w:t>
      </w:r>
      <w:r w:rsidRPr="0023655F">
        <w:rPr>
          <w:b/>
        </w:rPr>
        <w:t>taux d’exécution</w:t>
      </w:r>
      <w:r w:rsidRPr="0023655F">
        <w:t xml:space="preserve"> est </w:t>
      </w:r>
      <w:r w:rsidR="0010658D" w:rsidRPr="0023655F">
        <w:t>de</w:t>
      </w:r>
      <w:r w:rsidR="007C5EA7">
        <w:t xml:space="preserve"> </w:t>
      </w:r>
      <w:r w:rsidR="00041777">
        <w:rPr>
          <w:b/>
          <w:i/>
        </w:rPr>
        <w:t xml:space="preserve">62, 38% </w:t>
      </w:r>
      <w:r w:rsidR="000C3A3B" w:rsidRPr="00041777">
        <w:rPr>
          <w:b/>
        </w:rPr>
        <w:t>USD</w:t>
      </w:r>
      <w:r w:rsidR="000C3A3B" w:rsidRPr="0023655F">
        <w:t xml:space="preserve">. </w:t>
      </w:r>
      <w:r w:rsidRPr="0023655F">
        <w:t xml:space="preserve">Les dépenses par agences se présentent  comme </w:t>
      </w:r>
      <w:r w:rsidR="00B30DF2" w:rsidRPr="0023655F">
        <w:t>suit :</w:t>
      </w:r>
    </w:p>
    <w:p w:rsidR="00B66207" w:rsidRPr="0023655F" w:rsidRDefault="00B66207" w:rsidP="00B66207">
      <w:pPr>
        <w:pStyle w:val="BodyText"/>
        <w:keepNext/>
        <w:keepLines/>
        <w:rPr>
          <w:rFonts w:ascii="Times New Roman" w:hAnsi="Times New Roman" w:cs="Times New Roman"/>
          <w:b/>
          <w:sz w:val="24"/>
          <w:szCs w:val="24"/>
          <w:lang w:val="fr-FR"/>
        </w:rPr>
      </w:pPr>
    </w:p>
    <w:tbl>
      <w:tblPr>
        <w:tblW w:w="7975"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9"/>
        <w:gridCol w:w="2026"/>
        <w:gridCol w:w="1984"/>
        <w:gridCol w:w="2126"/>
      </w:tblGrid>
      <w:tr w:rsidR="00737C18" w:rsidRPr="0023655F" w:rsidTr="00041777">
        <w:trPr>
          <w:trHeight w:val="360"/>
        </w:trPr>
        <w:tc>
          <w:tcPr>
            <w:tcW w:w="1839" w:type="dxa"/>
            <w:shd w:val="clear" w:color="auto" w:fill="D9D9D9"/>
          </w:tcPr>
          <w:p w:rsidR="00737C18" w:rsidRPr="0023655F" w:rsidRDefault="00737C18" w:rsidP="00B66207">
            <w:pPr>
              <w:rPr>
                <w:b/>
              </w:rPr>
            </w:pPr>
            <w:r w:rsidRPr="0023655F">
              <w:rPr>
                <w:b/>
              </w:rPr>
              <w:t>AGENCE D’EXECUTION</w:t>
            </w:r>
          </w:p>
        </w:tc>
        <w:tc>
          <w:tcPr>
            <w:tcW w:w="2026" w:type="dxa"/>
            <w:shd w:val="clear" w:color="auto" w:fill="D9D9D9"/>
          </w:tcPr>
          <w:p w:rsidR="00737C18" w:rsidRPr="0023655F" w:rsidRDefault="00737C18" w:rsidP="00B66207">
            <w:pPr>
              <w:jc w:val="center"/>
              <w:rPr>
                <w:b/>
              </w:rPr>
            </w:pPr>
            <w:r w:rsidRPr="0023655F">
              <w:rPr>
                <w:b/>
              </w:rPr>
              <w:t>DEPENSES (USD)</w:t>
            </w:r>
          </w:p>
          <w:p w:rsidR="00737C18" w:rsidRPr="0023655F" w:rsidRDefault="00737C18" w:rsidP="00B66207">
            <w:pPr>
              <w:jc w:val="center"/>
              <w:rPr>
                <w:b/>
              </w:rPr>
            </w:pPr>
            <w:r w:rsidRPr="0023655F">
              <w:rPr>
                <w:b/>
              </w:rPr>
              <w:t>2013</w:t>
            </w:r>
          </w:p>
        </w:tc>
        <w:tc>
          <w:tcPr>
            <w:tcW w:w="1984" w:type="dxa"/>
            <w:shd w:val="clear" w:color="auto" w:fill="D9D9D9"/>
          </w:tcPr>
          <w:p w:rsidR="00737C18" w:rsidRPr="0023655F" w:rsidRDefault="00737C18" w:rsidP="00737C18">
            <w:pPr>
              <w:rPr>
                <w:b/>
              </w:rPr>
            </w:pPr>
            <w:r w:rsidRPr="0023655F">
              <w:rPr>
                <w:b/>
              </w:rPr>
              <w:t>TAUX D’EXECUTION (%)</w:t>
            </w:r>
          </w:p>
        </w:tc>
        <w:tc>
          <w:tcPr>
            <w:tcW w:w="2126" w:type="dxa"/>
            <w:shd w:val="clear" w:color="auto" w:fill="D9D9D9"/>
          </w:tcPr>
          <w:p w:rsidR="00737C18" w:rsidRPr="0023655F" w:rsidRDefault="00737C18" w:rsidP="00B66207">
            <w:pPr>
              <w:rPr>
                <w:b/>
              </w:rPr>
            </w:pPr>
            <w:r w:rsidRPr="0023655F">
              <w:rPr>
                <w:b/>
              </w:rPr>
              <w:t xml:space="preserve">RELIQUAT </w:t>
            </w:r>
          </w:p>
          <w:p w:rsidR="00737C18" w:rsidRPr="0023655F" w:rsidRDefault="00737C18" w:rsidP="00B66207">
            <w:pPr>
              <w:rPr>
                <w:b/>
              </w:rPr>
            </w:pPr>
            <w:r w:rsidRPr="0023655F">
              <w:rPr>
                <w:b/>
              </w:rPr>
              <w:t>2014</w:t>
            </w:r>
          </w:p>
        </w:tc>
      </w:tr>
      <w:tr w:rsidR="00737C18" w:rsidRPr="0023655F" w:rsidTr="00041777">
        <w:trPr>
          <w:trHeight w:val="360"/>
        </w:trPr>
        <w:tc>
          <w:tcPr>
            <w:tcW w:w="1839" w:type="dxa"/>
            <w:shd w:val="clear" w:color="auto" w:fill="auto"/>
          </w:tcPr>
          <w:p w:rsidR="00737C18" w:rsidRPr="0023655F" w:rsidRDefault="00737C18" w:rsidP="00B66207">
            <w:pPr>
              <w:rPr>
                <w:b/>
              </w:rPr>
            </w:pPr>
            <w:r w:rsidRPr="0023655F">
              <w:rPr>
                <w:b/>
              </w:rPr>
              <w:t xml:space="preserve">UNDP </w:t>
            </w:r>
          </w:p>
        </w:tc>
        <w:tc>
          <w:tcPr>
            <w:tcW w:w="2026" w:type="dxa"/>
            <w:shd w:val="clear" w:color="auto" w:fill="auto"/>
            <w:vAlign w:val="center"/>
          </w:tcPr>
          <w:p w:rsidR="00737C18" w:rsidRPr="0023655F" w:rsidRDefault="00734DE6" w:rsidP="00A97130">
            <w:pPr>
              <w:jc w:val="center"/>
              <w:rPr>
                <w:color w:val="FFFF00"/>
              </w:rPr>
            </w:pPr>
            <w:r w:rsidRPr="0023655F">
              <w:rPr>
                <w:color w:val="000000"/>
              </w:rPr>
              <w:t>538,785</w:t>
            </w:r>
          </w:p>
        </w:tc>
        <w:tc>
          <w:tcPr>
            <w:tcW w:w="1984" w:type="dxa"/>
          </w:tcPr>
          <w:p w:rsidR="00737C18" w:rsidRPr="0023655F" w:rsidRDefault="00734DE6" w:rsidP="00B66207">
            <w:pPr>
              <w:jc w:val="center"/>
              <w:rPr>
                <w:color w:val="000000"/>
              </w:rPr>
            </w:pPr>
            <w:r w:rsidRPr="0023655F">
              <w:rPr>
                <w:color w:val="000000"/>
              </w:rPr>
              <w:t>93%</w:t>
            </w:r>
          </w:p>
        </w:tc>
        <w:tc>
          <w:tcPr>
            <w:tcW w:w="2126" w:type="dxa"/>
            <w:shd w:val="clear" w:color="auto" w:fill="auto"/>
          </w:tcPr>
          <w:p w:rsidR="00737C18" w:rsidRPr="0023655F" w:rsidRDefault="00734DE6" w:rsidP="00B66207">
            <w:pPr>
              <w:jc w:val="center"/>
              <w:rPr>
                <w:color w:val="000000"/>
              </w:rPr>
            </w:pPr>
            <w:r w:rsidRPr="0023655F">
              <w:rPr>
                <w:color w:val="000000"/>
              </w:rPr>
              <w:t>40,000</w:t>
            </w:r>
          </w:p>
        </w:tc>
      </w:tr>
      <w:tr w:rsidR="00737C18" w:rsidRPr="0023655F" w:rsidTr="00041777">
        <w:trPr>
          <w:trHeight w:val="386"/>
        </w:trPr>
        <w:tc>
          <w:tcPr>
            <w:tcW w:w="1839" w:type="dxa"/>
            <w:shd w:val="clear" w:color="auto" w:fill="auto"/>
          </w:tcPr>
          <w:p w:rsidR="00737C18" w:rsidRPr="0023655F" w:rsidRDefault="00737C18" w:rsidP="00B66207">
            <w:pPr>
              <w:rPr>
                <w:b/>
              </w:rPr>
            </w:pPr>
            <w:r w:rsidRPr="0023655F">
              <w:rPr>
                <w:b/>
              </w:rPr>
              <w:t>HCDH</w:t>
            </w:r>
          </w:p>
        </w:tc>
        <w:tc>
          <w:tcPr>
            <w:tcW w:w="2026" w:type="dxa"/>
            <w:shd w:val="clear" w:color="auto" w:fill="auto"/>
            <w:vAlign w:val="center"/>
          </w:tcPr>
          <w:p w:rsidR="00737C18" w:rsidRPr="0023655F" w:rsidRDefault="00041777" w:rsidP="00A97130">
            <w:pPr>
              <w:jc w:val="center"/>
              <w:rPr>
                <w:color w:val="000000"/>
                <w:highlight w:val="green"/>
              </w:rPr>
            </w:pPr>
            <w:r>
              <w:rPr>
                <w:color w:val="000000"/>
              </w:rPr>
              <w:t>117,720.89</w:t>
            </w:r>
            <w:r w:rsidR="0023655F" w:rsidRPr="0023655F">
              <w:t xml:space="preserve"> USD</w:t>
            </w:r>
          </w:p>
        </w:tc>
        <w:tc>
          <w:tcPr>
            <w:tcW w:w="1984" w:type="dxa"/>
            <w:vAlign w:val="center"/>
          </w:tcPr>
          <w:p w:rsidR="00737C18" w:rsidRPr="0023655F" w:rsidRDefault="00041777" w:rsidP="00A66C48">
            <w:pPr>
              <w:jc w:val="center"/>
              <w:rPr>
                <w:color w:val="000000"/>
                <w:highlight w:val="green"/>
              </w:rPr>
            </w:pPr>
            <w:r w:rsidRPr="00041777">
              <w:rPr>
                <w:color w:val="000000"/>
              </w:rPr>
              <w:t>94,16%</w:t>
            </w:r>
          </w:p>
        </w:tc>
        <w:tc>
          <w:tcPr>
            <w:tcW w:w="2126" w:type="dxa"/>
            <w:shd w:val="clear" w:color="auto" w:fill="auto"/>
            <w:vAlign w:val="center"/>
          </w:tcPr>
          <w:p w:rsidR="00737C18" w:rsidRPr="0023655F" w:rsidRDefault="00041777" w:rsidP="00542C5C">
            <w:pPr>
              <w:jc w:val="center"/>
              <w:rPr>
                <w:b/>
                <w:i/>
                <w:highlight w:val="green"/>
              </w:rPr>
            </w:pPr>
            <w:r w:rsidRPr="00041777">
              <w:rPr>
                <w:b/>
                <w:i/>
              </w:rPr>
              <w:t>7,299.11USD</w:t>
            </w:r>
          </w:p>
        </w:tc>
      </w:tr>
      <w:tr w:rsidR="00737C18" w:rsidRPr="0023655F" w:rsidTr="00041777">
        <w:trPr>
          <w:trHeight w:val="386"/>
        </w:trPr>
        <w:tc>
          <w:tcPr>
            <w:tcW w:w="1839" w:type="dxa"/>
            <w:shd w:val="clear" w:color="auto" w:fill="auto"/>
          </w:tcPr>
          <w:p w:rsidR="00737C18" w:rsidRPr="0023655F" w:rsidRDefault="00737C18" w:rsidP="00737C18">
            <w:pPr>
              <w:rPr>
                <w:b/>
              </w:rPr>
            </w:pPr>
            <w:r w:rsidRPr="0023655F">
              <w:rPr>
                <w:b/>
              </w:rPr>
              <w:t>UNESCO</w:t>
            </w:r>
          </w:p>
        </w:tc>
        <w:tc>
          <w:tcPr>
            <w:tcW w:w="2026" w:type="dxa"/>
            <w:tcBorders>
              <w:bottom w:val="single" w:sz="4" w:space="0" w:color="000000"/>
            </w:tcBorders>
            <w:shd w:val="clear" w:color="auto" w:fill="auto"/>
            <w:vAlign w:val="center"/>
          </w:tcPr>
          <w:p w:rsidR="00737C18" w:rsidRPr="0023655F" w:rsidRDefault="002C0A47" w:rsidP="00A97130">
            <w:pPr>
              <w:jc w:val="center"/>
              <w:rPr>
                <w:color w:val="000000"/>
              </w:rPr>
            </w:pPr>
            <w:r w:rsidRPr="0023655F">
              <w:rPr>
                <w:color w:val="000000"/>
              </w:rPr>
              <w:t>0</w:t>
            </w:r>
          </w:p>
        </w:tc>
        <w:tc>
          <w:tcPr>
            <w:tcW w:w="1984" w:type="dxa"/>
            <w:tcBorders>
              <w:bottom w:val="single" w:sz="4" w:space="0" w:color="000000"/>
            </w:tcBorders>
            <w:vAlign w:val="center"/>
          </w:tcPr>
          <w:p w:rsidR="00737C18" w:rsidRPr="0023655F" w:rsidRDefault="002C0A47" w:rsidP="00995459">
            <w:pPr>
              <w:jc w:val="center"/>
              <w:rPr>
                <w:color w:val="000000"/>
              </w:rPr>
            </w:pPr>
            <w:r w:rsidRPr="0023655F">
              <w:rPr>
                <w:color w:val="000000"/>
              </w:rPr>
              <w:t>0%</w:t>
            </w:r>
          </w:p>
        </w:tc>
        <w:tc>
          <w:tcPr>
            <w:tcW w:w="2126" w:type="dxa"/>
            <w:tcBorders>
              <w:bottom w:val="single" w:sz="4" w:space="0" w:color="000000"/>
            </w:tcBorders>
            <w:shd w:val="clear" w:color="auto" w:fill="auto"/>
            <w:vAlign w:val="center"/>
          </w:tcPr>
          <w:p w:rsidR="00737C18" w:rsidRPr="0023655F" w:rsidRDefault="002C0A47" w:rsidP="00995459">
            <w:pPr>
              <w:jc w:val="center"/>
              <w:rPr>
                <w:color w:val="000000"/>
              </w:rPr>
            </w:pPr>
            <w:r w:rsidRPr="0023655F">
              <w:rPr>
                <w:b/>
              </w:rPr>
              <w:t>288,900</w:t>
            </w:r>
          </w:p>
        </w:tc>
      </w:tr>
      <w:tr w:rsidR="00737C18" w:rsidRPr="0023655F" w:rsidTr="00041777">
        <w:trPr>
          <w:trHeight w:val="386"/>
        </w:trPr>
        <w:tc>
          <w:tcPr>
            <w:tcW w:w="1839" w:type="dxa"/>
            <w:shd w:val="clear" w:color="auto" w:fill="auto"/>
          </w:tcPr>
          <w:p w:rsidR="00737C18" w:rsidRPr="0023655F" w:rsidRDefault="00737C18" w:rsidP="00041777">
            <w:pPr>
              <w:rPr>
                <w:b/>
                <w:i/>
              </w:rPr>
            </w:pPr>
            <w:r w:rsidRPr="0023655F">
              <w:rPr>
                <w:b/>
                <w:i/>
              </w:rPr>
              <w:t>TOTAL</w:t>
            </w:r>
          </w:p>
        </w:tc>
        <w:tc>
          <w:tcPr>
            <w:tcW w:w="2026" w:type="dxa"/>
            <w:shd w:val="clear" w:color="auto" w:fill="FABF8F"/>
            <w:vAlign w:val="center"/>
          </w:tcPr>
          <w:p w:rsidR="00737C18" w:rsidRPr="0023655F" w:rsidRDefault="00041777" w:rsidP="00A97130">
            <w:pPr>
              <w:jc w:val="center"/>
              <w:rPr>
                <w:b/>
                <w:bCs/>
                <w:i/>
                <w:iCs/>
                <w:color w:val="000000"/>
              </w:rPr>
            </w:pPr>
            <w:r>
              <w:rPr>
                <w:b/>
                <w:bCs/>
                <w:i/>
                <w:iCs/>
                <w:color w:val="000000"/>
              </w:rPr>
              <w:t>656,505.89 USD</w:t>
            </w:r>
          </w:p>
        </w:tc>
        <w:tc>
          <w:tcPr>
            <w:tcW w:w="1984" w:type="dxa"/>
            <w:shd w:val="clear" w:color="auto" w:fill="FABF8F"/>
            <w:vAlign w:val="center"/>
          </w:tcPr>
          <w:p w:rsidR="00737C18" w:rsidRPr="0023655F" w:rsidRDefault="005C0FFB" w:rsidP="000E00CD">
            <w:pPr>
              <w:jc w:val="center"/>
              <w:rPr>
                <w:b/>
                <w:i/>
              </w:rPr>
            </w:pPr>
            <w:r>
              <w:rPr>
                <w:b/>
                <w:i/>
              </w:rPr>
              <w:t xml:space="preserve"> </w:t>
            </w:r>
            <w:r w:rsidR="00041777">
              <w:rPr>
                <w:b/>
                <w:i/>
              </w:rPr>
              <w:t>62,38%</w:t>
            </w:r>
          </w:p>
        </w:tc>
        <w:tc>
          <w:tcPr>
            <w:tcW w:w="2126" w:type="dxa"/>
            <w:shd w:val="clear" w:color="auto" w:fill="FABF8F"/>
            <w:vAlign w:val="center"/>
          </w:tcPr>
          <w:p w:rsidR="00737C18" w:rsidRPr="0023655F" w:rsidRDefault="00041777" w:rsidP="000E00CD">
            <w:pPr>
              <w:jc w:val="center"/>
              <w:rPr>
                <w:b/>
                <w:i/>
              </w:rPr>
            </w:pPr>
            <w:r>
              <w:rPr>
                <w:b/>
                <w:i/>
              </w:rPr>
              <w:t>336,199.11</w:t>
            </w:r>
            <w:r w:rsidR="007103F0">
              <w:rPr>
                <w:b/>
                <w:i/>
              </w:rPr>
              <w:t xml:space="preserve"> </w:t>
            </w:r>
            <w:r>
              <w:rPr>
                <w:b/>
                <w:i/>
              </w:rPr>
              <w:t>USD</w:t>
            </w:r>
          </w:p>
        </w:tc>
      </w:tr>
    </w:tbl>
    <w:p w:rsidR="00B66207" w:rsidRPr="0023655F" w:rsidRDefault="00B66207" w:rsidP="00334073">
      <w:pPr>
        <w:pStyle w:val="BodyText"/>
        <w:keepNext/>
        <w:keepLines/>
        <w:rPr>
          <w:rFonts w:ascii="Times New Roman" w:hAnsi="Times New Roman" w:cs="Times New Roman"/>
          <w:b/>
          <w:sz w:val="24"/>
          <w:szCs w:val="24"/>
          <w:lang w:val="fr-FR"/>
        </w:rPr>
      </w:pPr>
    </w:p>
    <w:p w:rsidR="00734DE6" w:rsidRPr="0023655F" w:rsidRDefault="00734DE6" w:rsidP="00334073">
      <w:pPr>
        <w:pStyle w:val="BodyText"/>
        <w:keepNext/>
        <w:keepLines/>
        <w:rPr>
          <w:rFonts w:ascii="Times New Roman" w:hAnsi="Times New Roman" w:cs="Times New Roman"/>
          <w:b/>
          <w:sz w:val="24"/>
          <w:szCs w:val="24"/>
          <w:lang w:val="fr-FR"/>
        </w:rPr>
      </w:pPr>
    </w:p>
    <w:p w:rsidR="006D3909" w:rsidRPr="0023655F" w:rsidRDefault="006D3909" w:rsidP="00BD7198">
      <w:pPr>
        <w:pStyle w:val="BodyText"/>
        <w:keepNext/>
        <w:keepLines/>
        <w:numPr>
          <w:ilvl w:val="0"/>
          <w:numId w:val="9"/>
        </w:numPr>
        <w:rPr>
          <w:rFonts w:ascii="Times New Roman" w:hAnsi="Times New Roman" w:cs="Times New Roman"/>
          <w:b/>
          <w:sz w:val="24"/>
          <w:szCs w:val="24"/>
          <w:lang w:val="fr-FR"/>
        </w:rPr>
      </w:pPr>
      <w:r w:rsidRPr="0023655F">
        <w:rPr>
          <w:rFonts w:ascii="Times New Roman" w:hAnsi="Times New Roman" w:cs="Times New Roman"/>
          <w:b/>
          <w:sz w:val="24"/>
          <w:szCs w:val="24"/>
          <w:lang w:val="fr-FR"/>
        </w:rPr>
        <w:t>Points sur les achats :</w:t>
      </w:r>
    </w:p>
    <w:p w:rsidR="00737C18" w:rsidRPr="0023655F" w:rsidRDefault="00737C18" w:rsidP="00737C18">
      <w:pPr>
        <w:pStyle w:val="BodyText"/>
        <w:ind w:left="720"/>
        <w:jc w:val="both"/>
        <w:rPr>
          <w:rFonts w:ascii="Times New Roman" w:hAnsi="Times New Roman" w:cs="Times New Roman"/>
          <w:sz w:val="24"/>
          <w:szCs w:val="24"/>
          <w:lang w:val="fr-FR"/>
        </w:rPr>
      </w:pPr>
    </w:p>
    <w:p w:rsidR="00734DE6" w:rsidRPr="0023655F" w:rsidRDefault="00734DE6" w:rsidP="00737C18">
      <w:pPr>
        <w:pStyle w:val="BodyText"/>
        <w:ind w:left="720"/>
        <w:jc w:val="both"/>
        <w:rPr>
          <w:rFonts w:ascii="Times New Roman" w:hAnsi="Times New Roman" w:cs="Times New Roman"/>
          <w:sz w:val="24"/>
          <w:szCs w:val="24"/>
          <w:lang w:val="fr-FR"/>
        </w:rPr>
      </w:pPr>
      <w:r w:rsidRPr="0023655F">
        <w:rPr>
          <w:rFonts w:ascii="Times New Roman" w:hAnsi="Times New Roman" w:cs="Times New Roman"/>
          <w:sz w:val="24"/>
          <w:szCs w:val="24"/>
          <w:lang w:val="fr-FR"/>
        </w:rPr>
        <w:t xml:space="preserve">Dans le cadre de la mise en place de la plateforme technique de la Case de Veille, 49 postes informatiques ont été acheté, de même que trois imprimantes, un photocopieur et trois vidéoprojecteurs </w:t>
      </w:r>
    </w:p>
    <w:p w:rsidR="00737C18" w:rsidRPr="0023655F" w:rsidRDefault="00737C18" w:rsidP="00737C18">
      <w:pPr>
        <w:pStyle w:val="BodyText"/>
        <w:ind w:left="720"/>
        <w:jc w:val="both"/>
        <w:rPr>
          <w:rFonts w:ascii="Times New Roman" w:hAnsi="Times New Roman" w:cs="Times New Roman"/>
          <w:b/>
          <w:sz w:val="24"/>
          <w:szCs w:val="24"/>
          <w:lang w:val="fr-FR"/>
        </w:rPr>
      </w:pPr>
    </w:p>
    <w:p w:rsidR="006D3909" w:rsidRPr="0023655F" w:rsidRDefault="006D3909" w:rsidP="00BD7198">
      <w:pPr>
        <w:pStyle w:val="BodyText"/>
        <w:numPr>
          <w:ilvl w:val="0"/>
          <w:numId w:val="9"/>
        </w:numPr>
        <w:jc w:val="both"/>
        <w:rPr>
          <w:rFonts w:ascii="Times New Roman" w:hAnsi="Times New Roman" w:cs="Times New Roman"/>
          <w:b/>
          <w:sz w:val="24"/>
          <w:szCs w:val="24"/>
          <w:lang w:val="fr-FR"/>
        </w:rPr>
      </w:pPr>
      <w:r w:rsidRPr="0023655F">
        <w:rPr>
          <w:rFonts w:ascii="Times New Roman" w:hAnsi="Times New Roman" w:cs="Times New Roman"/>
          <w:b/>
          <w:sz w:val="24"/>
          <w:szCs w:val="24"/>
          <w:lang w:val="fr-FR"/>
        </w:rPr>
        <w:t>Point sur les ressources additionnelles mobilisées :</w:t>
      </w:r>
      <w:r w:rsidR="00734DE6" w:rsidRPr="0023655F">
        <w:rPr>
          <w:rFonts w:ascii="Times New Roman" w:hAnsi="Times New Roman" w:cs="Times New Roman"/>
          <w:b/>
          <w:sz w:val="24"/>
          <w:szCs w:val="24"/>
          <w:lang w:val="fr-FR"/>
        </w:rPr>
        <w:t xml:space="preserve"> </w:t>
      </w:r>
      <w:r w:rsidR="00734DE6" w:rsidRPr="0023655F">
        <w:rPr>
          <w:rFonts w:ascii="Times New Roman" w:hAnsi="Times New Roman" w:cs="Times New Roman"/>
          <w:sz w:val="24"/>
          <w:szCs w:val="24"/>
          <w:lang w:val="fr-FR"/>
        </w:rPr>
        <w:t>RAS</w:t>
      </w:r>
    </w:p>
    <w:p w:rsidR="00737C18" w:rsidRPr="0023655F" w:rsidRDefault="00737C18" w:rsidP="00574BAD">
      <w:pPr>
        <w:pStyle w:val="BodyText"/>
        <w:jc w:val="both"/>
        <w:rPr>
          <w:rFonts w:ascii="Times New Roman" w:hAnsi="Times New Roman" w:cs="Times New Roman"/>
          <w:b/>
          <w:sz w:val="24"/>
          <w:szCs w:val="24"/>
          <w:lang w:val="fr-FR"/>
        </w:rPr>
      </w:pPr>
    </w:p>
    <w:p w:rsidR="00B66207" w:rsidRPr="0023655F" w:rsidRDefault="006D3909" w:rsidP="00334073">
      <w:pPr>
        <w:pStyle w:val="BodyText"/>
        <w:keepNext/>
        <w:keepLines/>
        <w:rPr>
          <w:rFonts w:ascii="Times New Roman" w:hAnsi="Times New Roman" w:cs="Times New Roman"/>
          <w:b/>
          <w:sz w:val="24"/>
          <w:szCs w:val="24"/>
          <w:lang w:val="fr-FR"/>
        </w:rPr>
      </w:pPr>
      <w:r w:rsidRPr="0023655F">
        <w:rPr>
          <w:rFonts w:ascii="Times New Roman" w:hAnsi="Times New Roman" w:cs="Times New Roman"/>
          <w:b/>
          <w:sz w:val="24"/>
          <w:szCs w:val="24"/>
          <w:lang w:val="fr-FR"/>
        </w:rPr>
        <w:t>5.2. Humaines</w:t>
      </w:r>
    </w:p>
    <w:p w:rsidR="006D3909" w:rsidRPr="0023655F" w:rsidRDefault="006D3909" w:rsidP="00334073">
      <w:pPr>
        <w:pStyle w:val="BodyText"/>
        <w:keepNext/>
        <w:keepLines/>
        <w:rPr>
          <w:rFonts w:ascii="Times New Roman" w:hAnsi="Times New Roman" w:cs="Times New Roman"/>
          <w:sz w:val="24"/>
          <w:szCs w:val="24"/>
          <w:lang w:val="fr-FR"/>
        </w:rPr>
      </w:pPr>
    </w:p>
    <w:p w:rsidR="000E4090" w:rsidRPr="0023655F" w:rsidRDefault="000E4090" w:rsidP="000E4090">
      <w:pPr>
        <w:pStyle w:val="BodyText2"/>
        <w:spacing w:after="0" w:line="240" w:lineRule="auto"/>
        <w:jc w:val="both"/>
      </w:pPr>
      <w:r w:rsidRPr="0023655F">
        <w:t xml:space="preserve">Il y a un total </w:t>
      </w:r>
      <w:r w:rsidR="00DB118D" w:rsidRPr="0023655F">
        <w:t>15</w:t>
      </w:r>
      <w:r w:rsidR="00734DE6" w:rsidRPr="0023655F">
        <w:t xml:space="preserve"> staff ont travaillé</w:t>
      </w:r>
      <w:r w:rsidR="00E80FD4" w:rsidRPr="0023655F">
        <w:t xml:space="preserve"> sur le programme, dont </w:t>
      </w:r>
      <w:r w:rsidR="00737C18" w:rsidRPr="0023655F">
        <w:t xml:space="preserve"> </w:t>
      </w:r>
      <w:r w:rsidR="00DB118D" w:rsidRPr="0023655F">
        <w:t>8</w:t>
      </w:r>
      <w:r w:rsidR="00E80FD4" w:rsidRPr="0023655F">
        <w:t xml:space="preserve"> staffs nationaux : </w:t>
      </w:r>
      <w:r w:rsidR="00DB118D" w:rsidRPr="0023655F">
        <w:t>4</w:t>
      </w:r>
      <w:r w:rsidRPr="0023655F">
        <w:t xml:space="preserve"> staffs des programmes, 2 staffs d’opérations. </w:t>
      </w:r>
      <w:r w:rsidR="00DB118D" w:rsidRPr="0023655F">
        <w:t xml:space="preserve">Au niveau des internationaux 7 personnes ont </w:t>
      </w:r>
      <w:r w:rsidR="00574BAD" w:rsidRPr="0023655F">
        <w:t>travaillé</w:t>
      </w:r>
      <w:r w:rsidR="00DB118D" w:rsidRPr="0023655F">
        <w:t xml:space="preserve"> sur le programme, dont une personne du Bureau du Coordonnateur </w:t>
      </w:r>
      <w:r w:rsidR="001C30C6" w:rsidRPr="0023655F">
        <w:t>Résident</w:t>
      </w:r>
      <w:r w:rsidR="00DB118D" w:rsidRPr="0023655F">
        <w:t xml:space="preserve"> pour le suivi de la Case de Veille est Femmes.</w:t>
      </w:r>
      <w:r w:rsidRPr="0023655F">
        <w:t xml:space="preserve">  La répartition est comme suit :</w:t>
      </w:r>
    </w:p>
    <w:p w:rsidR="00B66207" w:rsidRPr="0023655F" w:rsidRDefault="00B66207" w:rsidP="00334073">
      <w:pPr>
        <w:pStyle w:val="BodyText"/>
        <w:keepNext/>
        <w:keepLines/>
        <w:rPr>
          <w:rFonts w:ascii="Times New Roman" w:hAnsi="Times New Roman" w:cs="Times New Roman"/>
          <w:b/>
          <w:sz w:val="24"/>
          <w:szCs w:val="24"/>
          <w:lang w:val="fr-FR"/>
        </w:rPr>
      </w:pP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275"/>
        <w:gridCol w:w="1276"/>
        <w:gridCol w:w="1276"/>
        <w:gridCol w:w="992"/>
        <w:gridCol w:w="851"/>
        <w:gridCol w:w="1275"/>
      </w:tblGrid>
      <w:tr w:rsidR="000E4090" w:rsidRPr="0023655F" w:rsidTr="00DB118D">
        <w:trPr>
          <w:trHeight w:val="360"/>
        </w:trPr>
        <w:tc>
          <w:tcPr>
            <w:tcW w:w="1701" w:type="dxa"/>
            <w:vMerge w:val="restart"/>
            <w:shd w:val="clear" w:color="auto" w:fill="D9D9D9"/>
          </w:tcPr>
          <w:p w:rsidR="000E4090" w:rsidRPr="0023655F" w:rsidRDefault="000E4090" w:rsidP="00AE7C50">
            <w:pPr>
              <w:jc w:val="center"/>
              <w:rPr>
                <w:b/>
              </w:rPr>
            </w:pPr>
            <w:r w:rsidRPr="0023655F">
              <w:rPr>
                <w:b/>
              </w:rPr>
              <w:t>Agence d’exécution</w:t>
            </w:r>
          </w:p>
        </w:tc>
        <w:tc>
          <w:tcPr>
            <w:tcW w:w="2551" w:type="dxa"/>
            <w:gridSpan w:val="2"/>
            <w:shd w:val="clear" w:color="auto" w:fill="D9D9D9"/>
          </w:tcPr>
          <w:p w:rsidR="000E4090" w:rsidRPr="0023655F" w:rsidRDefault="000E4090" w:rsidP="00AE7C50">
            <w:pPr>
              <w:jc w:val="center"/>
              <w:rPr>
                <w:b/>
              </w:rPr>
            </w:pPr>
            <w:r w:rsidRPr="0023655F">
              <w:rPr>
                <w:b/>
              </w:rPr>
              <w:t xml:space="preserve">Programmes </w:t>
            </w:r>
          </w:p>
        </w:tc>
        <w:tc>
          <w:tcPr>
            <w:tcW w:w="2268" w:type="dxa"/>
            <w:gridSpan w:val="2"/>
            <w:shd w:val="clear" w:color="auto" w:fill="D9D9D9"/>
          </w:tcPr>
          <w:p w:rsidR="000E4090" w:rsidRPr="0023655F" w:rsidRDefault="000E4090" w:rsidP="00AE7C50">
            <w:pPr>
              <w:jc w:val="center"/>
              <w:rPr>
                <w:b/>
              </w:rPr>
            </w:pPr>
            <w:r w:rsidRPr="0023655F">
              <w:rPr>
                <w:b/>
              </w:rPr>
              <w:t xml:space="preserve">Operations  </w:t>
            </w:r>
          </w:p>
        </w:tc>
        <w:tc>
          <w:tcPr>
            <w:tcW w:w="2126" w:type="dxa"/>
            <w:gridSpan w:val="2"/>
            <w:shd w:val="clear" w:color="auto" w:fill="D9D9D9"/>
          </w:tcPr>
          <w:p w:rsidR="000E4090" w:rsidRPr="0023655F" w:rsidRDefault="000E4090" w:rsidP="00AE7C50">
            <w:pPr>
              <w:jc w:val="center"/>
              <w:rPr>
                <w:b/>
              </w:rPr>
            </w:pPr>
            <w:r w:rsidRPr="0023655F">
              <w:rPr>
                <w:b/>
              </w:rPr>
              <w:t xml:space="preserve">Programmes </w:t>
            </w:r>
          </w:p>
        </w:tc>
      </w:tr>
      <w:tr w:rsidR="00DB118D" w:rsidRPr="0023655F" w:rsidTr="00DB118D">
        <w:trPr>
          <w:trHeight w:val="360"/>
        </w:trPr>
        <w:tc>
          <w:tcPr>
            <w:tcW w:w="1701" w:type="dxa"/>
            <w:vMerge/>
            <w:shd w:val="clear" w:color="auto" w:fill="D9D9D9"/>
          </w:tcPr>
          <w:p w:rsidR="000E4090" w:rsidRPr="0023655F" w:rsidRDefault="000E4090" w:rsidP="00AE7C50">
            <w:pPr>
              <w:jc w:val="center"/>
              <w:rPr>
                <w:b/>
              </w:rPr>
            </w:pPr>
          </w:p>
        </w:tc>
        <w:tc>
          <w:tcPr>
            <w:tcW w:w="1275" w:type="dxa"/>
            <w:shd w:val="clear" w:color="auto" w:fill="D9D9D9"/>
          </w:tcPr>
          <w:p w:rsidR="000E4090" w:rsidRPr="0023655F" w:rsidRDefault="000E4090" w:rsidP="00AE7C50">
            <w:pPr>
              <w:jc w:val="center"/>
              <w:rPr>
                <w:b/>
              </w:rPr>
            </w:pPr>
            <w:r w:rsidRPr="0023655F">
              <w:rPr>
                <w:b/>
              </w:rPr>
              <w:t xml:space="preserve">Nationaux </w:t>
            </w:r>
          </w:p>
        </w:tc>
        <w:tc>
          <w:tcPr>
            <w:tcW w:w="1276" w:type="dxa"/>
            <w:shd w:val="clear" w:color="auto" w:fill="D9D9D9"/>
          </w:tcPr>
          <w:p w:rsidR="000E4090" w:rsidRPr="0023655F" w:rsidRDefault="000E4090" w:rsidP="00AE7C50">
            <w:pPr>
              <w:jc w:val="center"/>
              <w:rPr>
                <w:b/>
              </w:rPr>
            </w:pPr>
            <w:r w:rsidRPr="0023655F">
              <w:rPr>
                <w:b/>
              </w:rPr>
              <w:t>Allocation du temps</w:t>
            </w:r>
          </w:p>
        </w:tc>
        <w:tc>
          <w:tcPr>
            <w:tcW w:w="1276" w:type="dxa"/>
            <w:shd w:val="clear" w:color="auto" w:fill="D9D9D9"/>
          </w:tcPr>
          <w:p w:rsidR="000E4090" w:rsidRPr="0023655F" w:rsidRDefault="000E4090" w:rsidP="00AE7C50">
            <w:pPr>
              <w:jc w:val="center"/>
              <w:rPr>
                <w:b/>
              </w:rPr>
            </w:pPr>
            <w:r w:rsidRPr="0023655F">
              <w:rPr>
                <w:b/>
              </w:rPr>
              <w:t xml:space="preserve">Nationaux </w:t>
            </w:r>
          </w:p>
        </w:tc>
        <w:tc>
          <w:tcPr>
            <w:tcW w:w="992" w:type="dxa"/>
            <w:shd w:val="clear" w:color="auto" w:fill="D9D9D9"/>
          </w:tcPr>
          <w:p w:rsidR="000E4090" w:rsidRPr="0023655F" w:rsidRDefault="000E4090" w:rsidP="00AE7C50">
            <w:pPr>
              <w:jc w:val="center"/>
              <w:rPr>
                <w:b/>
              </w:rPr>
            </w:pPr>
            <w:r w:rsidRPr="0023655F">
              <w:rPr>
                <w:b/>
              </w:rPr>
              <w:t>Allocation du temps</w:t>
            </w:r>
          </w:p>
        </w:tc>
        <w:tc>
          <w:tcPr>
            <w:tcW w:w="851" w:type="dxa"/>
            <w:shd w:val="clear" w:color="auto" w:fill="D9D9D9"/>
          </w:tcPr>
          <w:p w:rsidR="000E4090" w:rsidRPr="0023655F" w:rsidRDefault="000E4090" w:rsidP="00AE7C50">
            <w:pPr>
              <w:jc w:val="center"/>
              <w:rPr>
                <w:b/>
              </w:rPr>
            </w:pPr>
            <w:r w:rsidRPr="0023655F">
              <w:rPr>
                <w:b/>
              </w:rPr>
              <w:t>Internationaux</w:t>
            </w:r>
          </w:p>
        </w:tc>
        <w:tc>
          <w:tcPr>
            <w:tcW w:w="1275" w:type="dxa"/>
            <w:shd w:val="clear" w:color="auto" w:fill="D9D9D9"/>
          </w:tcPr>
          <w:p w:rsidR="000E4090" w:rsidRPr="0023655F" w:rsidRDefault="000E4090" w:rsidP="00AE7C50">
            <w:pPr>
              <w:jc w:val="center"/>
              <w:rPr>
                <w:b/>
              </w:rPr>
            </w:pPr>
            <w:r w:rsidRPr="0023655F">
              <w:rPr>
                <w:b/>
              </w:rPr>
              <w:t>Allocation du temps</w:t>
            </w:r>
          </w:p>
        </w:tc>
      </w:tr>
      <w:tr w:rsidR="000E4090" w:rsidRPr="0023655F" w:rsidTr="00DB118D">
        <w:trPr>
          <w:trHeight w:val="360"/>
        </w:trPr>
        <w:tc>
          <w:tcPr>
            <w:tcW w:w="1701" w:type="dxa"/>
            <w:shd w:val="clear" w:color="auto" w:fill="auto"/>
          </w:tcPr>
          <w:p w:rsidR="000E4090" w:rsidRPr="0023655F" w:rsidRDefault="000E4090" w:rsidP="00AE7C50">
            <w:pPr>
              <w:rPr>
                <w:b/>
              </w:rPr>
            </w:pPr>
            <w:r w:rsidRPr="0023655F">
              <w:rPr>
                <w:b/>
              </w:rPr>
              <w:t xml:space="preserve">UNDP </w:t>
            </w:r>
          </w:p>
        </w:tc>
        <w:tc>
          <w:tcPr>
            <w:tcW w:w="1275" w:type="dxa"/>
            <w:shd w:val="clear" w:color="auto" w:fill="auto"/>
            <w:vAlign w:val="center"/>
          </w:tcPr>
          <w:p w:rsidR="000E4090" w:rsidRPr="0023655F" w:rsidRDefault="006073D7" w:rsidP="00AE7C50">
            <w:pPr>
              <w:jc w:val="center"/>
              <w:rPr>
                <w:color w:val="000000"/>
              </w:rPr>
            </w:pPr>
            <w:r w:rsidRPr="0023655F">
              <w:rPr>
                <w:color w:val="000000"/>
              </w:rPr>
              <w:t>1</w:t>
            </w:r>
          </w:p>
        </w:tc>
        <w:tc>
          <w:tcPr>
            <w:tcW w:w="1276" w:type="dxa"/>
            <w:vAlign w:val="center"/>
          </w:tcPr>
          <w:p w:rsidR="000E4090" w:rsidRPr="0023655F" w:rsidRDefault="006073D7" w:rsidP="00AE7C50">
            <w:pPr>
              <w:jc w:val="center"/>
              <w:rPr>
                <w:color w:val="000000"/>
              </w:rPr>
            </w:pPr>
            <w:r w:rsidRPr="0023655F">
              <w:rPr>
                <w:color w:val="000000"/>
              </w:rPr>
              <w:t>15%</w:t>
            </w:r>
          </w:p>
        </w:tc>
        <w:tc>
          <w:tcPr>
            <w:tcW w:w="1276" w:type="dxa"/>
            <w:vAlign w:val="center"/>
          </w:tcPr>
          <w:p w:rsidR="000E4090" w:rsidRPr="0023655F" w:rsidRDefault="006073D7" w:rsidP="00AE7C50">
            <w:pPr>
              <w:jc w:val="center"/>
              <w:rPr>
                <w:color w:val="000000"/>
              </w:rPr>
            </w:pPr>
            <w:r w:rsidRPr="0023655F">
              <w:rPr>
                <w:color w:val="000000"/>
              </w:rPr>
              <w:t>1</w:t>
            </w:r>
          </w:p>
        </w:tc>
        <w:tc>
          <w:tcPr>
            <w:tcW w:w="992" w:type="dxa"/>
            <w:vAlign w:val="center"/>
          </w:tcPr>
          <w:p w:rsidR="000E4090" w:rsidRPr="0023655F" w:rsidRDefault="006073D7" w:rsidP="00AE7C50">
            <w:pPr>
              <w:jc w:val="center"/>
              <w:rPr>
                <w:color w:val="000000"/>
              </w:rPr>
            </w:pPr>
            <w:r w:rsidRPr="0023655F">
              <w:rPr>
                <w:color w:val="000000"/>
              </w:rPr>
              <w:t>25%</w:t>
            </w:r>
          </w:p>
        </w:tc>
        <w:tc>
          <w:tcPr>
            <w:tcW w:w="851" w:type="dxa"/>
            <w:vAlign w:val="center"/>
          </w:tcPr>
          <w:p w:rsidR="000E4090" w:rsidRPr="0023655F" w:rsidRDefault="006073D7" w:rsidP="00AE7C50">
            <w:pPr>
              <w:jc w:val="center"/>
              <w:rPr>
                <w:color w:val="000000"/>
              </w:rPr>
            </w:pPr>
            <w:r w:rsidRPr="0023655F">
              <w:rPr>
                <w:color w:val="000000"/>
              </w:rPr>
              <w:t>0</w:t>
            </w:r>
          </w:p>
        </w:tc>
        <w:tc>
          <w:tcPr>
            <w:tcW w:w="1275" w:type="dxa"/>
            <w:shd w:val="clear" w:color="auto" w:fill="auto"/>
            <w:vAlign w:val="center"/>
          </w:tcPr>
          <w:p w:rsidR="000E4090" w:rsidRPr="0023655F" w:rsidRDefault="006073D7" w:rsidP="00AE7C50">
            <w:pPr>
              <w:jc w:val="center"/>
              <w:rPr>
                <w:color w:val="000000"/>
              </w:rPr>
            </w:pPr>
            <w:r w:rsidRPr="0023655F">
              <w:rPr>
                <w:color w:val="000000"/>
              </w:rPr>
              <w:t>0</w:t>
            </w:r>
          </w:p>
        </w:tc>
      </w:tr>
      <w:tr w:rsidR="000E4090" w:rsidRPr="0023655F" w:rsidTr="00DB118D">
        <w:trPr>
          <w:trHeight w:val="386"/>
        </w:trPr>
        <w:tc>
          <w:tcPr>
            <w:tcW w:w="1701" w:type="dxa"/>
            <w:shd w:val="clear" w:color="auto" w:fill="auto"/>
          </w:tcPr>
          <w:p w:rsidR="000E4090" w:rsidRPr="0023655F" w:rsidRDefault="00737C18" w:rsidP="00AE7C50">
            <w:pPr>
              <w:rPr>
                <w:b/>
              </w:rPr>
            </w:pPr>
            <w:r w:rsidRPr="0023655F">
              <w:rPr>
                <w:b/>
              </w:rPr>
              <w:t>HCDH</w:t>
            </w:r>
          </w:p>
        </w:tc>
        <w:tc>
          <w:tcPr>
            <w:tcW w:w="1275" w:type="dxa"/>
            <w:shd w:val="clear" w:color="auto" w:fill="auto"/>
            <w:vAlign w:val="center"/>
          </w:tcPr>
          <w:p w:rsidR="000E4090" w:rsidRPr="0023655F" w:rsidRDefault="00DB118D" w:rsidP="00AE7C50">
            <w:pPr>
              <w:jc w:val="center"/>
              <w:rPr>
                <w:color w:val="000000"/>
              </w:rPr>
            </w:pPr>
            <w:r w:rsidRPr="0023655F">
              <w:rPr>
                <w:color w:val="000000"/>
              </w:rPr>
              <w:t>4</w:t>
            </w:r>
          </w:p>
        </w:tc>
        <w:tc>
          <w:tcPr>
            <w:tcW w:w="1276" w:type="dxa"/>
            <w:vAlign w:val="center"/>
          </w:tcPr>
          <w:p w:rsidR="000E4090" w:rsidRPr="0023655F" w:rsidRDefault="00DB118D" w:rsidP="00AE7C50">
            <w:pPr>
              <w:jc w:val="center"/>
              <w:rPr>
                <w:color w:val="000000"/>
              </w:rPr>
            </w:pPr>
            <w:r w:rsidRPr="0023655F">
              <w:rPr>
                <w:color w:val="000000"/>
              </w:rPr>
              <w:t>70%</w:t>
            </w:r>
          </w:p>
        </w:tc>
        <w:tc>
          <w:tcPr>
            <w:tcW w:w="1276" w:type="dxa"/>
            <w:vAlign w:val="center"/>
          </w:tcPr>
          <w:p w:rsidR="000E4090" w:rsidRPr="0023655F" w:rsidRDefault="00DB118D" w:rsidP="00AE7C50">
            <w:pPr>
              <w:jc w:val="center"/>
              <w:rPr>
                <w:color w:val="000000"/>
              </w:rPr>
            </w:pPr>
            <w:r w:rsidRPr="0023655F">
              <w:rPr>
                <w:color w:val="000000"/>
              </w:rPr>
              <w:t>2</w:t>
            </w:r>
          </w:p>
        </w:tc>
        <w:tc>
          <w:tcPr>
            <w:tcW w:w="992" w:type="dxa"/>
            <w:vAlign w:val="center"/>
          </w:tcPr>
          <w:p w:rsidR="000E4090" w:rsidRPr="0023655F" w:rsidRDefault="00DB118D" w:rsidP="00AE7C50">
            <w:pPr>
              <w:jc w:val="center"/>
              <w:rPr>
                <w:color w:val="000000"/>
              </w:rPr>
            </w:pPr>
            <w:r w:rsidRPr="0023655F">
              <w:rPr>
                <w:color w:val="000000"/>
              </w:rPr>
              <w:t>60%</w:t>
            </w:r>
          </w:p>
        </w:tc>
        <w:tc>
          <w:tcPr>
            <w:tcW w:w="851" w:type="dxa"/>
            <w:vAlign w:val="center"/>
          </w:tcPr>
          <w:p w:rsidR="000E4090" w:rsidRPr="0023655F" w:rsidRDefault="00DB118D" w:rsidP="00AE7C50">
            <w:pPr>
              <w:jc w:val="center"/>
              <w:rPr>
                <w:color w:val="000000"/>
              </w:rPr>
            </w:pPr>
            <w:r w:rsidRPr="0023655F">
              <w:rPr>
                <w:color w:val="000000"/>
              </w:rPr>
              <w:t>3</w:t>
            </w:r>
          </w:p>
          <w:p w:rsidR="00DB118D" w:rsidRPr="0023655F" w:rsidRDefault="00DB118D" w:rsidP="00AE7C50">
            <w:pPr>
              <w:jc w:val="center"/>
              <w:rPr>
                <w:color w:val="000000"/>
              </w:rPr>
            </w:pPr>
            <w:r w:rsidRPr="0023655F">
              <w:rPr>
                <w:color w:val="000000"/>
              </w:rPr>
              <w:t>3</w:t>
            </w:r>
          </w:p>
        </w:tc>
        <w:tc>
          <w:tcPr>
            <w:tcW w:w="1275" w:type="dxa"/>
            <w:shd w:val="clear" w:color="auto" w:fill="auto"/>
            <w:vAlign w:val="center"/>
          </w:tcPr>
          <w:p w:rsidR="000E4090" w:rsidRPr="0023655F" w:rsidRDefault="00DB118D" w:rsidP="00DB118D">
            <w:pPr>
              <w:jc w:val="center"/>
              <w:rPr>
                <w:color w:val="000000"/>
              </w:rPr>
            </w:pPr>
            <w:r w:rsidRPr="0023655F">
              <w:rPr>
                <w:color w:val="000000"/>
              </w:rPr>
              <w:t>100%</w:t>
            </w:r>
          </w:p>
          <w:p w:rsidR="00DB118D" w:rsidRPr="0023655F" w:rsidRDefault="00DB118D" w:rsidP="00DB118D">
            <w:pPr>
              <w:jc w:val="center"/>
              <w:rPr>
                <w:color w:val="000000"/>
              </w:rPr>
            </w:pPr>
            <w:r w:rsidRPr="0023655F">
              <w:rPr>
                <w:color w:val="000000"/>
              </w:rPr>
              <w:t>90%</w:t>
            </w:r>
          </w:p>
        </w:tc>
      </w:tr>
      <w:tr w:rsidR="000E4090" w:rsidRPr="0023655F" w:rsidTr="00DB118D">
        <w:trPr>
          <w:trHeight w:val="386"/>
        </w:trPr>
        <w:tc>
          <w:tcPr>
            <w:tcW w:w="1701" w:type="dxa"/>
            <w:shd w:val="clear" w:color="auto" w:fill="auto"/>
          </w:tcPr>
          <w:p w:rsidR="000E4090" w:rsidRPr="0023655F" w:rsidRDefault="00737C18" w:rsidP="00AE7C50">
            <w:pPr>
              <w:rPr>
                <w:b/>
              </w:rPr>
            </w:pPr>
            <w:r w:rsidRPr="0023655F">
              <w:rPr>
                <w:b/>
              </w:rPr>
              <w:t>UNESCO</w:t>
            </w:r>
          </w:p>
        </w:tc>
        <w:tc>
          <w:tcPr>
            <w:tcW w:w="1275" w:type="dxa"/>
            <w:tcBorders>
              <w:bottom w:val="single" w:sz="4" w:space="0" w:color="000000"/>
            </w:tcBorders>
            <w:shd w:val="clear" w:color="auto" w:fill="auto"/>
            <w:vAlign w:val="center"/>
          </w:tcPr>
          <w:p w:rsidR="000E4090" w:rsidRPr="0023655F" w:rsidRDefault="00734DE6" w:rsidP="00AE7C50">
            <w:pPr>
              <w:jc w:val="center"/>
              <w:rPr>
                <w:color w:val="000000"/>
              </w:rPr>
            </w:pPr>
            <w:r w:rsidRPr="0023655F">
              <w:rPr>
                <w:color w:val="000000"/>
              </w:rPr>
              <w:t>0</w:t>
            </w:r>
          </w:p>
        </w:tc>
        <w:tc>
          <w:tcPr>
            <w:tcW w:w="1276" w:type="dxa"/>
            <w:tcBorders>
              <w:bottom w:val="single" w:sz="4" w:space="0" w:color="000000"/>
            </w:tcBorders>
            <w:vAlign w:val="center"/>
          </w:tcPr>
          <w:p w:rsidR="000E4090" w:rsidRPr="0023655F" w:rsidRDefault="00734DE6" w:rsidP="00AE7C50">
            <w:pPr>
              <w:jc w:val="center"/>
              <w:rPr>
                <w:color w:val="000000"/>
              </w:rPr>
            </w:pPr>
            <w:r w:rsidRPr="0023655F">
              <w:rPr>
                <w:color w:val="000000"/>
              </w:rPr>
              <w:t>0</w:t>
            </w:r>
          </w:p>
        </w:tc>
        <w:tc>
          <w:tcPr>
            <w:tcW w:w="1276" w:type="dxa"/>
            <w:tcBorders>
              <w:bottom w:val="single" w:sz="4" w:space="0" w:color="000000"/>
            </w:tcBorders>
            <w:vAlign w:val="center"/>
          </w:tcPr>
          <w:p w:rsidR="000E4090" w:rsidRPr="0023655F" w:rsidRDefault="00734DE6" w:rsidP="00AE7C50">
            <w:pPr>
              <w:jc w:val="center"/>
              <w:rPr>
                <w:color w:val="000000"/>
              </w:rPr>
            </w:pPr>
            <w:r w:rsidRPr="0023655F">
              <w:rPr>
                <w:color w:val="000000"/>
              </w:rPr>
              <w:t>0</w:t>
            </w:r>
          </w:p>
        </w:tc>
        <w:tc>
          <w:tcPr>
            <w:tcW w:w="992" w:type="dxa"/>
            <w:tcBorders>
              <w:bottom w:val="single" w:sz="4" w:space="0" w:color="000000"/>
            </w:tcBorders>
            <w:vAlign w:val="center"/>
          </w:tcPr>
          <w:p w:rsidR="000E4090" w:rsidRPr="0023655F" w:rsidRDefault="00734DE6" w:rsidP="00AE7C50">
            <w:pPr>
              <w:jc w:val="center"/>
              <w:rPr>
                <w:color w:val="000000"/>
              </w:rPr>
            </w:pPr>
            <w:r w:rsidRPr="0023655F">
              <w:rPr>
                <w:color w:val="000000"/>
              </w:rPr>
              <w:t>0</w:t>
            </w:r>
          </w:p>
        </w:tc>
        <w:tc>
          <w:tcPr>
            <w:tcW w:w="851" w:type="dxa"/>
            <w:tcBorders>
              <w:bottom w:val="single" w:sz="4" w:space="0" w:color="000000"/>
            </w:tcBorders>
            <w:vAlign w:val="center"/>
          </w:tcPr>
          <w:p w:rsidR="000E4090" w:rsidRPr="0023655F" w:rsidRDefault="00734DE6" w:rsidP="00AE7C50">
            <w:pPr>
              <w:jc w:val="center"/>
              <w:rPr>
                <w:color w:val="000000"/>
              </w:rPr>
            </w:pPr>
            <w:r w:rsidRPr="0023655F">
              <w:rPr>
                <w:color w:val="000000"/>
              </w:rPr>
              <w:t>0</w:t>
            </w:r>
          </w:p>
        </w:tc>
        <w:tc>
          <w:tcPr>
            <w:tcW w:w="1275" w:type="dxa"/>
            <w:tcBorders>
              <w:bottom w:val="single" w:sz="4" w:space="0" w:color="000000"/>
            </w:tcBorders>
            <w:shd w:val="clear" w:color="auto" w:fill="auto"/>
            <w:vAlign w:val="center"/>
          </w:tcPr>
          <w:p w:rsidR="000E4090" w:rsidRPr="0023655F" w:rsidRDefault="00734DE6" w:rsidP="00AE7C50">
            <w:pPr>
              <w:jc w:val="center"/>
              <w:rPr>
                <w:color w:val="000000"/>
              </w:rPr>
            </w:pPr>
            <w:r w:rsidRPr="0023655F">
              <w:rPr>
                <w:color w:val="000000"/>
              </w:rPr>
              <w:t>0</w:t>
            </w:r>
          </w:p>
        </w:tc>
      </w:tr>
      <w:tr w:rsidR="000E4090" w:rsidRPr="0023655F" w:rsidTr="00DB118D">
        <w:trPr>
          <w:trHeight w:val="386"/>
        </w:trPr>
        <w:tc>
          <w:tcPr>
            <w:tcW w:w="1701" w:type="dxa"/>
            <w:shd w:val="clear" w:color="auto" w:fill="auto"/>
          </w:tcPr>
          <w:p w:rsidR="000E4090" w:rsidRPr="0023655F" w:rsidRDefault="000E4090" w:rsidP="00AE7C50">
            <w:pPr>
              <w:rPr>
                <w:b/>
              </w:rPr>
            </w:pPr>
            <w:r w:rsidRPr="0023655F">
              <w:rPr>
                <w:b/>
              </w:rPr>
              <w:t xml:space="preserve">BCR </w:t>
            </w:r>
          </w:p>
        </w:tc>
        <w:tc>
          <w:tcPr>
            <w:tcW w:w="1275" w:type="dxa"/>
            <w:tcBorders>
              <w:bottom w:val="single" w:sz="4" w:space="0" w:color="000000"/>
            </w:tcBorders>
            <w:shd w:val="clear" w:color="auto" w:fill="auto"/>
            <w:vAlign w:val="center"/>
          </w:tcPr>
          <w:p w:rsidR="000E4090" w:rsidRPr="0023655F" w:rsidRDefault="000E4090" w:rsidP="00AE7C50">
            <w:pPr>
              <w:jc w:val="center"/>
              <w:rPr>
                <w:color w:val="000000"/>
              </w:rPr>
            </w:pPr>
          </w:p>
        </w:tc>
        <w:tc>
          <w:tcPr>
            <w:tcW w:w="1276" w:type="dxa"/>
            <w:tcBorders>
              <w:bottom w:val="single" w:sz="4" w:space="0" w:color="000000"/>
            </w:tcBorders>
            <w:vAlign w:val="center"/>
          </w:tcPr>
          <w:p w:rsidR="000E4090" w:rsidRPr="0023655F" w:rsidRDefault="000E4090" w:rsidP="00AE7C50">
            <w:pPr>
              <w:jc w:val="center"/>
              <w:rPr>
                <w:color w:val="000000"/>
              </w:rPr>
            </w:pPr>
          </w:p>
        </w:tc>
        <w:tc>
          <w:tcPr>
            <w:tcW w:w="1276" w:type="dxa"/>
            <w:tcBorders>
              <w:bottom w:val="single" w:sz="4" w:space="0" w:color="000000"/>
            </w:tcBorders>
            <w:vAlign w:val="center"/>
          </w:tcPr>
          <w:p w:rsidR="000E4090" w:rsidRPr="0023655F" w:rsidRDefault="000E4090" w:rsidP="00AE7C50">
            <w:pPr>
              <w:jc w:val="center"/>
              <w:rPr>
                <w:color w:val="000000"/>
              </w:rPr>
            </w:pPr>
          </w:p>
        </w:tc>
        <w:tc>
          <w:tcPr>
            <w:tcW w:w="992" w:type="dxa"/>
            <w:tcBorders>
              <w:bottom w:val="single" w:sz="4" w:space="0" w:color="000000"/>
            </w:tcBorders>
            <w:vAlign w:val="center"/>
          </w:tcPr>
          <w:p w:rsidR="000E4090" w:rsidRPr="0023655F" w:rsidRDefault="000E4090" w:rsidP="00AE7C50">
            <w:pPr>
              <w:jc w:val="center"/>
              <w:rPr>
                <w:color w:val="000000"/>
              </w:rPr>
            </w:pPr>
          </w:p>
        </w:tc>
        <w:tc>
          <w:tcPr>
            <w:tcW w:w="851" w:type="dxa"/>
            <w:tcBorders>
              <w:bottom w:val="single" w:sz="4" w:space="0" w:color="000000"/>
            </w:tcBorders>
            <w:vAlign w:val="center"/>
          </w:tcPr>
          <w:p w:rsidR="000E4090" w:rsidRPr="0023655F" w:rsidRDefault="006073D7" w:rsidP="00AE7C50">
            <w:pPr>
              <w:jc w:val="center"/>
              <w:rPr>
                <w:color w:val="000000"/>
              </w:rPr>
            </w:pPr>
            <w:r w:rsidRPr="0023655F">
              <w:rPr>
                <w:color w:val="000000"/>
              </w:rPr>
              <w:t>1</w:t>
            </w:r>
          </w:p>
        </w:tc>
        <w:tc>
          <w:tcPr>
            <w:tcW w:w="1275" w:type="dxa"/>
            <w:tcBorders>
              <w:bottom w:val="single" w:sz="4" w:space="0" w:color="000000"/>
            </w:tcBorders>
            <w:shd w:val="clear" w:color="auto" w:fill="auto"/>
            <w:vAlign w:val="center"/>
          </w:tcPr>
          <w:p w:rsidR="000E4090" w:rsidRPr="0023655F" w:rsidRDefault="00DB118D" w:rsidP="00AE7C50">
            <w:pPr>
              <w:jc w:val="center"/>
              <w:rPr>
                <w:color w:val="000000"/>
              </w:rPr>
            </w:pPr>
            <w:r w:rsidRPr="0023655F">
              <w:rPr>
                <w:color w:val="000000"/>
              </w:rPr>
              <w:t>90</w:t>
            </w:r>
            <w:r w:rsidR="006073D7" w:rsidRPr="0023655F">
              <w:rPr>
                <w:color w:val="000000"/>
              </w:rPr>
              <w:t>%</w:t>
            </w:r>
          </w:p>
        </w:tc>
      </w:tr>
      <w:tr w:rsidR="00DB118D" w:rsidRPr="0023655F" w:rsidTr="00DB118D">
        <w:trPr>
          <w:trHeight w:val="386"/>
        </w:trPr>
        <w:tc>
          <w:tcPr>
            <w:tcW w:w="1701" w:type="dxa"/>
            <w:shd w:val="clear" w:color="auto" w:fill="auto"/>
          </w:tcPr>
          <w:p w:rsidR="000E4090" w:rsidRPr="0023655F" w:rsidRDefault="000E4090" w:rsidP="00AE7C50">
            <w:pPr>
              <w:jc w:val="right"/>
              <w:rPr>
                <w:b/>
              </w:rPr>
            </w:pPr>
            <w:r w:rsidRPr="0023655F">
              <w:rPr>
                <w:b/>
              </w:rPr>
              <w:t>TOTAL</w:t>
            </w:r>
          </w:p>
        </w:tc>
        <w:tc>
          <w:tcPr>
            <w:tcW w:w="1275" w:type="dxa"/>
            <w:shd w:val="clear" w:color="auto" w:fill="FABF8F"/>
            <w:vAlign w:val="center"/>
          </w:tcPr>
          <w:p w:rsidR="000E4090" w:rsidRPr="0023655F" w:rsidRDefault="00DB118D" w:rsidP="00AE7C50">
            <w:pPr>
              <w:jc w:val="center"/>
              <w:rPr>
                <w:b/>
                <w:bCs/>
                <w:i/>
                <w:iCs/>
                <w:color w:val="000000"/>
              </w:rPr>
            </w:pPr>
            <w:r w:rsidRPr="0023655F">
              <w:rPr>
                <w:b/>
                <w:bCs/>
                <w:i/>
                <w:iCs/>
                <w:color w:val="000000"/>
              </w:rPr>
              <w:t>5</w:t>
            </w:r>
          </w:p>
        </w:tc>
        <w:tc>
          <w:tcPr>
            <w:tcW w:w="1276" w:type="dxa"/>
            <w:shd w:val="clear" w:color="auto" w:fill="FABF8F"/>
            <w:vAlign w:val="center"/>
          </w:tcPr>
          <w:p w:rsidR="000E4090" w:rsidRPr="0023655F" w:rsidRDefault="000E4090" w:rsidP="00AE7C50">
            <w:pPr>
              <w:jc w:val="center"/>
              <w:rPr>
                <w:b/>
                <w:bCs/>
                <w:i/>
                <w:iCs/>
                <w:color w:val="000000"/>
              </w:rPr>
            </w:pPr>
          </w:p>
        </w:tc>
        <w:tc>
          <w:tcPr>
            <w:tcW w:w="1276" w:type="dxa"/>
            <w:shd w:val="clear" w:color="auto" w:fill="FABF8F"/>
            <w:vAlign w:val="center"/>
          </w:tcPr>
          <w:p w:rsidR="000E4090" w:rsidRPr="0023655F" w:rsidRDefault="00DB118D" w:rsidP="00AE7C50">
            <w:pPr>
              <w:jc w:val="center"/>
              <w:rPr>
                <w:b/>
                <w:bCs/>
                <w:i/>
                <w:iCs/>
                <w:color w:val="000000"/>
              </w:rPr>
            </w:pPr>
            <w:r w:rsidRPr="0023655F">
              <w:rPr>
                <w:b/>
                <w:bCs/>
                <w:i/>
                <w:iCs/>
                <w:color w:val="000000"/>
              </w:rPr>
              <w:t>3</w:t>
            </w:r>
          </w:p>
        </w:tc>
        <w:tc>
          <w:tcPr>
            <w:tcW w:w="992" w:type="dxa"/>
            <w:shd w:val="clear" w:color="auto" w:fill="FABF8F"/>
            <w:vAlign w:val="center"/>
          </w:tcPr>
          <w:p w:rsidR="000E4090" w:rsidRPr="0023655F" w:rsidRDefault="000E4090" w:rsidP="00AE7C50">
            <w:pPr>
              <w:jc w:val="center"/>
              <w:rPr>
                <w:b/>
                <w:bCs/>
                <w:i/>
                <w:iCs/>
                <w:color w:val="000000"/>
              </w:rPr>
            </w:pPr>
          </w:p>
        </w:tc>
        <w:tc>
          <w:tcPr>
            <w:tcW w:w="851" w:type="dxa"/>
            <w:shd w:val="clear" w:color="auto" w:fill="FABF8F"/>
            <w:vAlign w:val="center"/>
          </w:tcPr>
          <w:p w:rsidR="000E4090" w:rsidRPr="0023655F" w:rsidRDefault="00DB118D" w:rsidP="00AE7C50">
            <w:pPr>
              <w:jc w:val="center"/>
              <w:rPr>
                <w:b/>
                <w:bCs/>
                <w:i/>
                <w:iCs/>
                <w:color w:val="000000"/>
              </w:rPr>
            </w:pPr>
            <w:r w:rsidRPr="0023655F">
              <w:rPr>
                <w:b/>
                <w:bCs/>
                <w:i/>
                <w:iCs/>
                <w:color w:val="000000"/>
              </w:rPr>
              <w:t>7</w:t>
            </w:r>
          </w:p>
        </w:tc>
        <w:tc>
          <w:tcPr>
            <w:tcW w:w="1275" w:type="dxa"/>
            <w:shd w:val="clear" w:color="auto" w:fill="FABF8F"/>
            <w:vAlign w:val="center"/>
          </w:tcPr>
          <w:p w:rsidR="000E4090" w:rsidRPr="0023655F" w:rsidRDefault="000E4090" w:rsidP="00AE7C50">
            <w:pPr>
              <w:jc w:val="center"/>
              <w:rPr>
                <w:b/>
                <w:bCs/>
                <w:i/>
                <w:iCs/>
                <w:color w:val="000000"/>
              </w:rPr>
            </w:pPr>
          </w:p>
        </w:tc>
      </w:tr>
    </w:tbl>
    <w:p w:rsidR="00264361" w:rsidRPr="0023655F" w:rsidRDefault="00264361">
      <w:pPr>
        <w:rPr>
          <w:b/>
        </w:rPr>
      </w:pPr>
    </w:p>
    <w:sectPr w:rsidR="00264361" w:rsidRPr="0023655F" w:rsidSect="005252C6">
      <w:headerReference w:type="even" r:id="rId16"/>
      <w:headerReference w:type="default" r:id="rId1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D81" w:rsidRDefault="00130D81">
      <w:r>
        <w:separator/>
      </w:r>
    </w:p>
  </w:endnote>
  <w:endnote w:type="continuationSeparator" w:id="0">
    <w:p w:rsidR="00130D81" w:rsidRDefault="0013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2E" w:rsidRDefault="00C5332E" w:rsidP="00E61876">
    <w:pPr>
      <w:pStyle w:val="Footer"/>
      <w:pBdr>
        <w:top w:val="single" w:sz="4" w:space="1" w:color="auto"/>
      </w:pBdr>
      <w:tabs>
        <w:tab w:val="clear" w:pos="4320"/>
        <w:tab w:val="clear" w:pos="8640"/>
        <w:tab w:val="center" w:pos="4500"/>
        <w:tab w:val="right" w:pos="9000"/>
      </w:tabs>
      <w:jc w:val="right"/>
      <w:rPr>
        <w:rFonts w:ascii="Arial" w:hAnsi="Arial" w:cs="Arial"/>
        <w:sz w:val="18"/>
        <w:szCs w:val="18"/>
      </w:rPr>
    </w:pPr>
    <w:r>
      <w:rPr>
        <w:rFonts w:ascii="Arial" w:hAnsi="Arial" w:cs="Arial"/>
        <w:sz w:val="18"/>
        <w:szCs w:val="18"/>
      </w:rPr>
      <w:t xml:space="preserve">Page </w:t>
    </w:r>
    <w:r w:rsidR="00136B76">
      <w:rPr>
        <w:rFonts w:ascii="Arial" w:hAnsi="Arial" w:cs="Arial"/>
        <w:sz w:val="18"/>
        <w:szCs w:val="18"/>
      </w:rPr>
      <w:fldChar w:fldCharType="begin"/>
    </w:r>
    <w:r>
      <w:rPr>
        <w:rFonts w:ascii="Arial" w:hAnsi="Arial" w:cs="Arial"/>
        <w:sz w:val="18"/>
        <w:szCs w:val="18"/>
      </w:rPr>
      <w:instrText xml:space="preserve"> PAGE   \* MERGEFORMAT </w:instrText>
    </w:r>
    <w:r w:rsidR="00136B76">
      <w:rPr>
        <w:rFonts w:ascii="Arial" w:hAnsi="Arial" w:cs="Arial"/>
        <w:sz w:val="18"/>
        <w:szCs w:val="18"/>
      </w:rPr>
      <w:fldChar w:fldCharType="separate"/>
    </w:r>
    <w:r w:rsidR="0061203B">
      <w:rPr>
        <w:rFonts w:ascii="Arial" w:hAnsi="Arial" w:cs="Arial"/>
        <w:noProof/>
        <w:sz w:val="18"/>
        <w:szCs w:val="18"/>
      </w:rPr>
      <w:t>1</w:t>
    </w:r>
    <w:r w:rsidR="00136B76">
      <w:rPr>
        <w:rFonts w:ascii="Arial" w:hAnsi="Arial" w:cs="Arial"/>
        <w:sz w:val="18"/>
        <w:szCs w:val="18"/>
      </w:rPr>
      <w:fldChar w:fldCharType="end"/>
    </w:r>
    <w:r>
      <w:rPr>
        <w:rFonts w:ascii="Arial" w:hAnsi="Arial" w:cs="Arial"/>
        <w:sz w:val="18"/>
        <w:szCs w:val="18"/>
      </w:rPr>
      <w:t xml:space="preserve"> de </w:t>
    </w:r>
    <w:fldSimple w:instr=" NUMPAGES   \* MERGEFORMAT ">
      <w:r w:rsidR="0061203B" w:rsidRPr="0061203B">
        <w:rPr>
          <w:rFonts w:ascii="Arial" w:hAnsi="Arial" w:cs="Arial"/>
          <w:noProof/>
          <w:sz w:val="18"/>
          <w:szCs w:val="18"/>
        </w:rPr>
        <w:t>13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2E" w:rsidRPr="004D18B1" w:rsidRDefault="00C5332E">
    <w:pPr>
      <w:pStyle w:val="Footer"/>
      <w:pBdr>
        <w:top w:val="single" w:sz="4" w:space="1" w:color="auto"/>
      </w:pBdr>
      <w:tabs>
        <w:tab w:val="clear" w:pos="4320"/>
        <w:tab w:val="clear" w:pos="8640"/>
        <w:tab w:val="center" w:pos="4500"/>
        <w:tab w:val="right" w:pos="9000"/>
      </w:tabs>
      <w:rPr>
        <w:rFonts w:ascii="Arial" w:hAnsi="Arial" w:cs="Arial"/>
        <w:sz w:val="18"/>
        <w:szCs w:val="18"/>
        <w:lang w:val="en-GB"/>
      </w:rPr>
    </w:pPr>
    <w:r w:rsidRPr="004D18B1">
      <w:rPr>
        <w:rFonts w:ascii="Arial" w:hAnsi="Arial" w:cs="Arial"/>
        <w:sz w:val="18"/>
        <w:szCs w:val="18"/>
        <w:lang w:val="en-GB"/>
      </w:rPr>
      <w:t>Sixth Six-Month Progress Report</w:t>
    </w:r>
    <w:r w:rsidRPr="004D18B1">
      <w:rPr>
        <w:rFonts w:ascii="Arial" w:hAnsi="Arial" w:cs="Arial"/>
        <w:sz w:val="18"/>
        <w:szCs w:val="18"/>
        <w:lang w:val="en-GB"/>
      </w:rPr>
      <w:tab/>
      <w:t>1 January – 30 June 2007</w:t>
    </w:r>
    <w:r w:rsidRPr="004D18B1">
      <w:rPr>
        <w:rFonts w:ascii="Arial" w:hAnsi="Arial" w:cs="Arial"/>
        <w:sz w:val="18"/>
        <w:szCs w:val="18"/>
        <w:lang w:val="en-GB"/>
      </w:rPr>
      <w:tab/>
      <w:t xml:space="preserve">Page </w:t>
    </w:r>
    <w:r w:rsidR="00136B76" w:rsidRPr="004D18B1">
      <w:rPr>
        <w:rFonts w:ascii="Arial" w:hAnsi="Arial" w:cs="Arial"/>
        <w:sz w:val="18"/>
        <w:szCs w:val="18"/>
        <w:lang w:val="en-GB"/>
      </w:rPr>
      <w:fldChar w:fldCharType="begin"/>
    </w:r>
    <w:r w:rsidRPr="004D18B1">
      <w:rPr>
        <w:rFonts w:ascii="Arial" w:hAnsi="Arial" w:cs="Arial"/>
        <w:sz w:val="18"/>
        <w:szCs w:val="18"/>
        <w:lang w:val="en-GB"/>
      </w:rPr>
      <w:instrText xml:space="preserve"> PAGE   \* MERGEFORMAT </w:instrText>
    </w:r>
    <w:r w:rsidR="00136B76" w:rsidRPr="004D18B1">
      <w:rPr>
        <w:rFonts w:ascii="Arial" w:hAnsi="Arial" w:cs="Arial"/>
        <w:sz w:val="18"/>
        <w:szCs w:val="18"/>
        <w:lang w:val="en-GB"/>
      </w:rPr>
      <w:fldChar w:fldCharType="separate"/>
    </w:r>
    <w:r w:rsidRPr="004D18B1">
      <w:rPr>
        <w:rFonts w:ascii="Arial" w:hAnsi="Arial" w:cs="Arial"/>
        <w:noProof/>
        <w:sz w:val="18"/>
        <w:szCs w:val="18"/>
        <w:lang w:val="en-GB"/>
      </w:rPr>
      <w:t>5</w:t>
    </w:r>
    <w:r w:rsidR="00136B76" w:rsidRPr="004D18B1">
      <w:rPr>
        <w:rFonts w:ascii="Arial" w:hAnsi="Arial" w:cs="Arial"/>
        <w:sz w:val="18"/>
        <w:szCs w:val="18"/>
        <w:lang w:val="en-GB"/>
      </w:rPr>
      <w:fldChar w:fldCharType="end"/>
    </w:r>
    <w:r w:rsidRPr="004D18B1">
      <w:rPr>
        <w:rFonts w:ascii="Arial" w:hAnsi="Arial" w:cs="Arial"/>
        <w:sz w:val="18"/>
        <w:szCs w:val="18"/>
        <w:lang w:val="en-GB"/>
      </w:rPr>
      <w:t xml:space="preserve"> of </w:t>
    </w:r>
    <w:r w:rsidR="007249F3">
      <w:fldChar w:fldCharType="begin"/>
    </w:r>
    <w:r w:rsidR="007249F3" w:rsidRPr="00275324">
      <w:rPr>
        <w:lang w:val="en-US"/>
      </w:rPr>
      <w:instrText xml:space="preserve"> NUMPAGES   \* MERGEFORMAT </w:instrText>
    </w:r>
    <w:r w:rsidR="007249F3">
      <w:fldChar w:fldCharType="separate"/>
    </w:r>
    <w:r w:rsidRPr="004D18B1">
      <w:rPr>
        <w:rFonts w:ascii="Arial" w:hAnsi="Arial" w:cs="Arial"/>
        <w:noProof/>
        <w:sz w:val="18"/>
        <w:szCs w:val="18"/>
        <w:lang w:val="en-GB"/>
      </w:rPr>
      <w:t>6</w:t>
    </w:r>
    <w:r w:rsidR="007249F3">
      <w:rPr>
        <w:rFonts w:ascii="Arial" w:hAnsi="Arial" w:cs="Arial"/>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D81" w:rsidRDefault="00130D81">
      <w:r>
        <w:separator/>
      </w:r>
    </w:p>
  </w:footnote>
  <w:footnote w:type="continuationSeparator" w:id="0">
    <w:p w:rsidR="00130D81" w:rsidRDefault="0013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2E" w:rsidRDefault="00136B76" w:rsidP="00595EB4">
    <w:pPr>
      <w:pStyle w:val="Header"/>
      <w:framePr w:wrap="around" w:vAnchor="text" w:hAnchor="margin" w:xAlign="center" w:y="1"/>
      <w:rPr>
        <w:rStyle w:val="PageNumber"/>
      </w:rPr>
    </w:pPr>
    <w:r>
      <w:rPr>
        <w:rStyle w:val="PageNumber"/>
      </w:rPr>
      <w:fldChar w:fldCharType="begin"/>
    </w:r>
    <w:r w:rsidR="00C5332E">
      <w:rPr>
        <w:rStyle w:val="PageNumber"/>
      </w:rPr>
      <w:instrText xml:space="preserve">PAGE  </w:instrText>
    </w:r>
    <w:r>
      <w:rPr>
        <w:rStyle w:val="PageNumber"/>
      </w:rPr>
      <w:fldChar w:fldCharType="end"/>
    </w:r>
  </w:p>
  <w:p w:rsidR="00C5332E" w:rsidRDefault="00C53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2E" w:rsidRDefault="00C533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570"/>
    <w:multiLevelType w:val="hybridMultilevel"/>
    <w:tmpl w:val="012092BC"/>
    <w:lvl w:ilvl="0" w:tplc="A0624842">
      <w:start w:val="1"/>
      <w:numFmt w:val="upperRoman"/>
      <w:lvlText w:val="%1."/>
      <w:lvlJc w:val="left"/>
      <w:pPr>
        <w:tabs>
          <w:tab w:val="num" w:pos="1288"/>
        </w:tabs>
        <w:ind w:left="1288" w:hanging="720"/>
      </w:pPr>
      <w:rPr>
        <w:rFonts w:cs="Times New Roman" w:hint="default"/>
      </w:rPr>
    </w:lvl>
    <w:lvl w:ilvl="1" w:tplc="862A952A">
      <w:numFmt w:val="none"/>
      <w:lvlText w:val=""/>
      <w:lvlJc w:val="left"/>
      <w:pPr>
        <w:tabs>
          <w:tab w:val="num" w:pos="360"/>
        </w:tabs>
      </w:pPr>
      <w:rPr>
        <w:rFonts w:cs="Times New Roman"/>
      </w:rPr>
    </w:lvl>
    <w:lvl w:ilvl="2" w:tplc="E7485428">
      <w:numFmt w:val="none"/>
      <w:lvlText w:val=""/>
      <w:lvlJc w:val="left"/>
      <w:pPr>
        <w:tabs>
          <w:tab w:val="num" w:pos="360"/>
        </w:tabs>
      </w:pPr>
      <w:rPr>
        <w:rFonts w:cs="Times New Roman"/>
      </w:rPr>
    </w:lvl>
    <w:lvl w:ilvl="3" w:tplc="FD789764">
      <w:numFmt w:val="none"/>
      <w:lvlText w:val=""/>
      <w:lvlJc w:val="left"/>
      <w:pPr>
        <w:tabs>
          <w:tab w:val="num" w:pos="360"/>
        </w:tabs>
      </w:pPr>
      <w:rPr>
        <w:rFonts w:cs="Times New Roman"/>
      </w:rPr>
    </w:lvl>
    <w:lvl w:ilvl="4" w:tplc="5EFA0FBC">
      <w:numFmt w:val="none"/>
      <w:lvlText w:val=""/>
      <w:lvlJc w:val="left"/>
      <w:pPr>
        <w:tabs>
          <w:tab w:val="num" w:pos="360"/>
        </w:tabs>
      </w:pPr>
      <w:rPr>
        <w:rFonts w:cs="Times New Roman"/>
      </w:rPr>
    </w:lvl>
    <w:lvl w:ilvl="5" w:tplc="1336440C">
      <w:numFmt w:val="none"/>
      <w:lvlText w:val=""/>
      <w:lvlJc w:val="left"/>
      <w:pPr>
        <w:tabs>
          <w:tab w:val="num" w:pos="360"/>
        </w:tabs>
      </w:pPr>
      <w:rPr>
        <w:rFonts w:cs="Times New Roman"/>
      </w:rPr>
    </w:lvl>
    <w:lvl w:ilvl="6" w:tplc="D87228D2">
      <w:numFmt w:val="none"/>
      <w:lvlText w:val=""/>
      <w:lvlJc w:val="left"/>
      <w:pPr>
        <w:tabs>
          <w:tab w:val="num" w:pos="360"/>
        </w:tabs>
      </w:pPr>
      <w:rPr>
        <w:rFonts w:cs="Times New Roman"/>
      </w:rPr>
    </w:lvl>
    <w:lvl w:ilvl="7" w:tplc="49E6716E">
      <w:numFmt w:val="none"/>
      <w:lvlText w:val=""/>
      <w:lvlJc w:val="left"/>
      <w:pPr>
        <w:tabs>
          <w:tab w:val="num" w:pos="360"/>
        </w:tabs>
      </w:pPr>
      <w:rPr>
        <w:rFonts w:cs="Times New Roman"/>
      </w:rPr>
    </w:lvl>
    <w:lvl w:ilvl="8" w:tplc="035EA2D6">
      <w:numFmt w:val="none"/>
      <w:lvlText w:val=""/>
      <w:lvlJc w:val="left"/>
      <w:pPr>
        <w:tabs>
          <w:tab w:val="num" w:pos="360"/>
        </w:tabs>
      </w:pPr>
      <w:rPr>
        <w:rFonts w:cs="Times New Roman"/>
      </w:rPr>
    </w:lvl>
  </w:abstractNum>
  <w:abstractNum w:abstractNumId="1">
    <w:nsid w:val="1D196C77"/>
    <w:multiLevelType w:val="hybridMultilevel"/>
    <w:tmpl w:val="A564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341D23"/>
    <w:multiLevelType w:val="multilevel"/>
    <w:tmpl w:val="F708A3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E0B3F"/>
    <w:multiLevelType w:val="hybridMultilevel"/>
    <w:tmpl w:val="FAF4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B55E1"/>
    <w:multiLevelType w:val="hybridMultilevel"/>
    <w:tmpl w:val="C56671F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66813946"/>
    <w:multiLevelType w:val="multilevel"/>
    <w:tmpl w:val="469ACEB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66BF6855"/>
    <w:multiLevelType w:val="multilevel"/>
    <w:tmpl w:val="9BDA936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6EF45EB2"/>
    <w:multiLevelType w:val="hybridMultilevel"/>
    <w:tmpl w:val="2B26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DB5402"/>
    <w:multiLevelType w:val="hybridMultilevel"/>
    <w:tmpl w:val="0EE0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7F1010"/>
    <w:multiLevelType w:val="hybridMultilevel"/>
    <w:tmpl w:val="ED78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D23F82"/>
    <w:multiLevelType w:val="hybridMultilevel"/>
    <w:tmpl w:val="B49EA1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A54439"/>
    <w:multiLevelType w:val="hybridMultilevel"/>
    <w:tmpl w:val="1FC04E0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12"/>
  </w:num>
  <w:num w:numId="5">
    <w:abstractNumId w:val="3"/>
  </w:num>
  <w:num w:numId="6">
    <w:abstractNumId w:val="14"/>
  </w:num>
  <w:num w:numId="7">
    <w:abstractNumId w:val="1"/>
  </w:num>
  <w:num w:numId="8">
    <w:abstractNumId w:val="2"/>
  </w:num>
  <w:num w:numId="9">
    <w:abstractNumId w:val="7"/>
  </w:num>
  <w:num w:numId="10">
    <w:abstractNumId w:val="8"/>
  </w:num>
  <w:num w:numId="11">
    <w:abstractNumId w:val="9"/>
  </w:num>
  <w:num w:numId="12">
    <w:abstractNumId w:val="13"/>
  </w:num>
  <w:num w:numId="13">
    <w:abstractNumId w:val="11"/>
  </w:num>
  <w:num w:numId="14">
    <w:abstractNumId w:val="10"/>
  </w:num>
  <w:num w:numId="15">
    <w:abstractNumId w:val="6"/>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E4"/>
    <w:rsid w:val="00000B40"/>
    <w:rsid w:val="00001E49"/>
    <w:rsid w:val="00003415"/>
    <w:rsid w:val="00004401"/>
    <w:rsid w:val="0000600A"/>
    <w:rsid w:val="00006D54"/>
    <w:rsid w:val="00007365"/>
    <w:rsid w:val="00007B30"/>
    <w:rsid w:val="00007BC1"/>
    <w:rsid w:val="00011069"/>
    <w:rsid w:val="000116C1"/>
    <w:rsid w:val="0001585B"/>
    <w:rsid w:val="00015C58"/>
    <w:rsid w:val="000164AE"/>
    <w:rsid w:val="00022ACB"/>
    <w:rsid w:val="000234F4"/>
    <w:rsid w:val="000256FA"/>
    <w:rsid w:val="00026454"/>
    <w:rsid w:val="0003210A"/>
    <w:rsid w:val="000324A3"/>
    <w:rsid w:val="00033959"/>
    <w:rsid w:val="00036E35"/>
    <w:rsid w:val="00041777"/>
    <w:rsid w:val="000440E9"/>
    <w:rsid w:val="00044194"/>
    <w:rsid w:val="000445F1"/>
    <w:rsid w:val="00044EF4"/>
    <w:rsid w:val="0004701E"/>
    <w:rsid w:val="00047A98"/>
    <w:rsid w:val="00050376"/>
    <w:rsid w:val="00051516"/>
    <w:rsid w:val="00054DCB"/>
    <w:rsid w:val="00055CA5"/>
    <w:rsid w:val="000609E9"/>
    <w:rsid w:val="00060B1F"/>
    <w:rsid w:val="00062878"/>
    <w:rsid w:val="00064103"/>
    <w:rsid w:val="000646FF"/>
    <w:rsid w:val="00065738"/>
    <w:rsid w:val="000665EF"/>
    <w:rsid w:val="000674E5"/>
    <w:rsid w:val="0006769A"/>
    <w:rsid w:val="00067E99"/>
    <w:rsid w:val="00070673"/>
    <w:rsid w:val="00071863"/>
    <w:rsid w:val="0007217D"/>
    <w:rsid w:val="00073365"/>
    <w:rsid w:val="00075754"/>
    <w:rsid w:val="00075E09"/>
    <w:rsid w:val="00076233"/>
    <w:rsid w:val="00076F81"/>
    <w:rsid w:val="00077606"/>
    <w:rsid w:val="000815B9"/>
    <w:rsid w:val="00083FC2"/>
    <w:rsid w:val="000909BE"/>
    <w:rsid w:val="00091616"/>
    <w:rsid w:val="000949C9"/>
    <w:rsid w:val="000961B9"/>
    <w:rsid w:val="00096619"/>
    <w:rsid w:val="000966B9"/>
    <w:rsid w:val="000A14A2"/>
    <w:rsid w:val="000A21E7"/>
    <w:rsid w:val="000A483D"/>
    <w:rsid w:val="000A6BB6"/>
    <w:rsid w:val="000B08F7"/>
    <w:rsid w:val="000B1923"/>
    <w:rsid w:val="000B3020"/>
    <w:rsid w:val="000B4388"/>
    <w:rsid w:val="000B68F6"/>
    <w:rsid w:val="000B7AFA"/>
    <w:rsid w:val="000C1E2D"/>
    <w:rsid w:val="000C3782"/>
    <w:rsid w:val="000C3A3B"/>
    <w:rsid w:val="000C663B"/>
    <w:rsid w:val="000C6E48"/>
    <w:rsid w:val="000D0C98"/>
    <w:rsid w:val="000D3582"/>
    <w:rsid w:val="000D5162"/>
    <w:rsid w:val="000D637F"/>
    <w:rsid w:val="000D6514"/>
    <w:rsid w:val="000D6F3F"/>
    <w:rsid w:val="000D7806"/>
    <w:rsid w:val="000E00CD"/>
    <w:rsid w:val="000E18A7"/>
    <w:rsid w:val="000E20A9"/>
    <w:rsid w:val="000E20E0"/>
    <w:rsid w:val="000E222E"/>
    <w:rsid w:val="000E2244"/>
    <w:rsid w:val="000E2CFE"/>
    <w:rsid w:val="000E4090"/>
    <w:rsid w:val="000E4422"/>
    <w:rsid w:val="000E5282"/>
    <w:rsid w:val="000E56D7"/>
    <w:rsid w:val="000E7FB6"/>
    <w:rsid w:val="000F04C6"/>
    <w:rsid w:val="000F17B2"/>
    <w:rsid w:val="000F5F96"/>
    <w:rsid w:val="00104412"/>
    <w:rsid w:val="00105995"/>
    <w:rsid w:val="0010658D"/>
    <w:rsid w:val="001075E0"/>
    <w:rsid w:val="001079CC"/>
    <w:rsid w:val="00110DDD"/>
    <w:rsid w:val="00111518"/>
    <w:rsid w:val="00111C9C"/>
    <w:rsid w:val="00112D95"/>
    <w:rsid w:val="0011440F"/>
    <w:rsid w:val="0011559A"/>
    <w:rsid w:val="00116120"/>
    <w:rsid w:val="001169F1"/>
    <w:rsid w:val="00117EEA"/>
    <w:rsid w:val="00122DC1"/>
    <w:rsid w:val="0012424F"/>
    <w:rsid w:val="0012466B"/>
    <w:rsid w:val="00125271"/>
    <w:rsid w:val="00130D81"/>
    <w:rsid w:val="00131EE4"/>
    <w:rsid w:val="00132CB9"/>
    <w:rsid w:val="00133BD3"/>
    <w:rsid w:val="00136B76"/>
    <w:rsid w:val="001377E8"/>
    <w:rsid w:val="0014011C"/>
    <w:rsid w:val="00140706"/>
    <w:rsid w:val="001463B6"/>
    <w:rsid w:val="001473C0"/>
    <w:rsid w:val="001519D1"/>
    <w:rsid w:val="00151F6F"/>
    <w:rsid w:val="00152115"/>
    <w:rsid w:val="00152378"/>
    <w:rsid w:val="001527E8"/>
    <w:rsid w:val="00152E92"/>
    <w:rsid w:val="00154290"/>
    <w:rsid w:val="001576EA"/>
    <w:rsid w:val="00160615"/>
    <w:rsid w:val="001607BA"/>
    <w:rsid w:val="00161B6B"/>
    <w:rsid w:val="00163695"/>
    <w:rsid w:val="001662E1"/>
    <w:rsid w:val="001700D9"/>
    <w:rsid w:val="00170556"/>
    <w:rsid w:val="00171F6E"/>
    <w:rsid w:val="00172EA3"/>
    <w:rsid w:val="00173E5B"/>
    <w:rsid w:val="00174340"/>
    <w:rsid w:val="00174574"/>
    <w:rsid w:val="00175275"/>
    <w:rsid w:val="0017581B"/>
    <w:rsid w:val="00175BCB"/>
    <w:rsid w:val="0018082B"/>
    <w:rsid w:val="001822CA"/>
    <w:rsid w:val="001836FF"/>
    <w:rsid w:val="00184AD1"/>
    <w:rsid w:val="00184B1C"/>
    <w:rsid w:val="00186567"/>
    <w:rsid w:val="00191231"/>
    <w:rsid w:val="00192C0F"/>
    <w:rsid w:val="001A222A"/>
    <w:rsid w:val="001A37C9"/>
    <w:rsid w:val="001A43F0"/>
    <w:rsid w:val="001A5E0B"/>
    <w:rsid w:val="001A5F8A"/>
    <w:rsid w:val="001A6CBC"/>
    <w:rsid w:val="001B67A1"/>
    <w:rsid w:val="001B7E9B"/>
    <w:rsid w:val="001C171D"/>
    <w:rsid w:val="001C30C6"/>
    <w:rsid w:val="001C644D"/>
    <w:rsid w:val="001C6983"/>
    <w:rsid w:val="001C698E"/>
    <w:rsid w:val="001D1819"/>
    <w:rsid w:val="001D280D"/>
    <w:rsid w:val="001D2AAC"/>
    <w:rsid w:val="001E4DCF"/>
    <w:rsid w:val="001E5296"/>
    <w:rsid w:val="001E5490"/>
    <w:rsid w:val="001E79E5"/>
    <w:rsid w:val="001F0026"/>
    <w:rsid w:val="001F07E2"/>
    <w:rsid w:val="001F269E"/>
    <w:rsid w:val="001F28B3"/>
    <w:rsid w:val="001F33F1"/>
    <w:rsid w:val="001F40E3"/>
    <w:rsid w:val="001F47E7"/>
    <w:rsid w:val="001F52D0"/>
    <w:rsid w:val="001F6F2F"/>
    <w:rsid w:val="001F7C1C"/>
    <w:rsid w:val="0020114B"/>
    <w:rsid w:val="00202126"/>
    <w:rsid w:val="0020340C"/>
    <w:rsid w:val="002036CC"/>
    <w:rsid w:val="00203C63"/>
    <w:rsid w:val="00207F11"/>
    <w:rsid w:val="0021092C"/>
    <w:rsid w:val="002119A0"/>
    <w:rsid w:val="002139A1"/>
    <w:rsid w:val="00213A4E"/>
    <w:rsid w:val="0021612C"/>
    <w:rsid w:val="00216361"/>
    <w:rsid w:val="002167F3"/>
    <w:rsid w:val="00216B9D"/>
    <w:rsid w:val="0021731C"/>
    <w:rsid w:val="0022562F"/>
    <w:rsid w:val="0022642C"/>
    <w:rsid w:val="0023066C"/>
    <w:rsid w:val="00231319"/>
    <w:rsid w:val="00231E0F"/>
    <w:rsid w:val="00231E45"/>
    <w:rsid w:val="00231E8F"/>
    <w:rsid w:val="0023655F"/>
    <w:rsid w:val="00240103"/>
    <w:rsid w:val="0024056E"/>
    <w:rsid w:val="00240E17"/>
    <w:rsid w:val="00241E68"/>
    <w:rsid w:val="0024221A"/>
    <w:rsid w:val="00243BD4"/>
    <w:rsid w:val="00244654"/>
    <w:rsid w:val="0024567C"/>
    <w:rsid w:val="00246D67"/>
    <w:rsid w:val="0024716E"/>
    <w:rsid w:val="00247557"/>
    <w:rsid w:val="0025103B"/>
    <w:rsid w:val="002518FB"/>
    <w:rsid w:val="00252830"/>
    <w:rsid w:val="002534D1"/>
    <w:rsid w:val="00253822"/>
    <w:rsid w:val="00253B25"/>
    <w:rsid w:val="00257F89"/>
    <w:rsid w:val="00262889"/>
    <w:rsid w:val="00264361"/>
    <w:rsid w:val="00267D99"/>
    <w:rsid w:val="0027031A"/>
    <w:rsid w:val="002715AD"/>
    <w:rsid w:val="00272907"/>
    <w:rsid w:val="00272BDB"/>
    <w:rsid w:val="0027398B"/>
    <w:rsid w:val="00275324"/>
    <w:rsid w:val="00275D16"/>
    <w:rsid w:val="0028032D"/>
    <w:rsid w:val="00282180"/>
    <w:rsid w:val="002828C1"/>
    <w:rsid w:val="00283362"/>
    <w:rsid w:val="00287829"/>
    <w:rsid w:val="00293B3A"/>
    <w:rsid w:val="00294791"/>
    <w:rsid w:val="00295A26"/>
    <w:rsid w:val="0029694B"/>
    <w:rsid w:val="00297385"/>
    <w:rsid w:val="00297516"/>
    <w:rsid w:val="002A13AA"/>
    <w:rsid w:val="002A4481"/>
    <w:rsid w:val="002A449C"/>
    <w:rsid w:val="002A4982"/>
    <w:rsid w:val="002B056D"/>
    <w:rsid w:val="002B0660"/>
    <w:rsid w:val="002B222B"/>
    <w:rsid w:val="002B31EF"/>
    <w:rsid w:val="002B32E5"/>
    <w:rsid w:val="002B3A1B"/>
    <w:rsid w:val="002C0A47"/>
    <w:rsid w:val="002C20F1"/>
    <w:rsid w:val="002C402D"/>
    <w:rsid w:val="002C5958"/>
    <w:rsid w:val="002C6D27"/>
    <w:rsid w:val="002C73D4"/>
    <w:rsid w:val="002D0C9D"/>
    <w:rsid w:val="002D105C"/>
    <w:rsid w:val="002D1712"/>
    <w:rsid w:val="002D359A"/>
    <w:rsid w:val="002D3F09"/>
    <w:rsid w:val="002D4116"/>
    <w:rsid w:val="002D5DF4"/>
    <w:rsid w:val="002D6C9F"/>
    <w:rsid w:val="002D7970"/>
    <w:rsid w:val="002D797E"/>
    <w:rsid w:val="002D7D73"/>
    <w:rsid w:val="002E0C2B"/>
    <w:rsid w:val="002E4443"/>
    <w:rsid w:val="002E5AE5"/>
    <w:rsid w:val="002E5BC9"/>
    <w:rsid w:val="002F0178"/>
    <w:rsid w:val="002F17D3"/>
    <w:rsid w:val="002F29D9"/>
    <w:rsid w:val="002F402B"/>
    <w:rsid w:val="002F672E"/>
    <w:rsid w:val="002F69C6"/>
    <w:rsid w:val="002F6F9A"/>
    <w:rsid w:val="0030076E"/>
    <w:rsid w:val="003029D7"/>
    <w:rsid w:val="00302A7B"/>
    <w:rsid w:val="00304929"/>
    <w:rsid w:val="00304C5E"/>
    <w:rsid w:val="003056C7"/>
    <w:rsid w:val="00310519"/>
    <w:rsid w:val="003108D6"/>
    <w:rsid w:val="00310E18"/>
    <w:rsid w:val="003153D6"/>
    <w:rsid w:val="00316BDB"/>
    <w:rsid w:val="00317C09"/>
    <w:rsid w:val="00317EDC"/>
    <w:rsid w:val="003236F5"/>
    <w:rsid w:val="003246AA"/>
    <w:rsid w:val="00332795"/>
    <w:rsid w:val="00332F6C"/>
    <w:rsid w:val="00334073"/>
    <w:rsid w:val="003344F4"/>
    <w:rsid w:val="003411B4"/>
    <w:rsid w:val="003414EA"/>
    <w:rsid w:val="00341825"/>
    <w:rsid w:val="003423D0"/>
    <w:rsid w:val="00342626"/>
    <w:rsid w:val="00342CAC"/>
    <w:rsid w:val="00343FB0"/>
    <w:rsid w:val="00345956"/>
    <w:rsid w:val="00347FBC"/>
    <w:rsid w:val="00351AD5"/>
    <w:rsid w:val="00351B3A"/>
    <w:rsid w:val="00351BF9"/>
    <w:rsid w:val="00351DC5"/>
    <w:rsid w:val="00352446"/>
    <w:rsid w:val="00353F36"/>
    <w:rsid w:val="00354BF1"/>
    <w:rsid w:val="0035519D"/>
    <w:rsid w:val="003620EA"/>
    <w:rsid w:val="00362F26"/>
    <w:rsid w:val="00370882"/>
    <w:rsid w:val="003717E7"/>
    <w:rsid w:val="0037226B"/>
    <w:rsid w:val="0037263B"/>
    <w:rsid w:val="003737E4"/>
    <w:rsid w:val="00373CAF"/>
    <w:rsid w:val="00374251"/>
    <w:rsid w:val="00382990"/>
    <w:rsid w:val="00382FDA"/>
    <w:rsid w:val="00384C8C"/>
    <w:rsid w:val="0038642F"/>
    <w:rsid w:val="0038672F"/>
    <w:rsid w:val="003917BB"/>
    <w:rsid w:val="00391CBF"/>
    <w:rsid w:val="003976B5"/>
    <w:rsid w:val="003A069A"/>
    <w:rsid w:val="003A4E7F"/>
    <w:rsid w:val="003A6E9D"/>
    <w:rsid w:val="003B0A11"/>
    <w:rsid w:val="003B3457"/>
    <w:rsid w:val="003B5289"/>
    <w:rsid w:val="003C3526"/>
    <w:rsid w:val="003C377A"/>
    <w:rsid w:val="003C40C4"/>
    <w:rsid w:val="003C4DF5"/>
    <w:rsid w:val="003C5543"/>
    <w:rsid w:val="003C6173"/>
    <w:rsid w:val="003D1A08"/>
    <w:rsid w:val="003D1AA7"/>
    <w:rsid w:val="003D50C7"/>
    <w:rsid w:val="003E4838"/>
    <w:rsid w:val="003E791B"/>
    <w:rsid w:val="003E7E5E"/>
    <w:rsid w:val="003F01A8"/>
    <w:rsid w:val="003F17F5"/>
    <w:rsid w:val="003F3DA5"/>
    <w:rsid w:val="004001D8"/>
    <w:rsid w:val="00400536"/>
    <w:rsid w:val="004021CB"/>
    <w:rsid w:val="0040574D"/>
    <w:rsid w:val="00405A7B"/>
    <w:rsid w:val="004063F0"/>
    <w:rsid w:val="00406858"/>
    <w:rsid w:val="0041184E"/>
    <w:rsid w:val="0041187C"/>
    <w:rsid w:val="004154D6"/>
    <w:rsid w:val="00415EFE"/>
    <w:rsid w:val="0042137C"/>
    <w:rsid w:val="00421A64"/>
    <w:rsid w:val="00425304"/>
    <w:rsid w:val="00425664"/>
    <w:rsid w:val="004259C7"/>
    <w:rsid w:val="004324E1"/>
    <w:rsid w:val="00433557"/>
    <w:rsid w:val="00433561"/>
    <w:rsid w:val="00435D0C"/>
    <w:rsid w:val="00437CA3"/>
    <w:rsid w:val="00440713"/>
    <w:rsid w:val="00442507"/>
    <w:rsid w:val="00443DB4"/>
    <w:rsid w:val="00444BCB"/>
    <w:rsid w:val="0044507A"/>
    <w:rsid w:val="00445B9D"/>
    <w:rsid w:val="00450B6E"/>
    <w:rsid w:val="00450BB2"/>
    <w:rsid w:val="00450F6C"/>
    <w:rsid w:val="00451B93"/>
    <w:rsid w:val="00452D05"/>
    <w:rsid w:val="004603C1"/>
    <w:rsid w:val="00461426"/>
    <w:rsid w:val="00461D96"/>
    <w:rsid w:val="00462138"/>
    <w:rsid w:val="004638D6"/>
    <w:rsid w:val="00463A57"/>
    <w:rsid w:val="00463F2E"/>
    <w:rsid w:val="00465A60"/>
    <w:rsid w:val="00465F7A"/>
    <w:rsid w:val="004677BE"/>
    <w:rsid w:val="0047050A"/>
    <w:rsid w:val="00471A2D"/>
    <w:rsid w:val="0047349D"/>
    <w:rsid w:val="0047397C"/>
    <w:rsid w:val="00473B43"/>
    <w:rsid w:val="004748F0"/>
    <w:rsid w:val="00474A01"/>
    <w:rsid w:val="00474E09"/>
    <w:rsid w:val="00475EC5"/>
    <w:rsid w:val="00476137"/>
    <w:rsid w:val="004801A7"/>
    <w:rsid w:val="004855DB"/>
    <w:rsid w:val="0048739A"/>
    <w:rsid w:val="0049081F"/>
    <w:rsid w:val="004925FD"/>
    <w:rsid w:val="004954F9"/>
    <w:rsid w:val="004958E3"/>
    <w:rsid w:val="0049616B"/>
    <w:rsid w:val="00497D77"/>
    <w:rsid w:val="004A44E3"/>
    <w:rsid w:val="004A45E6"/>
    <w:rsid w:val="004A5EDB"/>
    <w:rsid w:val="004A760C"/>
    <w:rsid w:val="004A798C"/>
    <w:rsid w:val="004B6532"/>
    <w:rsid w:val="004B68F6"/>
    <w:rsid w:val="004B708D"/>
    <w:rsid w:val="004B72C8"/>
    <w:rsid w:val="004B7EBF"/>
    <w:rsid w:val="004C210D"/>
    <w:rsid w:val="004C3706"/>
    <w:rsid w:val="004C68EB"/>
    <w:rsid w:val="004D18B1"/>
    <w:rsid w:val="004D2091"/>
    <w:rsid w:val="004D445C"/>
    <w:rsid w:val="004D4C2B"/>
    <w:rsid w:val="004D5E5E"/>
    <w:rsid w:val="004D6B7F"/>
    <w:rsid w:val="004E033B"/>
    <w:rsid w:val="004E3C1D"/>
    <w:rsid w:val="004E4157"/>
    <w:rsid w:val="004E6DDD"/>
    <w:rsid w:val="004F41DA"/>
    <w:rsid w:val="004F42A0"/>
    <w:rsid w:val="004F4458"/>
    <w:rsid w:val="004F5437"/>
    <w:rsid w:val="004F5C76"/>
    <w:rsid w:val="004F6F83"/>
    <w:rsid w:val="004F7992"/>
    <w:rsid w:val="00500C18"/>
    <w:rsid w:val="00500C8A"/>
    <w:rsid w:val="0050363E"/>
    <w:rsid w:val="005039F1"/>
    <w:rsid w:val="00506BB3"/>
    <w:rsid w:val="005070D8"/>
    <w:rsid w:val="0051171E"/>
    <w:rsid w:val="00511ABB"/>
    <w:rsid w:val="00511EF1"/>
    <w:rsid w:val="005161F9"/>
    <w:rsid w:val="00517BFC"/>
    <w:rsid w:val="005206D6"/>
    <w:rsid w:val="00522578"/>
    <w:rsid w:val="00522C61"/>
    <w:rsid w:val="0052365C"/>
    <w:rsid w:val="00523E7A"/>
    <w:rsid w:val="005252C6"/>
    <w:rsid w:val="00526AC9"/>
    <w:rsid w:val="00527264"/>
    <w:rsid w:val="00527731"/>
    <w:rsid w:val="0053054F"/>
    <w:rsid w:val="00530B10"/>
    <w:rsid w:val="005327CC"/>
    <w:rsid w:val="00532CBB"/>
    <w:rsid w:val="00535E01"/>
    <w:rsid w:val="00537241"/>
    <w:rsid w:val="00537D9F"/>
    <w:rsid w:val="00542C5C"/>
    <w:rsid w:val="005440CA"/>
    <w:rsid w:val="0054636C"/>
    <w:rsid w:val="005501B5"/>
    <w:rsid w:val="005511BA"/>
    <w:rsid w:val="00553721"/>
    <w:rsid w:val="005562ED"/>
    <w:rsid w:val="00557073"/>
    <w:rsid w:val="0056097D"/>
    <w:rsid w:val="005642EE"/>
    <w:rsid w:val="0056460A"/>
    <w:rsid w:val="00565422"/>
    <w:rsid w:val="00566EDF"/>
    <w:rsid w:val="005675A0"/>
    <w:rsid w:val="00567F17"/>
    <w:rsid w:val="0057171C"/>
    <w:rsid w:val="00572CF0"/>
    <w:rsid w:val="00573D5E"/>
    <w:rsid w:val="00574BAD"/>
    <w:rsid w:val="0057747B"/>
    <w:rsid w:val="00580626"/>
    <w:rsid w:val="0058079E"/>
    <w:rsid w:val="005809F9"/>
    <w:rsid w:val="00580D38"/>
    <w:rsid w:val="00582B7A"/>
    <w:rsid w:val="00585B55"/>
    <w:rsid w:val="00587925"/>
    <w:rsid w:val="005901F5"/>
    <w:rsid w:val="005951FB"/>
    <w:rsid w:val="00595EB4"/>
    <w:rsid w:val="00596F21"/>
    <w:rsid w:val="005A085D"/>
    <w:rsid w:val="005A110A"/>
    <w:rsid w:val="005A2963"/>
    <w:rsid w:val="005A3D08"/>
    <w:rsid w:val="005A4AE8"/>
    <w:rsid w:val="005A4E98"/>
    <w:rsid w:val="005A55C8"/>
    <w:rsid w:val="005A7566"/>
    <w:rsid w:val="005B053A"/>
    <w:rsid w:val="005B2CC8"/>
    <w:rsid w:val="005B7EEA"/>
    <w:rsid w:val="005C00DE"/>
    <w:rsid w:val="005C0FFB"/>
    <w:rsid w:val="005C37E3"/>
    <w:rsid w:val="005C49FB"/>
    <w:rsid w:val="005C661D"/>
    <w:rsid w:val="005C7355"/>
    <w:rsid w:val="005C73A2"/>
    <w:rsid w:val="005C7AFA"/>
    <w:rsid w:val="005C7D24"/>
    <w:rsid w:val="005D003B"/>
    <w:rsid w:val="005D110C"/>
    <w:rsid w:val="005D2620"/>
    <w:rsid w:val="005D42D6"/>
    <w:rsid w:val="005D4A0F"/>
    <w:rsid w:val="005D6AF3"/>
    <w:rsid w:val="005D6E70"/>
    <w:rsid w:val="005E1A95"/>
    <w:rsid w:val="005E2839"/>
    <w:rsid w:val="005E7678"/>
    <w:rsid w:val="005E7908"/>
    <w:rsid w:val="005F1A40"/>
    <w:rsid w:val="005F26F8"/>
    <w:rsid w:val="005F43B8"/>
    <w:rsid w:val="005F46EB"/>
    <w:rsid w:val="005F5182"/>
    <w:rsid w:val="005F52EC"/>
    <w:rsid w:val="00601040"/>
    <w:rsid w:val="00601804"/>
    <w:rsid w:val="0060279C"/>
    <w:rsid w:val="00603A46"/>
    <w:rsid w:val="00606032"/>
    <w:rsid w:val="006073D7"/>
    <w:rsid w:val="00607912"/>
    <w:rsid w:val="0061117C"/>
    <w:rsid w:val="006114EC"/>
    <w:rsid w:val="00611BD1"/>
    <w:rsid w:val="00611DE4"/>
    <w:rsid w:val="0061203B"/>
    <w:rsid w:val="006132F7"/>
    <w:rsid w:val="00613450"/>
    <w:rsid w:val="006149E7"/>
    <w:rsid w:val="00616DE0"/>
    <w:rsid w:val="006209F1"/>
    <w:rsid w:val="00621CBC"/>
    <w:rsid w:val="00622157"/>
    <w:rsid w:val="00622814"/>
    <w:rsid w:val="00623F06"/>
    <w:rsid w:val="00625E7A"/>
    <w:rsid w:val="00627724"/>
    <w:rsid w:val="006279FE"/>
    <w:rsid w:val="00627A59"/>
    <w:rsid w:val="006329C7"/>
    <w:rsid w:val="006346E0"/>
    <w:rsid w:val="00637CE9"/>
    <w:rsid w:val="006400E3"/>
    <w:rsid w:val="006417AF"/>
    <w:rsid w:val="00642A3E"/>
    <w:rsid w:val="00643882"/>
    <w:rsid w:val="00643DBE"/>
    <w:rsid w:val="00645321"/>
    <w:rsid w:val="0065640A"/>
    <w:rsid w:val="00656AC7"/>
    <w:rsid w:val="006573F7"/>
    <w:rsid w:val="0066211F"/>
    <w:rsid w:val="00663FC1"/>
    <w:rsid w:val="00667123"/>
    <w:rsid w:val="00667365"/>
    <w:rsid w:val="00673BC8"/>
    <w:rsid w:val="00676026"/>
    <w:rsid w:val="00677142"/>
    <w:rsid w:val="00677D6C"/>
    <w:rsid w:val="00680CD8"/>
    <w:rsid w:val="0068295C"/>
    <w:rsid w:val="00682A5E"/>
    <w:rsid w:val="00686E13"/>
    <w:rsid w:val="006908A9"/>
    <w:rsid w:val="00690D2A"/>
    <w:rsid w:val="00690DE0"/>
    <w:rsid w:val="00691A52"/>
    <w:rsid w:val="006942CF"/>
    <w:rsid w:val="006944F3"/>
    <w:rsid w:val="00694A8D"/>
    <w:rsid w:val="006954A1"/>
    <w:rsid w:val="006A049D"/>
    <w:rsid w:val="006A1C9C"/>
    <w:rsid w:val="006A259B"/>
    <w:rsid w:val="006A599A"/>
    <w:rsid w:val="006A61FF"/>
    <w:rsid w:val="006B2089"/>
    <w:rsid w:val="006B2124"/>
    <w:rsid w:val="006B2368"/>
    <w:rsid w:val="006B301D"/>
    <w:rsid w:val="006B3AC1"/>
    <w:rsid w:val="006B4A98"/>
    <w:rsid w:val="006B5039"/>
    <w:rsid w:val="006B5076"/>
    <w:rsid w:val="006B5D15"/>
    <w:rsid w:val="006C1F0A"/>
    <w:rsid w:val="006C299A"/>
    <w:rsid w:val="006C319D"/>
    <w:rsid w:val="006C3F9B"/>
    <w:rsid w:val="006C59A7"/>
    <w:rsid w:val="006C7598"/>
    <w:rsid w:val="006C7E2F"/>
    <w:rsid w:val="006D13E5"/>
    <w:rsid w:val="006D25F3"/>
    <w:rsid w:val="006D35F0"/>
    <w:rsid w:val="006D3909"/>
    <w:rsid w:val="006D73C0"/>
    <w:rsid w:val="006E014B"/>
    <w:rsid w:val="006E1149"/>
    <w:rsid w:val="006E1D9C"/>
    <w:rsid w:val="006E3923"/>
    <w:rsid w:val="006E4B4B"/>
    <w:rsid w:val="006E5206"/>
    <w:rsid w:val="006E553E"/>
    <w:rsid w:val="006E7EC7"/>
    <w:rsid w:val="006F2564"/>
    <w:rsid w:val="006F262D"/>
    <w:rsid w:val="006F351D"/>
    <w:rsid w:val="006F626D"/>
    <w:rsid w:val="006F793C"/>
    <w:rsid w:val="006F7F13"/>
    <w:rsid w:val="00700EBF"/>
    <w:rsid w:val="007024F9"/>
    <w:rsid w:val="00702CEF"/>
    <w:rsid w:val="0070326C"/>
    <w:rsid w:val="00705F4F"/>
    <w:rsid w:val="007103F0"/>
    <w:rsid w:val="0071087B"/>
    <w:rsid w:val="0071258C"/>
    <w:rsid w:val="007140CB"/>
    <w:rsid w:val="00716A5B"/>
    <w:rsid w:val="00716F13"/>
    <w:rsid w:val="007244B1"/>
    <w:rsid w:val="007249F3"/>
    <w:rsid w:val="00724CD4"/>
    <w:rsid w:val="0072545E"/>
    <w:rsid w:val="00730F04"/>
    <w:rsid w:val="0073108D"/>
    <w:rsid w:val="00731564"/>
    <w:rsid w:val="0073224A"/>
    <w:rsid w:val="007335B1"/>
    <w:rsid w:val="0073411E"/>
    <w:rsid w:val="00734DE6"/>
    <w:rsid w:val="00737024"/>
    <w:rsid w:val="00737C18"/>
    <w:rsid w:val="007415A7"/>
    <w:rsid w:val="007416DD"/>
    <w:rsid w:val="00741F65"/>
    <w:rsid w:val="00742904"/>
    <w:rsid w:val="00742DC0"/>
    <w:rsid w:val="00744768"/>
    <w:rsid w:val="00745FC8"/>
    <w:rsid w:val="007461D0"/>
    <w:rsid w:val="0074677C"/>
    <w:rsid w:val="00746852"/>
    <w:rsid w:val="00750000"/>
    <w:rsid w:val="00750CAC"/>
    <w:rsid w:val="00752660"/>
    <w:rsid w:val="00753C6A"/>
    <w:rsid w:val="0075558F"/>
    <w:rsid w:val="00755737"/>
    <w:rsid w:val="00756D2F"/>
    <w:rsid w:val="00756D7C"/>
    <w:rsid w:val="00760368"/>
    <w:rsid w:val="00760D83"/>
    <w:rsid w:val="00761EDA"/>
    <w:rsid w:val="00764328"/>
    <w:rsid w:val="00764709"/>
    <w:rsid w:val="00766CF9"/>
    <w:rsid w:val="00767DA5"/>
    <w:rsid w:val="00770115"/>
    <w:rsid w:val="00770526"/>
    <w:rsid w:val="007706C5"/>
    <w:rsid w:val="00771E3E"/>
    <w:rsid w:val="00777DAD"/>
    <w:rsid w:val="007817A1"/>
    <w:rsid w:val="0078215C"/>
    <w:rsid w:val="0078453A"/>
    <w:rsid w:val="00784BB6"/>
    <w:rsid w:val="00784F14"/>
    <w:rsid w:val="00785B5F"/>
    <w:rsid w:val="00785C6C"/>
    <w:rsid w:val="00785CD3"/>
    <w:rsid w:val="00787D3C"/>
    <w:rsid w:val="00787D76"/>
    <w:rsid w:val="0079034F"/>
    <w:rsid w:val="0079095F"/>
    <w:rsid w:val="00791B47"/>
    <w:rsid w:val="00793A5E"/>
    <w:rsid w:val="00796535"/>
    <w:rsid w:val="007A1461"/>
    <w:rsid w:val="007A43DF"/>
    <w:rsid w:val="007A4F00"/>
    <w:rsid w:val="007B051D"/>
    <w:rsid w:val="007B1131"/>
    <w:rsid w:val="007B2313"/>
    <w:rsid w:val="007B3555"/>
    <w:rsid w:val="007B391D"/>
    <w:rsid w:val="007B3CA7"/>
    <w:rsid w:val="007B635C"/>
    <w:rsid w:val="007C3D5B"/>
    <w:rsid w:val="007C5EA7"/>
    <w:rsid w:val="007D3C16"/>
    <w:rsid w:val="007D43C7"/>
    <w:rsid w:val="007D4575"/>
    <w:rsid w:val="007D7908"/>
    <w:rsid w:val="007E04CD"/>
    <w:rsid w:val="007E1A2C"/>
    <w:rsid w:val="007E247B"/>
    <w:rsid w:val="007E2663"/>
    <w:rsid w:val="007E2B4B"/>
    <w:rsid w:val="007E2D5C"/>
    <w:rsid w:val="007E62A4"/>
    <w:rsid w:val="007E6CA7"/>
    <w:rsid w:val="007F0357"/>
    <w:rsid w:val="007F082E"/>
    <w:rsid w:val="007F15B7"/>
    <w:rsid w:val="007F1ED2"/>
    <w:rsid w:val="007F2932"/>
    <w:rsid w:val="007F2C10"/>
    <w:rsid w:val="007F2F42"/>
    <w:rsid w:val="007F4334"/>
    <w:rsid w:val="007F4F3B"/>
    <w:rsid w:val="007F4FE9"/>
    <w:rsid w:val="007F517F"/>
    <w:rsid w:val="007F5BFE"/>
    <w:rsid w:val="007F63E3"/>
    <w:rsid w:val="00802856"/>
    <w:rsid w:val="00802E6F"/>
    <w:rsid w:val="00803746"/>
    <w:rsid w:val="008041E4"/>
    <w:rsid w:val="008066FA"/>
    <w:rsid w:val="00806D23"/>
    <w:rsid w:val="0081222C"/>
    <w:rsid w:val="0081739C"/>
    <w:rsid w:val="00820564"/>
    <w:rsid w:val="00820A57"/>
    <w:rsid w:val="00823C02"/>
    <w:rsid w:val="00823CA4"/>
    <w:rsid w:val="00827568"/>
    <w:rsid w:val="00827FA1"/>
    <w:rsid w:val="008301FA"/>
    <w:rsid w:val="00830E72"/>
    <w:rsid w:val="00833289"/>
    <w:rsid w:val="00833C9B"/>
    <w:rsid w:val="0083437A"/>
    <w:rsid w:val="00836912"/>
    <w:rsid w:val="00837683"/>
    <w:rsid w:val="00841320"/>
    <w:rsid w:val="008541D9"/>
    <w:rsid w:val="00860750"/>
    <w:rsid w:val="00862D2E"/>
    <w:rsid w:val="0086349E"/>
    <w:rsid w:val="0086516A"/>
    <w:rsid w:val="008671CB"/>
    <w:rsid w:val="008671F8"/>
    <w:rsid w:val="00867CF3"/>
    <w:rsid w:val="0087190C"/>
    <w:rsid w:val="008728B9"/>
    <w:rsid w:val="008735CC"/>
    <w:rsid w:val="00873FA0"/>
    <w:rsid w:val="008740B7"/>
    <w:rsid w:val="00880C23"/>
    <w:rsid w:val="00881E8E"/>
    <w:rsid w:val="00883394"/>
    <w:rsid w:val="008836A5"/>
    <w:rsid w:val="008836CD"/>
    <w:rsid w:val="0088420F"/>
    <w:rsid w:val="00890EED"/>
    <w:rsid w:val="00891165"/>
    <w:rsid w:val="00895424"/>
    <w:rsid w:val="00896457"/>
    <w:rsid w:val="00896D16"/>
    <w:rsid w:val="00897798"/>
    <w:rsid w:val="008A66FC"/>
    <w:rsid w:val="008A6D10"/>
    <w:rsid w:val="008A6E9C"/>
    <w:rsid w:val="008B0EB2"/>
    <w:rsid w:val="008B175C"/>
    <w:rsid w:val="008B3F01"/>
    <w:rsid w:val="008B4A4C"/>
    <w:rsid w:val="008B5E07"/>
    <w:rsid w:val="008C0690"/>
    <w:rsid w:val="008C2B2E"/>
    <w:rsid w:val="008C320C"/>
    <w:rsid w:val="008C4D11"/>
    <w:rsid w:val="008C5C72"/>
    <w:rsid w:val="008C6B02"/>
    <w:rsid w:val="008C6B32"/>
    <w:rsid w:val="008C78DC"/>
    <w:rsid w:val="008D082E"/>
    <w:rsid w:val="008D0F26"/>
    <w:rsid w:val="008D13D5"/>
    <w:rsid w:val="008D155A"/>
    <w:rsid w:val="008D1AA6"/>
    <w:rsid w:val="008D4411"/>
    <w:rsid w:val="008D71B6"/>
    <w:rsid w:val="008E0A5E"/>
    <w:rsid w:val="008E1419"/>
    <w:rsid w:val="008E1F81"/>
    <w:rsid w:val="008E2763"/>
    <w:rsid w:val="008E4764"/>
    <w:rsid w:val="008E4C0F"/>
    <w:rsid w:val="008E5CC1"/>
    <w:rsid w:val="008E6CF2"/>
    <w:rsid w:val="008E7654"/>
    <w:rsid w:val="008E7DB9"/>
    <w:rsid w:val="008F25E8"/>
    <w:rsid w:val="008F3022"/>
    <w:rsid w:val="008F4692"/>
    <w:rsid w:val="008F4B71"/>
    <w:rsid w:val="008F5157"/>
    <w:rsid w:val="008F67C2"/>
    <w:rsid w:val="008F6FE5"/>
    <w:rsid w:val="008F7FBA"/>
    <w:rsid w:val="0090085F"/>
    <w:rsid w:val="00900CF7"/>
    <w:rsid w:val="00902AD2"/>
    <w:rsid w:val="00903917"/>
    <w:rsid w:val="00904594"/>
    <w:rsid w:val="009056BE"/>
    <w:rsid w:val="0091170F"/>
    <w:rsid w:val="00913321"/>
    <w:rsid w:val="00914192"/>
    <w:rsid w:val="00917FB2"/>
    <w:rsid w:val="00920048"/>
    <w:rsid w:val="00923401"/>
    <w:rsid w:val="009239B2"/>
    <w:rsid w:val="00923CCA"/>
    <w:rsid w:val="00924095"/>
    <w:rsid w:val="00927152"/>
    <w:rsid w:val="0092773D"/>
    <w:rsid w:val="00930386"/>
    <w:rsid w:val="009323FE"/>
    <w:rsid w:val="009343F1"/>
    <w:rsid w:val="00934E2F"/>
    <w:rsid w:val="009401FB"/>
    <w:rsid w:val="009407A9"/>
    <w:rsid w:val="0094204B"/>
    <w:rsid w:val="0094231F"/>
    <w:rsid w:val="00943B2D"/>
    <w:rsid w:val="00945DBC"/>
    <w:rsid w:val="00945E8E"/>
    <w:rsid w:val="00946194"/>
    <w:rsid w:val="009471BC"/>
    <w:rsid w:val="009474A4"/>
    <w:rsid w:val="009500CF"/>
    <w:rsid w:val="00950F75"/>
    <w:rsid w:val="00956408"/>
    <w:rsid w:val="00957239"/>
    <w:rsid w:val="00960C89"/>
    <w:rsid w:val="00960ECC"/>
    <w:rsid w:val="00963A6B"/>
    <w:rsid w:val="00964057"/>
    <w:rsid w:val="009666E0"/>
    <w:rsid w:val="00966E88"/>
    <w:rsid w:val="0097055D"/>
    <w:rsid w:val="0097355D"/>
    <w:rsid w:val="00973C48"/>
    <w:rsid w:val="00975D04"/>
    <w:rsid w:val="00980921"/>
    <w:rsid w:val="00981955"/>
    <w:rsid w:val="00981A11"/>
    <w:rsid w:val="00982199"/>
    <w:rsid w:val="00982BA9"/>
    <w:rsid w:val="009831F3"/>
    <w:rsid w:val="00983AD2"/>
    <w:rsid w:val="00983F69"/>
    <w:rsid w:val="00986D08"/>
    <w:rsid w:val="009871FA"/>
    <w:rsid w:val="009902EB"/>
    <w:rsid w:val="00991457"/>
    <w:rsid w:val="0099240B"/>
    <w:rsid w:val="00995459"/>
    <w:rsid w:val="009970C2"/>
    <w:rsid w:val="009A0711"/>
    <w:rsid w:val="009A1749"/>
    <w:rsid w:val="009A208D"/>
    <w:rsid w:val="009A2495"/>
    <w:rsid w:val="009A49E7"/>
    <w:rsid w:val="009A4A08"/>
    <w:rsid w:val="009A6009"/>
    <w:rsid w:val="009A6AD2"/>
    <w:rsid w:val="009A7264"/>
    <w:rsid w:val="009A7BCC"/>
    <w:rsid w:val="009B1FA8"/>
    <w:rsid w:val="009B244B"/>
    <w:rsid w:val="009B4FC4"/>
    <w:rsid w:val="009B5AB0"/>
    <w:rsid w:val="009C132C"/>
    <w:rsid w:val="009C1AF6"/>
    <w:rsid w:val="009C3829"/>
    <w:rsid w:val="009C66AE"/>
    <w:rsid w:val="009D13ED"/>
    <w:rsid w:val="009D140E"/>
    <w:rsid w:val="009D14FE"/>
    <w:rsid w:val="009D64E0"/>
    <w:rsid w:val="009D65E9"/>
    <w:rsid w:val="009D7AD5"/>
    <w:rsid w:val="009E1227"/>
    <w:rsid w:val="009E38C8"/>
    <w:rsid w:val="009E56DE"/>
    <w:rsid w:val="009E5F65"/>
    <w:rsid w:val="009E6439"/>
    <w:rsid w:val="009F0768"/>
    <w:rsid w:val="009F32D8"/>
    <w:rsid w:val="009F3E8C"/>
    <w:rsid w:val="009F418C"/>
    <w:rsid w:val="009F7A9D"/>
    <w:rsid w:val="009F7EA1"/>
    <w:rsid w:val="00A05311"/>
    <w:rsid w:val="00A06CA8"/>
    <w:rsid w:val="00A10D82"/>
    <w:rsid w:val="00A115E6"/>
    <w:rsid w:val="00A13E6B"/>
    <w:rsid w:val="00A17619"/>
    <w:rsid w:val="00A2353B"/>
    <w:rsid w:val="00A23A5A"/>
    <w:rsid w:val="00A24EBB"/>
    <w:rsid w:val="00A2645A"/>
    <w:rsid w:val="00A27755"/>
    <w:rsid w:val="00A27CB9"/>
    <w:rsid w:val="00A30695"/>
    <w:rsid w:val="00A3088C"/>
    <w:rsid w:val="00A31D45"/>
    <w:rsid w:val="00A342B9"/>
    <w:rsid w:val="00A34445"/>
    <w:rsid w:val="00A349CB"/>
    <w:rsid w:val="00A352D9"/>
    <w:rsid w:val="00A36FBE"/>
    <w:rsid w:val="00A37A88"/>
    <w:rsid w:val="00A42965"/>
    <w:rsid w:val="00A4631F"/>
    <w:rsid w:val="00A47AD1"/>
    <w:rsid w:val="00A51321"/>
    <w:rsid w:val="00A51D26"/>
    <w:rsid w:val="00A530F0"/>
    <w:rsid w:val="00A54AC1"/>
    <w:rsid w:val="00A54FBF"/>
    <w:rsid w:val="00A61201"/>
    <w:rsid w:val="00A622AB"/>
    <w:rsid w:val="00A62418"/>
    <w:rsid w:val="00A63BA0"/>
    <w:rsid w:val="00A64338"/>
    <w:rsid w:val="00A65A61"/>
    <w:rsid w:val="00A66C48"/>
    <w:rsid w:val="00A67C1A"/>
    <w:rsid w:val="00A7117E"/>
    <w:rsid w:val="00A71221"/>
    <w:rsid w:val="00A7134A"/>
    <w:rsid w:val="00A730B6"/>
    <w:rsid w:val="00A735A5"/>
    <w:rsid w:val="00A81DEF"/>
    <w:rsid w:val="00A81F66"/>
    <w:rsid w:val="00A831D6"/>
    <w:rsid w:val="00A83E99"/>
    <w:rsid w:val="00A8474D"/>
    <w:rsid w:val="00A8480A"/>
    <w:rsid w:val="00A848CE"/>
    <w:rsid w:val="00A84AA1"/>
    <w:rsid w:val="00A862DB"/>
    <w:rsid w:val="00A866E9"/>
    <w:rsid w:val="00A86967"/>
    <w:rsid w:val="00A875A2"/>
    <w:rsid w:val="00A92BE9"/>
    <w:rsid w:val="00A93624"/>
    <w:rsid w:val="00A97130"/>
    <w:rsid w:val="00A979CA"/>
    <w:rsid w:val="00A97D61"/>
    <w:rsid w:val="00AA0EA3"/>
    <w:rsid w:val="00AA0EA4"/>
    <w:rsid w:val="00AA11EB"/>
    <w:rsid w:val="00AA137D"/>
    <w:rsid w:val="00AA1F14"/>
    <w:rsid w:val="00AA2B6B"/>
    <w:rsid w:val="00AA42F7"/>
    <w:rsid w:val="00AA5460"/>
    <w:rsid w:val="00AA5B94"/>
    <w:rsid w:val="00AA5E24"/>
    <w:rsid w:val="00AA6398"/>
    <w:rsid w:val="00AA6817"/>
    <w:rsid w:val="00AA7090"/>
    <w:rsid w:val="00AA7BA6"/>
    <w:rsid w:val="00AB1F97"/>
    <w:rsid w:val="00AB247C"/>
    <w:rsid w:val="00AB3457"/>
    <w:rsid w:val="00AB6227"/>
    <w:rsid w:val="00AB7CFA"/>
    <w:rsid w:val="00AC0261"/>
    <w:rsid w:val="00AC1523"/>
    <w:rsid w:val="00AC165B"/>
    <w:rsid w:val="00AC2685"/>
    <w:rsid w:val="00AC344F"/>
    <w:rsid w:val="00AC4B9A"/>
    <w:rsid w:val="00AC62AE"/>
    <w:rsid w:val="00AC656D"/>
    <w:rsid w:val="00AC6FB8"/>
    <w:rsid w:val="00AD0CEA"/>
    <w:rsid w:val="00AD17CB"/>
    <w:rsid w:val="00AD6103"/>
    <w:rsid w:val="00AD6515"/>
    <w:rsid w:val="00AE1932"/>
    <w:rsid w:val="00AE6D6C"/>
    <w:rsid w:val="00AE7C50"/>
    <w:rsid w:val="00AF16E1"/>
    <w:rsid w:val="00AF2097"/>
    <w:rsid w:val="00AF26BE"/>
    <w:rsid w:val="00AF26DE"/>
    <w:rsid w:val="00AF26E4"/>
    <w:rsid w:val="00AF4C40"/>
    <w:rsid w:val="00AF711A"/>
    <w:rsid w:val="00B01031"/>
    <w:rsid w:val="00B0515E"/>
    <w:rsid w:val="00B05DCC"/>
    <w:rsid w:val="00B064A6"/>
    <w:rsid w:val="00B1096B"/>
    <w:rsid w:val="00B12F7F"/>
    <w:rsid w:val="00B13496"/>
    <w:rsid w:val="00B16FBD"/>
    <w:rsid w:val="00B173A1"/>
    <w:rsid w:val="00B1793B"/>
    <w:rsid w:val="00B201C0"/>
    <w:rsid w:val="00B218D9"/>
    <w:rsid w:val="00B22C27"/>
    <w:rsid w:val="00B22E49"/>
    <w:rsid w:val="00B2320D"/>
    <w:rsid w:val="00B233D6"/>
    <w:rsid w:val="00B235FF"/>
    <w:rsid w:val="00B23DA9"/>
    <w:rsid w:val="00B276DC"/>
    <w:rsid w:val="00B27E9B"/>
    <w:rsid w:val="00B30DF2"/>
    <w:rsid w:val="00B33934"/>
    <w:rsid w:val="00B41DFE"/>
    <w:rsid w:val="00B44D69"/>
    <w:rsid w:val="00B459BE"/>
    <w:rsid w:val="00B46A7B"/>
    <w:rsid w:val="00B5121A"/>
    <w:rsid w:val="00B515EC"/>
    <w:rsid w:val="00B51784"/>
    <w:rsid w:val="00B54C65"/>
    <w:rsid w:val="00B560EA"/>
    <w:rsid w:val="00B56FC4"/>
    <w:rsid w:val="00B57829"/>
    <w:rsid w:val="00B60E20"/>
    <w:rsid w:val="00B62EB9"/>
    <w:rsid w:val="00B65841"/>
    <w:rsid w:val="00B65A82"/>
    <w:rsid w:val="00B66207"/>
    <w:rsid w:val="00B66979"/>
    <w:rsid w:val="00B66DD3"/>
    <w:rsid w:val="00B67B28"/>
    <w:rsid w:val="00B70A46"/>
    <w:rsid w:val="00B71625"/>
    <w:rsid w:val="00B756AB"/>
    <w:rsid w:val="00B75B82"/>
    <w:rsid w:val="00B81307"/>
    <w:rsid w:val="00B81CF0"/>
    <w:rsid w:val="00B82901"/>
    <w:rsid w:val="00B8292A"/>
    <w:rsid w:val="00B83B3D"/>
    <w:rsid w:val="00B854BC"/>
    <w:rsid w:val="00B87E11"/>
    <w:rsid w:val="00B901A1"/>
    <w:rsid w:val="00B9025B"/>
    <w:rsid w:val="00B9187E"/>
    <w:rsid w:val="00B94E2A"/>
    <w:rsid w:val="00B9613A"/>
    <w:rsid w:val="00BA14FE"/>
    <w:rsid w:val="00BA3313"/>
    <w:rsid w:val="00BA382F"/>
    <w:rsid w:val="00BA6E35"/>
    <w:rsid w:val="00BB251D"/>
    <w:rsid w:val="00BB3035"/>
    <w:rsid w:val="00BB34FA"/>
    <w:rsid w:val="00BB4EAB"/>
    <w:rsid w:val="00BB56A2"/>
    <w:rsid w:val="00BC03BA"/>
    <w:rsid w:val="00BC20CB"/>
    <w:rsid w:val="00BC69E4"/>
    <w:rsid w:val="00BD0E0C"/>
    <w:rsid w:val="00BD1A9C"/>
    <w:rsid w:val="00BD2621"/>
    <w:rsid w:val="00BD5305"/>
    <w:rsid w:val="00BD643A"/>
    <w:rsid w:val="00BD7198"/>
    <w:rsid w:val="00BD77C2"/>
    <w:rsid w:val="00BE0155"/>
    <w:rsid w:val="00BE7463"/>
    <w:rsid w:val="00BF5C4A"/>
    <w:rsid w:val="00C0022F"/>
    <w:rsid w:val="00C002C1"/>
    <w:rsid w:val="00C04CDD"/>
    <w:rsid w:val="00C07552"/>
    <w:rsid w:val="00C11431"/>
    <w:rsid w:val="00C13380"/>
    <w:rsid w:val="00C1386E"/>
    <w:rsid w:val="00C149A1"/>
    <w:rsid w:val="00C15843"/>
    <w:rsid w:val="00C17453"/>
    <w:rsid w:val="00C20FD2"/>
    <w:rsid w:val="00C220C7"/>
    <w:rsid w:val="00C23239"/>
    <w:rsid w:val="00C250A8"/>
    <w:rsid w:val="00C252BB"/>
    <w:rsid w:val="00C2550D"/>
    <w:rsid w:val="00C25A58"/>
    <w:rsid w:val="00C27397"/>
    <w:rsid w:val="00C27EF3"/>
    <w:rsid w:val="00C304A0"/>
    <w:rsid w:val="00C30E7F"/>
    <w:rsid w:val="00C32220"/>
    <w:rsid w:val="00C32A17"/>
    <w:rsid w:val="00C35FEA"/>
    <w:rsid w:val="00C365D3"/>
    <w:rsid w:val="00C36738"/>
    <w:rsid w:val="00C36A08"/>
    <w:rsid w:val="00C37A84"/>
    <w:rsid w:val="00C37F0F"/>
    <w:rsid w:val="00C40DDE"/>
    <w:rsid w:val="00C412C4"/>
    <w:rsid w:val="00C41FE1"/>
    <w:rsid w:val="00C420CD"/>
    <w:rsid w:val="00C421E4"/>
    <w:rsid w:val="00C43AA1"/>
    <w:rsid w:val="00C45BDD"/>
    <w:rsid w:val="00C46CDB"/>
    <w:rsid w:val="00C47534"/>
    <w:rsid w:val="00C4759A"/>
    <w:rsid w:val="00C47B25"/>
    <w:rsid w:val="00C50326"/>
    <w:rsid w:val="00C510EC"/>
    <w:rsid w:val="00C51CAF"/>
    <w:rsid w:val="00C51D09"/>
    <w:rsid w:val="00C5282F"/>
    <w:rsid w:val="00C529E6"/>
    <w:rsid w:val="00C5332E"/>
    <w:rsid w:val="00C55B19"/>
    <w:rsid w:val="00C601CB"/>
    <w:rsid w:val="00C60E63"/>
    <w:rsid w:val="00C61E4A"/>
    <w:rsid w:val="00C63DE4"/>
    <w:rsid w:val="00C6579B"/>
    <w:rsid w:val="00C658E9"/>
    <w:rsid w:val="00C664AD"/>
    <w:rsid w:val="00C74F38"/>
    <w:rsid w:val="00C75636"/>
    <w:rsid w:val="00C75C04"/>
    <w:rsid w:val="00C76E94"/>
    <w:rsid w:val="00C777C6"/>
    <w:rsid w:val="00C80F34"/>
    <w:rsid w:val="00C81E96"/>
    <w:rsid w:val="00C82844"/>
    <w:rsid w:val="00C82F58"/>
    <w:rsid w:val="00C83328"/>
    <w:rsid w:val="00C835B3"/>
    <w:rsid w:val="00C8565B"/>
    <w:rsid w:val="00C86077"/>
    <w:rsid w:val="00C91AD3"/>
    <w:rsid w:val="00C94DCE"/>
    <w:rsid w:val="00C95957"/>
    <w:rsid w:val="00CA0322"/>
    <w:rsid w:val="00CA18F6"/>
    <w:rsid w:val="00CA1AE6"/>
    <w:rsid w:val="00CA4FCE"/>
    <w:rsid w:val="00CA557C"/>
    <w:rsid w:val="00CA5E13"/>
    <w:rsid w:val="00CA62E4"/>
    <w:rsid w:val="00CB13ED"/>
    <w:rsid w:val="00CB1A69"/>
    <w:rsid w:val="00CB2032"/>
    <w:rsid w:val="00CB491A"/>
    <w:rsid w:val="00CB491D"/>
    <w:rsid w:val="00CB5631"/>
    <w:rsid w:val="00CB5F92"/>
    <w:rsid w:val="00CB637A"/>
    <w:rsid w:val="00CC0FDE"/>
    <w:rsid w:val="00CC4671"/>
    <w:rsid w:val="00CC5677"/>
    <w:rsid w:val="00CC7815"/>
    <w:rsid w:val="00CD0722"/>
    <w:rsid w:val="00CD13D1"/>
    <w:rsid w:val="00CD31C0"/>
    <w:rsid w:val="00CD5D5D"/>
    <w:rsid w:val="00CD61A6"/>
    <w:rsid w:val="00CD67A6"/>
    <w:rsid w:val="00CD788A"/>
    <w:rsid w:val="00CE132F"/>
    <w:rsid w:val="00CE1D08"/>
    <w:rsid w:val="00CE3F19"/>
    <w:rsid w:val="00CE5026"/>
    <w:rsid w:val="00CE53C8"/>
    <w:rsid w:val="00CE5424"/>
    <w:rsid w:val="00CF046E"/>
    <w:rsid w:val="00CF0C6C"/>
    <w:rsid w:val="00CF14E6"/>
    <w:rsid w:val="00CF2A60"/>
    <w:rsid w:val="00CF423C"/>
    <w:rsid w:val="00CF4C3A"/>
    <w:rsid w:val="00CF57E3"/>
    <w:rsid w:val="00CF7162"/>
    <w:rsid w:val="00CF7795"/>
    <w:rsid w:val="00D0295D"/>
    <w:rsid w:val="00D05D28"/>
    <w:rsid w:val="00D06087"/>
    <w:rsid w:val="00D06761"/>
    <w:rsid w:val="00D06D29"/>
    <w:rsid w:val="00D201C8"/>
    <w:rsid w:val="00D21953"/>
    <w:rsid w:val="00D2249A"/>
    <w:rsid w:val="00D22A18"/>
    <w:rsid w:val="00D2382D"/>
    <w:rsid w:val="00D26A5A"/>
    <w:rsid w:val="00D33FC5"/>
    <w:rsid w:val="00D35637"/>
    <w:rsid w:val="00D357E5"/>
    <w:rsid w:val="00D36EED"/>
    <w:rsid w:val="00D43678"/>
    <w:rsid w:val="00D45CE5"/>
    <w:rsid w:val="00D50023"/>
    <w:rsid w:val="00D505AF"/>
    <w:rsid w:val="00D56077"/>
    <w:rsid w:val="00D577A0"/>
    <w:rsid w:val="00D60B18"/>
    <w:rsid w:val="00D6336D"/>
    <w:rsid w:val="00D64E7F"/>
    <w:rsid w:val="00D65CCB"/>
    <w:rsid w:val="00D66347"/>
    <w:rsid w:val="00D710D2"/>
    <w:rsid w:val="00D73C2A"/>
    <w:rsid w:val="00D7514F"/>
    <w:rsid w:val="00D75625"/>
    <w:rsid w:val="00D772A9"/>
    <w:rsid w:val="00D8277F"/>
    <w:rsid w:val="00D83375"/>
    <w:rsid w:val="00D872F5"/>
    <w:rsid w:val="00D93A5D"/>
    <w:rsid w:val="00D944DE"/>
    <w:rsid w:val="00D94BE4"/>
    <w:rsid w:val="00D95F9A"/>
    <w:rsid w:val="00D9618A"/>
    <w:rsid w:val="00D9641B"/>
    <w:rsid w:val="00D97C26"/>
    <w:rsid w:val="00D97D8B"/>
    <w:rsid w:val="00DA2B5B"/>
    <w:rsid w:val="00DA3D4A"/>
    <w:rsid w:val="00DA400E"/>
    <w:rsid w:val="00DA4046"/>
    <w:rsid w:val="00DA4844"/>
    <w:rsid w:val="00DA4FDD"/>
    <w:rsid w:val="00DA775E"/>
    <w:rsid w:val="00DB118D"/>
    <w:rsid w:val="00DB74B8"/>
    <w:rsid w:val="00DC01DA"/>
    <w:rsid w:val="00DC2949"/>
    <w:rsid w:val="00DC4B6B"/>
    <w:rsid w:val="00DC4E20"/>
    <w:rsid w:val="00DC5C44"/>
    <w:rsid w:val="00DD5414"/>
    <w:rsid w:val="00DE0446"/>
    <w:rsid w:val="00DE1133"/>
    <w:rsid w:val="00DE16C5"/>
    <w:rsid w:val="00DE3246"/>
    <w:rsid w:val="00DE34D4"/>
    <w:rsid w:val="00DE5B3E"/>
    <w:rsid w:val="00DE62A4"/>
    <w:rsid w:val="00DE709A"/>
    <w:rsid w:val="00DF01D0"/>
    <w:rsid w:val="00DF0872"/>
    <w:rsid w:val="00DF306C"/>
    <w:rsid w:val="00DF31D1"/>
    <w:rsid w:val="00DF3A59"/>
    <w:rsid w:val="00DF404C"/>
    <w:rsid w:val="00DF410C"/>
    <w:rsid w:val="00DF6AF0"/>
    <w:rsid w:val="00DF6EB6"/>
    <w:rsid w:val="00DF749D"/>
    <w:rsid w:val="00DF7969"/>
    <w:rsid w:val="00E01F94"/>
    <w:rsid w:val="00E020E6"/>
    <w:rsid w:val="00E02A2F"/>
    <w:rsid w:val="00E03D40"/>
    <w:rsid w:val="00E05225"/>
    <w:rsid w:val="00E06B10"/>
    <w:rsid w:val="00E10553"/>
    <w:rsid w:val="00E2120D"/>
    <w:rsid w:val="00E2128C"/>
    <w:rsid w:val="00E2250D"/>
    <w:rsid w:val="00E250F7"/>
    <w:rsid w:val="00E2586E"/>
    <w:rsid w:val="00E25A69"/>
    <w:rsid w:val="00E25DC9"/>
    <w:rsid w:val="00E260A8"/>
    <w:rsid w:val="00E260DA"/>
    <w:rsid w:val="00E26B20"/>
    <w:rsid w:val="00E27CFE"/>
    <w:rsid w:val="00E3324E"/>
    <w:rsid w:val="00E3344A"/>
    <w:rsid w:val="00E34B91"/>
    <w:rsid w:val="00E35ED8"/>
    <w:rsid w:val="00E43B35"/>
    <w:rsid w:val="00E43E1F"/>
    <w:rsid w:val="00E44F5D"/>
    <w:rsid w:val="00E452D4"/>
    <w:rsid w:val="00E50723"/>
    <w:rsid w:val="00E51DAB"/>
    <w:rsid w:val="00E523FE"/>
    <w:rsid w:val="00E5329E"/>
    <w:rsid w:val="00E536D6"/>
    <w:rsid w:val="00E539CB"/>
    <w:rsid w:val="00E56B11"/>
    <w:rsid w:val="00E61876"/>
    <w:rsid w:val="00E62BD4"/>
    <w:rsid w:val="00E630B6"/>
    <w:rsid w:val="00E65A29"/>
    <w:rsid w:val="00E671FF"/>
    <w:rsid w:val="00E67AFE"/>
    <w:rsid w:val="00E70EAF"/>
    <w:rsid w:val="00E71738"/>
    <w:rsid w:val="00E74518"/>
    <w:rsid w:val="00E7462A"/>
    <w:rsid w:val="00E752F7"/>
    <w:rsid w:val="00E80FD4"/>
    <w:rsid w:val="00E87F26"/>
    <w:rsid w:val="00E91FBF"/>
    <w:rsid w:val="00E9243C"/>
    <w:rsid w:val="00E92C65"/>
    <w:rsid w:val="00E93327"/>
    <w:rsid w:val="00E94C0F"/>
    <w:rsid w:val="00E97538"/>
    <w:rsid w:val="00E975ED"/>
    <w:rsid w:val="00EA1E5D"/>
    <w:rsid w:val="00EA2B2B"/>
    <w:rsid w:val="00EB0823"/>
    <w:rsid w:val="00EB0E59"/>
    <w:rsid w:val="00EB10E1"/>
    <w:rsid w:val="00EB2369"/>
    <w:rsid w:val="00EB2DE9"/>
    <w:rsid w:val="00EB399B"/>
    <w:rsid w:val="00EB42CD"/>
    <w:rsid w:val="00EC618B"/>
    <w:rsid w:val="00ED0039"/>
    <w:rsid w:val="00ED0CEC"/>
    <w:rsid w:val="00ED4898"/>
    <w:rsid w:val="00ED62A1"/>
    <w:rsid w:val="00ED6697"/>
    <w:rsid w:val="00ED765A"/>
    <w:rsid w:val="00EE165E"/>
    <w:rsid w:val="00EE17DD"/>
    <w:rsid w:val="00EE23AC"/>
    <w:rsid w:val="00EE408C"/>
    <w:rsid w:val="00EE6554"/>
    <w:rsid w:val="00EE6724"/>
    <w:rsid w:val="00EE69C4"/>
    <w:rsid w:val="00EF01C0"/>
    <w:rsid w:val="00EF0D04"/>
    <w:rsid w:val="00EF2232"/>
    <w:rsid w:val="00EF46C5"/>
    <w:rsid w:val="00EF6332"/>
    <w:rsid w:val="00F010B9"/>
    <w:rsid w:val="00F10751"/>
    <w:rsid w:val="00F10B3C"/>
    <w:rsid w:val="00F10FB2"/>
    <w:rsid w:val="00F12205"/>
    <w:rsid w:val="00F12830"/>
    <w:rsid w:val="00F12AFD"/>
    <w:rsid w:val="00F146CD"/>
    <w:rsid w:val="00F14BCA"/>
    <w:rsid w:val="00F17308"/>
    <w:rsid w:val="00F17F99"/>
    <w:rsid w:val="00F20076"/>
    <w:rsid w:val="00F20FBD"/>
    <w:rsid w:val="00F2216A"/>
    <w:rsid w:val="00F22783"/>
    <w:rsid w:val="00F24CEE"/>
    <w:rsid w:val="00F25876"/>
    <w:rsid w:val="00F3284D"/>
    <w:rsid w:val="00F32B63"/>
    <w:rsid w:val="00F34CDF"/>
    <w:rsid w:val="00F34E56"/>
    <w:rsid w:val="00F355C4"/>
    <w:rsid w:val="00F37E13"/>
    <w:rsid w:val="00F42EE7"/>
    <w:rsid w:val="00F431EB"/>
    <w:rsid w:val="00F43423"/>
    <w:rsid w:val="00F4345D"/>
    <w:rsid w:val="00F4723A"/>
    <w:rsid w:val="00F477B0"/>
    <w:rsid w:val="00F502AD"/>
    <w:rsid w:val="00F512CF"/>
    <w:rsid w:val="00F565B9"/>
    <w:rsid w:val="00F57D8C"/>
    <w:rsid w:val="00F6198B"/>
    <w:rsid w:val="00F6442D"/>
    <w:rsid w:val="00F64E92"/>
    <w:rsid w:val="00F7079C"/>
    <w:rsid w:val="00F7321F"/>
    <w:rsid w:val="00F7429A"/>
    <w:rsid w:val="00F74BA5"/>
    <w:rsid w:val="00F75A29"/>
    <w:rsid w:val="00F75D12"/>
    <w:rsid w:val="00F76F16"/>
    <w:rsid w:val="00F80466"/>
    <w:rsid w:val="00F80DE8"/>
    <w:rsid w:val="00F832BF"/>
    <w:rsid w:val="00F8396F"/>
    <w:rsid w:val="00F844A6"/>
    <w:rsid w:val="00F86340"/>
    <w:rsid w:val="00F86BCF"/>
    <w:rsid w:val="00F90734"/>
    <w:rsid w:val="00F90A92"/>
    <w:rsid w:val="00F9520E"/>
    <w:rsid w:val="00F95A45"/>
    <w:rsid w:val="00F95F7A"/>
    <w:rsid w:val="00F960A2"/>
    <w:rsid w:val="00F96E45"/>
    <w:rsid w:val="00FA2501"/>
    <w:rsid w:val="00FA299A"/>
    <w:rsid w:val="00FA3EAC"/>
    <w:rsid w:val="00FA44BB"/>
    <w:rsid w:val="00FA45F3"/>
    <w:rsid w:val="00FA78C0"/>
    <w:rsid w:val="00FA7B6B"/>
    <w:rsid w:val="00FB07A7"/>
    <w:rsid w:val="00FB4A3A"/>
    <w:rsid w:val="00FB5633"/>
    <w:rsid w:val="00FB5FE3"/>
    <w:rsid w:val="00FB69CF"/>
    <w:rsid w:val="00FB7D2F"/>
    <w:rsid w:val="00FC0747"/>
    <w:rsid w:val="00FC0976"/>
    <w:rsid w:val="00FC1445"/>
    <w:rsid w:val="00FC3721"/>
    <w:rsid w:val="00FC3905"/>
    <w:rsid w:val="00FC7579"/>
    <w:rsid w:val="00FD06AF"/>
    <w:rsid w:val="00FD351A"/>
    <w:rsid w:val="00FD4016"/>
    <w:rsid w:val="00FD6533"/>
    <w:rsid w:val="00FD65C8"/>
    <w:rsid w:val="00FD7BCC"/>
    <w:rsid w:val="00FE15B0"/>
    <w:rsid w:val="00FE6E13"/>
    <w:rsid w:val="00FF0E0A"/>
    <w:rsid w:val="00FF1974"/>
    <w:rsid w:val="00FF19B5"/>
    <w:rsid w:val="00FF434A"/>
    <w:rsid w:val="00FF4565"/>
    <w:rsid w:val="00FF4945"/>
    <w:rsid w:val="00FF52FA"/>
    <w:rsid w:val="00FF5D2F"/>
    <w:rsid w:val="00FF66AE"/>
    <w:rsid w:val="00FF6D08"/>
    <w:rsid w:val="00FF7A24"/>
    <w:rsid w:val="00FF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2DB"/>
    <w:rPr>
      <w:sz w:val="24"/>
      <w:szCs w:val="24"/>
      <w:lang w:val="fr-FR" w:eastAsia="fr-FR"/>
    </w:rPr>
  </w:style>
  <w:style w:type="paragraph" w:styleId="Heading1">
    <w:name w:val="heading 1"/>
    <w:basedOn w:val="Normal"/>
    <w:next w:val="Normal"/>
    <w:link w:val="Heading1Char"/>
    <w:uiPriority w:val="99"/>
    <w:qFormat/>
    <w:rsid w:val="004D18B1"/>
    <w:pPr>
      <w:keepNext/>
      <w:ind w:left="4320"/>
      <w:jc w:val="both"/>
      <w:outlineLvl w:val="0"/>
    </w:pPr>
    <w:rPr>
      <w:rFonts w:ascii="Arial" w:hAnsi="Arial" w:cs="Arial"/>
      <w:b/>
      <w:bCs/>
    </w:rPr>
  </w:style>
  <w:style w:type="paragraph" w:styleId="Heading3">
    <w:name w:val="heading 3"/>
    <w:basedOn w:val="Normal"/>
    <w:next w:val="Normal"/>
    <w:link w:val="Heading3Char"/>
    <w:semiHidden/>
    <w:unhideWhenUsed/>
    <w:qFormat/>
    <w:locked/>
    <w:rsid w:val="00C860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18B1"/>
    <w:rPr>
      <w:rFonts w:ascii="Arial" w:hAnsi="Arial"/>
      <w:b/>
      <w:sz w:val="24"/>
      <w:lang w:val="fr-FR" w:eastAsia="fr-FR"/>
    </w:rPr>
  </w:style>
  <w:style w:type="paragraph" w:styleId="Header">
    <w:name w:val="header"/>
    <w:basedOn w:val="Normal"/>
    <w:link w:val="HeaderChar"/>
    <w:uiPriority w:val="99"/>
    <w:rsid w:val="004D18B1"/>
    <w:pPr>
      <w:tabs>
        <w:tab w:val="center" w:pos="4536"/>
        <w:tab w:val="right" w:pos="9072"/>
      </w:tabs>
    </w:pPr>
  </w:style>
  <w:style w:type="character" w:customStyle="1" w:styleId="HeaderChar">
    <w:name w:val="Header Char"/>
    <w:basedOn w:val="DefaultParagraphFont"/>
    <w:link w:val="Header"/>
    <w:uiPriority w:val="99"/>
    <w:semiHidden/>
    <w:rsid w:val="00A76B56"/>
    <w:rPr>
      <w:sz w:val="24"/>
      <w:szCs w:val="24"/>
      <w:lang w:val="fr-FR" w:eastAsia="fr-FR"/>
    </w:rPr>
  </w:style>
  <w:style w:type="character" w:styleId="PageNumber">
    <w:name w:val="page number"/>
    <w:basedOn w:val="DefaultParagraphFont"/>
    <w:uiPriority w:val="99"/>
    <w:rsid w:val="004D18B1"/>
    <w:rPr>
      <w:rFonts w:cs="Times New Roman"/>
    </w:rPr>
  </w:style>
  <w:style w:type="character" w:styleId="Hyperlink">
    <w:name w:val="Hyperlink"/>
    <w:basedOn w:val="DefaultParagraphFont"/>
    <w:uiPriority w:val="99"/>
    <w:rsid w:val="004D18B1"/>
    <w:rPr>
      <w:rFonts w:cs="Times New Roman"/>
      <w:color w:val="0000FF"/>
      <w:u w:val="single"/>
    </w:rPr>
  </w:style>
  <w:style w:type="paragraph" w:styleId="BodyText">
    <w:name w:val="Body Text"/>
    <w:basedOn w:val="Normal"/>
    <w:link w:val="BodyTextChar"/>
    <w:uiPriority w:val="99"/>
    <w:rsid w:val="004D18B1"/>
    <w:rPr>
      <w:rFonts w:ascii="Arial" w:hAnsi="Arial" w:cs="Arial"/>
      <w:sz w:val="20"/>
      <w:szCs w:val="20"/>
      <w:lang w:val="en-US" w:eastAsia="en-US"/>
    </w:rPr>
  </w:style>
  <w:style w:type="character" w:customStyle="1" w:styleId="BodyTextChar">
    <w:name w:val="Body Text Char"/>
    <w:basedOn w:val="DefaultParagraphFont"/>
    <w:link w:val="BodyText"/>
    <w:uiPriority w:val="99"/>
    <w:rsid w:val="00A76B56"/>
    <w:rPr>
      <w:sz w:val="24"/>
      <w:szCs w:val="24"/>
      <w:lang w:val="fr-FR" w:eastAsia="fr-FR"/>
    </w:rPr>
  </w:style>
  <w:style w:type="paragraph" w:styleId="Footer">
    <w:name w:val="footer"/>
    <w:basedOn w:val="Normal"/>
    <w:link w:val="FooterChar"/>
    <w:uiPriority w:val="99"/>
    <w:rsid w:val="004D18B1"/>
    <w:pPr>
      <w:tabs>
        <w:tab w:val="center" w:pos="4320"/>
        <w:tab w:val="right" w:pos="8640"/>
      </w:tabs>
    </w:pPr>
  </w:style>
  <w:style w:type="character" w:customStyle="1" w:styleId="FooterChar">
    <w:name w:val="Footer Char"/>
    <w:basedOn w:val="DefaultParagraphFont"/>
    <w:link w:val="Footer"/>
    <w:uiPriority w:val="99"/>
    <w:locked/>
    <w:rsid w:val="004D18B1"/>
    <w:rPr>
      <w:sz w:val="24"/>
      <w:lang w:val="fr-FR" w:eastAsia="fr-FR"/>
    </w:rPr>
  </w:style>
  <w:style w:type="paragraph" w:customStyle="1" w:styleId="Paragrafoelenco1">
    <w:name w:val="Paragrafo elenco1"/>
    <w:basedOn w:val="Normal"/>
    <w:uiPriority w:val="99"/>
    <w:rsid w:val="004D18B1"/>
    <w:pPr>
      <w:ind w:left="720"/>
      <w:contextualSpacing/>
    </w:pPr>
    <w:rPr>
      <w:lang w:val="en-US" w:eastAsia="en-US"/>
    </w:rPr>
  </w:style>
  <w:style w:type="paragraph" w:styleId="FootnoteText">
    <w:name w:val="footnote text"/>
    <w:basedOn w:val="Normal"/>
    <w:link w:val="FootnoteTextChar"/>
    <w:rsid w:val="004D18B1"/>
    <w:rPr>
      <w:sz w:val="20"/>
      <w:szCs w:val="20"/>
      <w:lang w:val="en-US" w:eastAsia="en-US"/>
    </w:rPr>
  </w:style>
  <w:style w:type="character" w:customStyle="1" w:styleId="FootnoteTextChar">
    <w:name w:val="Footnote Text Char"/>
    <w:basedOn w:val="DefaultParagraphFont"/>
    <w:link w:val="FootnoteText"/>
    <w:locked/>
    <w:rsid w:val="004D18B1"/>
    <w:rPr>
      <w:rFonts w:cs="Times New Roman"/>
      <w:lang w:val="en-US" w:eastAsia="en-US" w:bidi="ar-SA"/>
    </w:rPr>
  </w:style>
  <w:style w:type="character" w:styleId="FootnoteReference">
    <w:name w:val="footnote reference"/>
    <w:basedOn w:val="DefaultParagraphFont"/>
    <w:rsid w:val="004D18B1"/>
    <w:rPr>
      <w:rFonts w:cs="Times New Roman"/>
      <w:vertAlign w:val="superscript"/>
    </w:rPr>
  </w:style>
  <w:style w:type="paragraph" w:customStyle="1" w:styleId="H1">
    <w:name w:val="H1"/>
    <w:uiPriority w:val="99"/>
    <w:rsid w:val="004D18B1"/>
    <w:pPr>
      <w:spacing w:before="60" w:after="60"/>
    </w:pPr>
    <w:rPr>
      <w:rFonts w:cs="Arial"/>
      <w:b/>
      <w:bCs/>
      <w:kern w:val="32"/>
      <w:sz w:val="24"/>
      <w:szCs w:val="32"/>
      <w:lang w:val="en-GB"/>
    </w:rPr>
  </w:style>
  <w:style w:type="paragraph" w:customStyle="1" w:styleId="H2">
    <w:name w:val="H2"/>
    <w:rsid w:val="004D18B1"/>
    <w:rPr>
      <w:rFonts w:cs="Arial"/>
      <w:b/>
      <w:bCs/>
      <w:iCs/>
      <w:szCs w:val="28"/>
      <w:lang w:val="en-GB"/>
    </w:rPr>
  </w:style>
  <w:style w:type="paragraph" w:styleId="BalloonText">
    <w:name w:val="Balloon Text"/>
    <w:basedOn w:val="Normal"/>
    <w:link w:val="BalloonTextChar"/>
    <w:semiHidden/>
    <w:unhideWhenUsed/>
    <w:rsid w:val="00E97538"/>
    <w:rPr>
      <w:rFonts w:ascii="Tahoma" w:hAnsi="Tahoma" w:cs="Tahoma"/>
      <w:sz w:val="16"/>
      <w:szCs w:val="16"/>
    </w:rPr>
  </w:style>
  <w:style w:type="character" w:customStyle="1" w:styleId="BalloonTextChar">
    <w:name w:val="Balloon Text Char"/>
    <w:basedOn w:val="DefaultParagraphFont"/>
    <w:link w:val="BalloonText"/>
    <w:semiHidden/>
    <w:rsid w:val="00E97538"/>
    <w:rPr>
      <w:rFonts w:ascii="Tahoma" w:hAnsi="Tahoma" w:cs="Tahoma"/>
      <w:sz w:val="16"/>
      <w:szCs w:val="16"/>
      <w:lang w:val="fr-FR" w:eastAsia="fr-FR"/>
    </w:rPr>
  </w:style>
  <w:style w:type="character" w:styleId="CommentReference">
    <w:name w:val="annotation reference"/>
    <w:basedOn w:val="DefaultParagraphFont"/>
    <w:uiPriority w:val="99"/>
    <w:semiHidden/>
    <w:unhideWhenUsed/>
    <w:rsid w:val="00E97538"/>
    <w:rPr>
      <w:sz w:val="16"/>
      <w:szCs w:val="16"/>
    </w:rPr>
  </w:style>
  <w:style w:type="paragraph" w:styleId="CommentText">
    <w:name w:val="annotation text"/>
    <w:basedOn w:val="Normal"/>
    <w:link w:val="CommentTextChar"/>
    <w:uiPriority w:val="99"/>
    <w:semiHidden/>
    <w:unhideWhenUsed/>
    <w:rsid w:val="00E97538"/>
    <w:rPr>
      <w:sz w:val="20"/>
      <w:szCs w:val="20"/>
    </w:rPr>
  </w:style>
  <w:style w:type="character" w:customStyle="1" w:styleId="CommentTextChar">
    <w:name w:val="Comment Text Char"/>
    <w:basedOn w:val="DefaultParagraphFont"/>
    <w:link w:val="CommentText"/>
    <w:uiPriority w:val="99"/>
    <w:semiHidden/>
    <w:rsid w:val="00E97538"/>
    <w:rPr>
      <w:sz w:val="20"/>
      <w:szCs w:val="20"/>
      <w:lang w:val="fr-FR" w:eastAsia="fr-FR"/>
    </w:rPr>
  </w:style>
  <w:style w:type="paragraph" w:styleId="CommentSubject">
    <w:name w:val="annotation subject"/>
    <w:basedOn w:val="CommentText"/>
    <w:next w:val="CommentText"/>
    <w:link w:val="CommentSubjectChar"/>
    <w:uiPriority w:val="99"/>
    <w:semiHidden/>
    <w:unhideWhenUsed/>
    <w:rsid w:val="00E97538"/>
    <w:rPr>
      <w:b/>
      <w:bCs/>
    </w:rPr>
  </w:style>
  <w:style w:type="character" w:customStyle="1" w:styleId="CommentSubjectChar">
    <w:name w:val="Comment Subject Char"/>
    <w:basedOn w:val="CommentTextChar"/>
    <w:link w:val="CommentSubject"/>
    <w:uiPriority w:val="99"/>
    <w:semiHidden/>
    <w:rsid w:val="00E97538"/>
    <w:rPr>
      <w:b/>
      <w:bCs/>
      <w:sz w:val="20"/>
      <w:szCs w:val="20"/>
      <w:lang w:val="fr-FR" w:eastAsia="fr-FR"/>
    </w:rPr>
  </w:style>
  <w:style w:type="paragraph" w:styleId="NormalWeb">
    <w:name w:val="Normal (Web)"/>
    <w:basedOn w:val="Normal"/>
    <w:uiPriority w:val="99"/>
    <w:semiHidden/>
    <w:unhideWhenUsed/>
    <w:rsid w:val="004954F9"/>
    <w:pPr>
      <w:spacing w:before="120" w:after="120" w:line="312" w:lineRule="auto"/>
    </w:pPr>
    <w:rPr>
      <w:lang w:val="en-US" w:eastAsia="en-US"/>
    </w:rPr>
  </w:style>
  <w:style w:type="paragraph" w:styleId="BodyText2">
    <w:name w:val="Body Text 2"/>
    <w:basedOn w:val="Normal"/>
    <w:link w:val="BodyText2Char"/>
    <w:rsid w:val="00DF410C"/>
    <w:pPr>
      <w:spacing w:after="120" w:line="480" w:lineRule="auto"/>
    </w:pPr>
  </w:style>
  <w:style w:type="character" w:customStyle="1" w:styleId="BodyText2Char">
    <w:name w:val="Body Text 2 Char"/>
    <w:basedOn w:val="DefaultParagraphFont"/>
    <w:link w:val="BodyText2"/>
    <w:rsid w:val="00DF410C"/>
    <w:rPr>
      <w:sz w:val="24"/>
      <w:szCs w:val="24"/>
    </w:rPr>
  </w:style>
  <w:style w:type="paragraph" w:styleId="ListParagraph">
    <w:name w:val="List Paragraph"/>
    <w:basedOn w:val="Normal"/>
    <w:link w:val="ListParagraphChar"/>
    <w:uiPriority w:val="34"/>
    <w:qFormat/>
    <w:rsid w:val="00DF410C"/>
    <w:pPr>
      <w:ind w:left="720"/>
      <w:contextualSpacing/>
    </w:pPr>
  </w:style>
  <w:style w:type="character" w:customStyle="1" w:styleId="ListParagraphChar">
    <w:name w:val="List Paragraph Char"/>
    <w:link w:val="ListParagraph"/>
    <w:uiPriority w:val="34"/>
    <w:locked/>
    <w:rsid w:val="000E4090"/>
    <w:rPr>
      <w:sz w:val="24"/>
      <w:szCs w:val="24"/>
      <w:lang w:val="fr-FR" w:eastAsia="fr-FR"/>
    </w:rPr>
  </w:style>
  <w:style w:type="character" w:customStyle="1" w:styleId="Heading3Char">
    <w:name w:val="Heading 3 Char"/>
    <w:basedOn w:val="DefaultParagraphFont"/>
    <w:link w:val="Heading3"/>
    <w:semiHidden/>
    <w:rsid w:val="00C86077"/>
    <w:rPr>
      <w:rFonts w:asciiTheme="majorHAnsi" w:eastAsiaTheme="majorEastAsia" w:hAnsiTheme="majorHAnsi" w:cstheme="majorBidi"/>
      <w:b/>
      <w:bCs/>
      <w:color w:val="4F81BD" w:themeColor="accent1"/>
      <w:sz w:val="24"/>
      <w:szCs w:val="24"/>
      <w:lang w:val="fr-FR" w:eastAsia="fr-FR"/>
    </w:rPr>
  </w:style>
  <w:style w:type="paragraph" w:styleId="Revision">
    <w:name w:val="Revision"/>
    <w:hidden/>
    <w:uiPriority w:val="99"/>
    <w:semiHidden/>
    <w:rsid w:val="00231E8F"/>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2DB"/>
    <w:rPr>
      <w:sz w:val="24"/>
      <w:szCs w:val="24"/>
      <w:lang w:val="fr-FR" w:eastAsia="fr-FR"/>
    </w:rPr>
  </w:style>
  <w:style w:type="paragraph" w:styleId="Heading1">
    <w:name w:val="heading 1"/>
    <w:basedOn w:val="Normal"/>
    <w:next w:val="Normal"/>
    <w:link w:val="Heading1Char"/>
    <w:uiPriority w:val="99"/>
    <w:qFormat/>
    <w:rsid w:val="004D18B1"/>
    <w:pPr>
      <w:keepNext/>
      <w:ind w:left="4320"/>
      <w:jc w:val="both"/>
      <w:outlineLvl w:val="0"/>
    </w:pPr>
    <w:rPr>
      <w:rFonts w:ascii="Arial" w:hAnsi="Arial" w:cs="Arial"/>
      <w:b/>
      <w:bCs/>
    </w:rPr>
  </w:style>
  <w:style w:type="paragraph" w:styleId="Heading3">
    <w:name w:val="heading 3"/>
    <w:basedOn w:val="Normal"/>
    <w:next w:val="Normal"/>
    <w:link w:val="Heading3Char"/>
    <w:semiHidden/>
    <w:unhideWhenUsed/>
    <w:qFormat/>
    <w:locked/>
    <w:rsid w:val="00C860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18B1"/>
    <w:rPr>
      <w:rFonts w:ascii="Arial" w:hAnsi="Arial"/>
      <w:b/>
      <w:sz w:val="24"/>
      <w:lang w:val="fr-FR" w:eastAsia="fr-FR"/>
    </w:rPr>
  </w:style>
  <w:style w:type="paragraph" w:styleId="Header">
    <w:name w:val="header"/>
    <w:basedOn w:val="Normal"/>
    <w:link w:val="HeaderChar"/>
    <w:uiPriority w:val="99"/>
    <w:rsid w:val="004D18B1"/>
    <w:pPr>
      <w:tabs>
        <w:tab w:val="center" w:pos="4536"/>
        <w:tab w:val="right" w:pos="9072"/>
      </w:tabs>
    </w:pPr>
  </w:style>
  <w:style w:type="character" w:customStyle="1" w:styleId="HeaderChar">
    <w:name w:val="Header Char"/>
    <w:basedOn w:val="DefaultParagraphFont"/>
    <w:link w:val="Header"/>
    <w:uiPriority w:val="99"/>
    <w:semiHidden/>
    <w:rsid w:val="00A76B56"/>
    <w:rPr>
      <w:sz w:val="24"/>
      <w:szCs w:val="24"/>
      <w:lang w:val="fr-FR" w:eastAsia="fr-FR"/>
    </w:rPr>
  </w:style>
  <w:style w:type="character" w:styleId="PageNumber">
    <w:name w:val="page number"/>
    <w:basedOn w:val="DefaultParagraphFont"/>
    <w:uiPriority w:val="99"/>
    <w:rsid w:val="004D18B1"/>
    <w:rPr>
      <w:rFonts w:cs="Times New Roman"/>
    </w:rPr>
  </w:style>
  <w:style w:type="character" w:styleId="Hyperlink">
    <w:name w:val="Hyperlink"/>
    <w:basedOn w:val="DefaultParagraphFont"/>
    <w:uiPriority w:val="99"/>
    <w:rsid w:val="004D18B1"/>
    <w:rPr>
      <w:rFonts w:cs="Times New Roman"/>
      <w:color w:val="0000FF"/>
      <w:u w:val="single"/>
    </w:rPr>
  </w:style>
  <w:style w:type="paragraph" w:styleId="BodyText">
    <w:name w:val="Body Text"/>
    <w:basedOn w:val="Normal"/>
    <w:link w:val="BodyTextChar"/>
    <w:uiPriority w:val="99"/>
    <w:rsid w:val="004D18B1"/>
    <w:rPr>
      <w:rFonts w:ascii="Arial" w:hAnsi="Arial" w:cs="Arial"/>
      <w:sz w:val="20"/>
      <w:szCs w:val="20"/>
      <w:lang w:val="en-US" w:eastAsia="en-US"/>
    </w:rPr>
  </w:style>
  <w:style w:type="character" w:customStyle="1" w:styleId="BodyTextChar">
    <w:name w:val="Body Text Char"/>
    <w:basedOn w:val="DefaultParagraphFont"/>
    <w:link w:val="BodyText"/>
    <w:uiPriority w:val="99"/>
    <w:rsid w:val="00A76B56"/>
    <w:rPr>
      <w:sz w:val="24"/>
      <w:szCs w:val="24"/>
      <w:lang w:val="fr-FR" w:eastAsia="fr-FR"/>
    </w:rPr>
  </w:style>
  <w:style w:type="paragraph" w:styleId="Footer">
    <w:name w:val="footer"/>
    <w:basedOn w:val="Normal"/>
    <w:link w:val="FooterChar"/>
    <w:uiPriority w:val="99"/>
    <w:rsid w:val="004D18B1"/>
    <w:pPr>
      <w:tabs>
        <w:tab w:val="center" w:pos="4320"/>
        <w:tab w:val="right" w:pos="8640"/>
      </w:tabs>
    </w:pPr>
  </w:style>
  <w:style w:type="character" w:customStyle="1" w:styleId="FooterChar">
    <w:name w:val="Footer Char"/>
    <w:basedOn w:val="DefaultParagraphFont"/>
    <w:link w:val="Footer"/>
    <w:uiPriority w:val="99"/>
    <w:locked/>
    <w:rsid w:val="004D18B1"/>
    <w:rPr>
      <w:sz w:val="24"/>
      <w:lang w:val="fr-FR" w:eastAsia="fr-FR"/>
    </w:rPr>
  </w:style>
  <w:style w:type="paragraph" w:customStyle="1" w:styleId="Paragrafoelenco1">
    <w:name w:val="Paragrafo elenco1"/>
    <w:basedOn w:val="Normal"/>
    <w:uiPriority w:val="99"/>
    <w:rsid w:val="004D18B1"/>
    <w:pPr>
      <w:ind w:left="720"/>
      <w:contextualSpacing/>
    </w:pPr>
    <w:rPr>
      <w:lang w:val="en-US" w:eastAsia="en-US"/>
    </w:rPr>
  </w:style>
  <w:style w:type="paragraph" w:styleId="FootnoteText">
    <w:name w:val="footnote text"/>
    <w:basedOn w:val="Normal"/>
    <w:link w:val="FootnoteTextChar"/>
    <w:rsid w:val="004D18B1"/>
    <w:rPr>
      <w:sz w:val="20"/>
      <w:szCs w:val="20"/>
      <w:lang w:val="en-US" w:eastAsia="en-US"/>
    </w:rPr>
  </w:style>
  <w:style w:type="character" w:customStyle="1" w:styleId="FootnoteTextChar">
    <w:name w:val="Footnote Text Char"/>
    <w:basedOn w:val="DefaultParagraphFont"/>
    <w:link w:val="FootnoteText"/>
    <w:locked/>
    <w:rsid w:val="004D18B1"/>
    <w:rPr>
      <w:rFonts w:cs="Times New Roman"/>
      <w:lang w:val="en-US" w:eastAsia="en-US" w:bidi="ar-SA"/>
    </w:rPr>
  </w:style>
  <w:style w:type="character" w:styleId="FootnoteReference">
    <w:name w:val="footnote reference"/>
    <w:basedOn w:val="DefaultParagraphFont"/>
    <w:rsid w:val="004D18B1"/>
    <w:rPr>
      <w:rFonts w:cs="Times New Roman"/>
      <w:vertAlign w:val="superscript"/>
    </w:rPr>
  </w:style>
  <w:style w:type="paragraph" w:customStyle="1" w:styleId="H1">
    <w:name w:val="H1"/>
    <w:uiPriority w:val="99"/>
    <w:rsid w:val="004D18B1"/>
    <w:pPr>
      <w:spacing w:before="60" w:after="60"/>
    </w:pPr>
    <w:rPr>
      <w:rFonts w:cs="Arial"/>
      <w:b/>
      <w:bCs/>
      <w:kern w:val="32"/>
      <w:sz w:val="24"/>
      <w:szCs w:val="32"/>
      <w:lang w:val="en-GB"/>
    </w:rPr>
  </w:style>
  <w:style w:type="paragraph" w:customStyle="1" w:styleId="H2">
    <w:name w:val="H2"/>
    <w:rsid w:val="004D18B1"/>
    <w:rPr>
      <w:rFonts w:cs="Arial"/>
      <w:b/>
      <w:bCs/>
      <w:iCs/>
      <w:szCs w:val="28"/>
      <w:lang w:val="en-GB"/>
    </w:rPr>
  </w:style>
  <w:style w:type="paragraph" w:styleId="BalloonText">
    <w:name w:val="Balloon Text"/>
    <w:basedOn w:val="Normal"/>
    <w:link w:val="BalloonTextChar"/>
    <w:semiHidden/>
    <w:unhideWhenUsed/>
    <w:rsid w:val="00E97538"/>
    <w:rPr>
      <w:rFonts w:ascii="Tahoma" w:hAnsi="Tahoma" w:cs="Tahoma"/>
      <w:sz w:val="16"/>
      <w:szCs w:val="16"/>
    </w:rPr>
  </w:style>
  <w:style w:type="character" w:customStyle="1" w:styleId="BalloonTextChar">
    <w:name w:val="Balloon Text Char"/>
    <w:basedOn w:val="DefaultParagraphFont"/>
    <w:link w:val="BalloonText"/>
    <w:semiHidden/>
    <w:rsid w:val="00E97538"/>
    <w:rPr>
      <w:rFonts w:ascii="Tahoma" w:hAnsi="Tahoma" w:cs="Tahoma"/>
      <w:sz w:val="16"/>
      <w:szCs w:val="16"/>
      <w:lang w:val="fr-FR" w:eastAsia="fr-FR"/>
    </w:rPr>
  </w:style>
  <w:style w:type="character" w:styleId="CommentReference">
    <w:name w:val="annotation reference"/>
    <w:basedOn w:val="DefaultParagraphFont"/>
    <w:uiPriority w:val="99"/>
    <w:semiHidden/>
    <w:unhideWhenUsed/>
    <w:rsid w:val="00E97538"/>
    <w:rPr>
      <w:sz w:val="16"/>
      <w:szCs w:val="16"/>
    </w:rPr>
  </w:style>
  <w:style w:type="paragraph" w:styleId="CommentText">
    <w:name w:val="annotation text"/>
    <w:basedOn w:val="Normal"/>
    <w:link w:val="CommentTextChar"/>
    <w:uiPriority w:val="99"/>
    <w:semiHidden/>
    <w:unhideWhenUsed/>
    <w:rsid w:val="00E97538"/>
    <w:rPr>
      <w:sz w:val="20"/>
      <w:szCs w:val="20"/>
    </w:rPr>
  </w:style>
  <w:style w:type="character" w:customStyle="1" w:styleId="CommentTextChar">
    <w:name w:val="Comment Text Char"/>
    <w:basedOn w:val="DefaultParagraphFont"/>
    <w:link w:val="CommentText"/>
    <w:uiPriority w:val="99"/>
    <w:semiHidden/>
    <w:rsid w:val="00E97538"/>
    <w:rPr>
      <w:sz w:val="20"/>
      <w:szCs w:val="20"/>
      <w:lang w:val="fr-FR" w:eastAsia="fr-FR"/>
    </w:rPr>
  </w:style>
  <w:style w:type="paragraph" w:styleId="CommentSubject">
    <w:name w:val="annotation subject"/>
    <w:basedOn w:val="CommentText"/>
    <w:next w:val="CommentText"/>
    <w:link w:val="CommentSubjectChar"/>
    <w:uiPriority w:val="99"/>
    <w:semiHidden/>
    <w:unhideWhenUsed/>
    <w:rsid w:val="00E97538"/>
    <w:rPr>
      <w:b/>
      <w:bCs/>
    </w:rPr>
  </w:style>
  <w:style w:type="character" w:customStyle="1" w:styleId="CommentSubjectChar">
    <w:name w:val="Comment Subject Char"/>
    <w:basedOn w:val="CommentTextChar"/>
    <w:link w:val="CommentSubject"/>
    <w:uiPriority w:val="99"/>
    <w:semiHidden/>
    <w:rsid w:val="00E97538"/>
    <w:rPr>
      <w:b/>
      <w:bCs/>
      <w:sz w:val="20"/>
      <w:szCs w:val="20"/>
      <w:lang w:val="fr-FR" w:eastAsia="fr-FR"/>
    </w:rPr>
  </w:style>
  <w:style w:type="paragraph" w:styleId="NormalWeb">
    <w:name w:val="Normal (Web)"/>
    <w:basedOn w:val="Normal"/>
    <w:uiPriority w:val="99"/>
    <w:semiHidden/>
    <w:unhideWhenUsed/>
    <w:rsid w:val="004954F9"/>
    <w:pPr>
      <w:spacing w:before="120" w:after="120" w:line="312" w:lineRule="auto"/>
    </w:pPr>
    <w:rPr>
      <w:lang w:val="en-US" w:eastAsia="en-US"/>
    </w:rPr>
  </w:style>
  <w:style w:type="paragraph" w:styleId="BodyText2">
    <w:name w:val="Body Text 2"/>
    <w:basedOn w:val="Normal"/>
    <w:link w:val="BodyText2Char"/>
    <w:rsid w:val="00DF410C"/>
    <w:pPr>
      <w:spacing w:after="120" w:line="480" w:lineRule="auto"/>
    </w:pPr>
  </w:style>
  <w:style w:type="character" w:customStyle="1" w:styleId="BodyText2Char">
    <w:name w:val="Body Text 2 Char"/>
    <w:basedOn w:val="DefaultParagraphFont"/>
    <w:link w:val="BodyText2"/>
    <w:rsid w:val="00DF410C"/>
    <w:rPr>
      <w:sz w:val="24"/>
      <w:szCs w:val="24"/>
    </w:rPr>
  </w:style>
  <w:style w:type="paragraph" w:styleId="ListParagraph">
    <w:name w:val="List Paragraph"/>
    <w:basedOn w:val="Normal"/>
    <w:link w:val="ListParagraphChar"/>
    <w:uiPriority w:val="34"/>
    <w:qFormat/>
    <w:rsid w:val="00DF410C"/>
    <w:pPr>
      <w:ind w:left="720"/>
      <w:contextualSpacing/>
    </w:pPr>
  </w:style>
  <w:style w:type="character" w:customStyle="1" w:styleId="ListParagraphChar">
    <w:name w:val="List Paragraph Char"/>
    <w:link w:val="ListParagraph"/>
    <w:uiPriority w:val="34"/>
    <w:locked/>
    <w:rsid w:val="000E4090"/>
    <w:rPr>
      <w:sz w:val="24"/>
      <w:szCs w:val="24"/>
      <w:lang w:val="fr-FR" w:eastAsia="fr-FR"/>
    </w:rPr>
  </w:style>
  <w:style w:type="character" w:customStyle="1" w:styleId="Heading3Char">
    <w:name w:val="Heading 3 Char"/>
    <w:basedOn w:val="DefaultParagraphFont"/>
    <w:link w:val="Heading3"/>
    <w:semiHidden/>
    <w:rsid w:val="00C86077"/>
    <w:rPr>
      <w:rFonts w:asciiTheme="majorHAnsi" w:eastAsiaTheme="majorEastAsia" w:hAnsiTheme="majorHAnsi" w:cstheme="majorBidi"/>
      <w:b/>
      <w:bCs/>
      <w:color w:val="4F81BD" w:themeColor="accent1"/>
      <w:sz w:val="24"/>
      <w:szCs w:val="24"/>
      <w:lang w:val="fr-FR" w:eastAsia="fr-FR"/>
    </w:rPr>
  </w:style>
  <w:style w:type="paragraph" w:styleId="Revision">
    <w:name w:val="Revision"/>
    <w:hidden/>
    <w:uiPriority w:val="99"/>
    <w:semiHidden/>
    <w:rsid w:val="00231E8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4598">
      <w:bodyDiv w:val="1"/>
      <w:marLeft w:val="0"/>
      <w:marRight w:val="0"/>
      <w:marTop w:val="0"/>
      <w:marBottom w:val="0"/>
      <w:divBdr>
        <w:top w:val="none" w:sz="0" w:space="0" w:color="auto"/>
        <w:left w:val="none" w:sz="0" w:space="0" w:color="auto"/>
        <w:bottom w:val="none" w:sz="0" w:space="0" w:color="auto"/>
        <w:right w:val="none" w:sz="0" w:space="0" w:color="auto"/>
      </w:divBdr>
    </w:div>
    <w:div w:id="134839406">
      <w:bodyDiv w:val="1"/>
      <w:marLeft w:val="0"/>
      <w:marRight w:val="0"/>
      <w:marTop w:val="0"/>
      <w:marBottom w:val="0"/>
      <w:divBdr>
        <w:top w:val="none" w:sz="0" w:space="0" w:color="auto"/>
        <w:left w:val="none" w:sz="0" w:space="0" w:color="auto"/>
        <w:bottom w:val="none" w:sz="0" w:space="0" w:color="auto"/>
        <w:right w:val="none" w:sz="0" w:space="0" w:color="auto"/>
      </w:divBdr>
    </w:div>
    <w:div w:id="356851288">
      <w:bodyDiv w:val="1"/>
      <w:marLeft w:val="0"/>
      <w:marRight w:val="0"/>
      <w:marTop w:val="0"/>
      <w:marBottom w:val="0"/>
      <w:divBdr>
        <w:top w:val="none" w:sz="0" w:space="0" w:color="auto"/>
        <w:left w:val="none" w:sz="0" w:space="0" w:color="auto"/>
        <w:bottom w:val="none" w:sz="0" w:space="0" w:color="auto"/>
        <w:right w:val="none" w:sz="0" w:space="0" w:color="auto"/>
      </w:divBdr>
    </w:div>
    <w:div w:id="443158120">
      <w:bodyDiv w:val="1"/>
      <w:marLeft w:val="0"/>
      <w:marRight w:val="0"/>
      <w:marTop w:val="0"/>
      <w:marBottom w:val="0"/>
      <w:divBdr>
        <w:top w:val="none" w:sz="0" w:space="0" w:color="auto"/>
        <w:left w:val="none" w:sz="0" w:space="0" w:color="auto"/>
        <w:bottom w:val="none" w:sz="0" w:space="0" w:color="auto"/>
        <w:right w:val="none" w:sz="0" w:space="0" w:color="auto"/>
      </w:divBdr>
    </w:div>
    <w:div w:id="495802388">
      <w:bodyDiv w:val="1"/>
      <w:marLeft w:val="0"/>
      <w:marRight w:val="0"/>
      <w:marTop w:val="0"/>
      <w:marBottom w:val="0"/>
      <w:divBdr>
        <w:top w:val="none" w:sz="0" w:space="0" w:color="auto"/>
        <w:left w:val="none" w:sz="0" w:space="0" w:color="auto"/>
        <w:bottom w:val="none" w:sz="0" w:space="0" w:color="auto"/>
        <w:right w:val="none" w:sz="0" w:space="0" w:color="auto"/>
      </w:divBdr>
    </w:div>
    <w:div w:id="599946959">
      <w:bodyDiv w:val="1"/>
      <w:marLeft w:val="0"/>
      <w:marRight w:val="0"/>
      <w:marTop w:val="0"/>
      <w:marBottom w:val="0"/>
      <w:divBdr>
        <w:top w:val="none" w:sz="0" w:space="0" w:color="auto"/>
        <w:left w:val="none" w:sz="0" w:space="0" w:color="auto"/>
        <w:bottom w:val="none" w:sz="0" w:space="0" w:color="auto"/>
        <w:right w:val="none" w:sz="0" w:space="0" w:color="auto"/>
      </w:divBdr>
    </w:div>
    <w:div w:id="626594532">
      <w:bodyDiv w:val="1"/>
      <w:marLeft w:val="0"/>
      <w:marRight w:val="0"/>
      <w:marTop w:val="0"/>
      <w:marBottom w:val="0"/>
      <w:divBdr>
        <w:top w:val="none" w:sz="0" w:space="0" w:color="auto"/>
        <w:left w:val="none" w:sz="0" w:space="0" w:color="auto"/>
        <w:bottom w:val="none" w:sz="0" w:space="0" w:color="auto"/>
        <w:right w:val="none" w:sz="0" w:space="0" w:color="auto"/>
      </w:divBdr>
    </w:div>
    <w:div w:id="635110126">
      <w:bodyDiv w:val="1"/>
      <w:marLeft w:val="0"/>
      <w:marRight w:val="0"/>
      <w:marTop w:val="0"/>
      <w:marBottom w:val="0"/>
      <w:divBdr>
        <w:top w:val="none" w:sz="0" w:space="0" w:color="auto"/>
        <w:left w:val="none" w:sz="0" w:space="0" w:color="auto"/>
        <w:bottom w:val="none" w:sz="0" w:space="0" w:color="auto"/>
        <w:right w:val="none" w:sz="0" w:space="0" w:color="auto"/>
      </w:divBdr>
    </w:div>
    <w:div w:id="655377181">
      <w:bodyDiv w:val="1"/>
      <w:marLeft w:val="0"/>
      <w:marRight w:val="0"/>
      <w:marTop w:val="0"/>
      <w:marBottom w:val="0"/>
      <w:divBdr>
        <w:top w:val="none" w:sz="0" w:space="0" w:color="auto"/>
        <w:left w:val="none" w:sz="0" w:space="0" w:color="auto"/>
        <w:bottom w:val="none" w:sz="0" w:space="0" w:color="auto"/>
        <w:right w:val="none" w:sz="0" w:space="0" w:color="auto"/>
      </w:divBdr>
    </w:div>
    <w:div w:id="680855075">
      <w:bodyDiv w:val="1"/>
      <w:marLeft w:val="0"/>
      <w:marRight w:val="0"/>
      <w:marTop w:val="0"/>
      <w:marBottom w:val="0"/>
      <w:divBdr>
        <w:top w:val="none" w:sz="0" w:space="0" w:color="auto"/>
        <w:left w:val="none" w:sz="0" w:space="0" w:color="auto"/>
        <w:bottom w:val="none" w:sz="0" w:space="0" w:color="auto"/>
        <w:right w:val="none" w:sz="0" w:space="0" w:color="auto"/>
      </w:divBdr>
    </w:div>
    <w:div w:id="780222391">
      <w:bodyDiv w:val="1"/>
      <w:marLeft w:val="0"/>
      <w:marRight w:val="0"/>
      <w:marTop w:val="0"/>
      <w:marBottom w:val="0"/>
      <w:divBdr>
        <w:top w:val="none" w:sz="0" w:space="0" w:color="auto"/>
        <w:left w:val="none" w:sz="0" w:space="0" w:color="auto"/>
        <w:bottom w:val="none" w:sz="0" w:space="0" w:color="auto"/>
        <w:right w:val="none" w:sz="0" w:space="0" w:color="auto"/>
      </w:divBdr>
    </w:div>
    <w:div w:id="782459186">
      <w:bodyDiv w:val="1"/>
      <w:marLeft w:val="0"/>
      <w:marRight w:val="0"/>
      <w:marTop w:val="0"/>
      <w:marBottom w:val="0"/>
      <w:divBdr>
        <w:top w:val="none" w:sz="0" w:space="0" w:color="auto"/>
        <w:left w:val="none" w:sz="0" w:space="0" w:color="auto"/>
        <w:bottom w:val="none" w:sz="0" w:space="0" w:color="auto"/>
        <w:right w:val="none" w:sz="0" w:space="0" w:color="auto"/>
      </w:divBdr>
    </w:div>
    <w:div w:id="783042881">
      <w:bodyDiv w:val="1"/>
      <w:marLeft w:val="0"/>
      <w:marRight w:val="0"/>
      <w:marTop w:val="0"/>
      <w:marBottom w:val="0"/>
      <w:divBdr>
        <w:top w:val="none" w:sz="0" w:space="0" w:color="auto"/>
        <w:left w:val="none" w:sz="0" w:space="0" w:color="auto"/>
        <w:bottom w:val="none" w:sz="0" w:space="0" w:color="auto"/>
        <w:right w:val="none" w:sz="0" w:space="0" w:color="auto"/>
      </w:divBdr>
    </w:div>
    <w:div w:id="875658095">
      <w:bodyDiv w:val="1"/>
      <w:marLeft w:val="0"/>
      <w:marRight w:val="0"/>
      <w:marTop w:val="0"/>
      <w:marBottom w:val="0"/>
      <w:divBdr>
        <w:top w:val="none" w:sz="0" w:space="0" w:color="auto"/>
        <w:left w:val="none" w:sz="0" w:space="0" w:color="auto"/>
        <w:bottom w:val="none" w:sz="0" w:space="0" w:color="auto"/>
        <w:right w:val="none" w:sz="0" w:space="0" w:color="auto"/>
      </w:divBdr>
    </w:div>
    <w:div w:id="877815873">
      <w:bodyDiv w:val="1"/>
      <w:marLeft w:val="0"/>
      <w:marRight w:val="0"/>
      <w:marTop w:val="0"/>
      <w:marBottom w:val="0"/>
      <w:divBdr>
        <w:top w:val="none" w:sz="0" w:space="0" w:color="auto"/>
        <w:left w:val="none" w:sz="0" w:space="0" w:color="auto"/>
        <w:bottom w:val="none" w:sz="0" w:space="0" w:color="auto"/>
        <w:right w:val="none" w:sz="0" w:space="0" w:color="auto"/>
      </w:divBdr>
    </w:div>
    <w:div w:id="920991221">
      <w:bodyDiv w:val="1"/>
      <w:marLeft w:val="0"/>
      <w:marRight w:val="0"/>
      <w:marTop w:val="0"/>
      <w:marBottom w:val="0"/>
      <w:divBdr>
        <w:top w:val="none" w:sz="0" w:space="0" w:color="auto"/>
        <w:left w:val="none" w:sz="0" w:space="0" w:color="auto"/>
        <w:bottom w:val="none" w:sz="0" w:space="0" w:color="auto"/>
        <w:right w:val="none" w:sz="0" w:space="0" w:color="auto"/>
      </w:divBdr>
    </w:div>
    <w:div w:id="966206761">
      <w:bodyDiv w:val="1"/>
      <w:marLeft w:val="0"/>
      <w:marRight w:val="0"/>
      <w:marTop w:val="0"/>
      <w:marBottom w:val="0"/>
      <w:divBdr>
        <w:top w:val="none" w:sz="0" w:space="0" w:color="auto"/>
        <w:left w:val="none" w:sz="0" w:space="0" w:color="auto"/>
        <w:bottom w:val="none" w:sz="0" w:space="0" w:color="auto"/>
        <w:right w:val="none" w:sz="0" w:space="0" w:color="auto"/>
      </w:divBdr>
    </w:div>
    <w:div w:id="985356230">
      <w:bodyDiv w:val="1"/>
      <w:marLeft w:val="0"/>
      <w:marRight w:val="0"/>
      <w:marTop w:val="0"/>
      <w:marBottom w:val="0"/>
      <w:divBdr>
        <w:top w:val="none" w:sz="0" w:space="0" w:color="auto"/>
        <w:left w:val="none" w:sz="0" w:space="0" w:color="auto"/>
        <w:bottom w:val="none" w:sz="0" w:space="0" w:color="auto"/>
        <w:right w:val="none" w:sz="0" w:space="0" w:color="auto"/>
      </w:divBdr>
    </w:div>
    <w:div w:id="1014577446">
      <w:bodyDiv w:val="1"/>
      <w:marLeft w:val="0"/>
      <w:marRight w:val="0"/>
      <w:marTop w:val="0"/>
      <w:marBottom w:val="0"/>
      <w:divBdr>
        <w:top w:val="none" w:sz="0" w:space="0" w:color="auto"/>
        <w:left w:val="none" w:sz="0" w:space="0" w:color="auto"/>
        <w:bottom w:val="none" w:sz="0" w:space="0" w:color="auto"/>
        <w:right w:val="none" w:sz="0" w:space="0" w:color="auto"/>
      </w:divBdr>
    </w:div>
    <w:div w:id="1025792208">
      <w:bodyDiv w:val="1"/>
      <w:marLeft w:val="0"/>
      <w:marRight w:val="0"/>
      <w:marTop w:val="0"/>
      <w:marBottom w:val="0"/>
      <w:divBdr>
        <w:top w:val="none" w:sz="0" w:space="0" w:color="auto"/>
        <w:left w:val="none" w:sz="0" w:space="0" w:color="auto"/>
        <w:bottom w:val="none" w:sz="0" w:space="0" w:color="auto"/>
        <w:right w:val="none" w:sz="0" w:space="0" w:color="auto"/>
      </w:divBdr>
    </w:div>
    <w:div w:id="1027097435">
      <w:bodyDiv w:val="1"/>
      <w:marLeft w:val="0"/>
      <w:marRight w:val="0"/>
      <w:marTop w:val="0"/>
      <w:marBottom w:val="0"/>
      <w:divBdr>
        <w:top w:val="none" w:sz="0" w:space="0" w:color="auto"/>
        <w:left w:val="none" w:sz="0" w:space="0" w:color="auto"/>
        <w:bottom w:val="none" w:sz="0" w:space="0" w:color="auto"/>
        <w:right w:val="none" w:sz="0" w:space="0" w:color="auto"/>
      </w:divBdr>
    </w:div>
    <w:div w:id="1081486811">
      <w:bodyDiv w:val="1"/>
      <w:marLeft w:val="0"/>
      <w:marRight w:val="0"/>
      <w:marTop w:val="0"/>
      <w:marBottom w:val="0"/>
      <w:divBdr>
        <w:top w:val="none" w:sz="0" w:space="0" w:color="auto"/>
        <w:left w:val="none" w:sz="0" w:space="0" w:color="auto"/>
        <w:bottom w:val="none" w:sz="0" w:space="0" w:color="auto"/>
        <w:right w:val="none" w:sz="0" w:space="0" w:color="auto"/>
      </w:divBdr>
    </w:div>
    <w:div w:id="1087068807">
      <w:bodyDiv w:val="1"/>
      <w:marLeft w:val="0"/>
      <w:marRight w:val="0"/>
      <w:marTop w:val="0"/>
      <w:marBottom w:val="0"/>
      <w:divBdr>
        <w:top w:val="none" w:sz="0" w:space="0" w:color="auto"/>
        <w:left w:val="none" w:sz="0" w:space="0" w:color="auto"/>
        <w:bottom w:val="none" w:sz="0" w:space="0" w:color="auto"/>
        <w:right w:val="none" w:sz="0" w:space="0" w:color="auto"/>
      </w:divBdr>
    </w:div>
    <w:div w:id="1099064613">
      <w:bodyDiv w:val="1"/>
      <w:marLeft w:val="0"/>
      <w:marRight w:val="0"/>
      <w:marTop w:val="0"/>
      <w:marBottom w:val="0"/>
      <w:divBdr>
        <w:top w:val="none" w:sz="0" w:space="0" w:color="auto"/>
        <w:left w:val="none" w:sz="0" w:space="0" w:color="auto"/>
        <w:bottom w:val="none" w:sz="0" w:space="0" w:color="auto"/>
        <w:right w:val="none" w:sz="0" w:space="0" w:color="auto"/>
      </w:divBdr>
    </w:div>
    <w:div w:id="1105424317">
      <w:bodyDiv w:val="1"/>
      <w:marLeft w:val="0"/>
      <w:marRight w:val="0"/>
      <w:marTop w:val="0"/>
      <w:marBottom w:val="0"/>
      <w:divBdr>
        <w:top w:val="none" w:sz="0" w:space="0" w:color="auto"/>
        <w:left w:val="none" w:sz="0" w:space="0" w:color="auto"/>
        <w:bottom w:val="none" w:sz="0" w:space="0" w:color="auto"/>
        <w:right w:val="none" w:sz="0" w:space="0" w:color="auto"/>
      </w:divBdr>
    </w:div>
    <w:div w:id="1145897174">
      <w:bodyDiv w:val="1"/>
      <w:marLeft w:val="0"/>
      <w:marRight w:val="0"/>
      <w:marTop w:val="0"/>
      <w:marBottom w:val="0"/>
      <w:divBdr>
        <w:top w:val="none" w:sz="0" w:space="0" w:color="auto"/>
        <w:left w:val="none" w:sz="0" w:space="0" w:color="auto"/>
        <w:bottom w:val="none" w:sz="0" w:space="0" w:color="auto"/>
        <w:right w:val="none" w:sz="0" w:space="0" w:color="auto"/>
      </w:divBdr>
    </w:div>
    <w:div w:id="1178812045">
      <w:bodyDiv w:val="1"/>
      <w:marLeft w:val="0"/>
      <w:marRight w:val="0"/>
      <w:marTop w:val="0"/>
      <w:marBottom w:val="0"/>
      <w:divBdr>
        <w:top w:val="none" w:sz="0" w:space="0" w:color="auto"/>
        <w:left w:val="none" w:sz="0" w:space="0" w:color="auto"/>
        <w:bottom w:val="none" w:sz="0" w:space="0" w:color="auto"/>
        <w:right w:val="none" w:sz="0" w:space="0" w:color="auto"/>
      </w:divBdr>
    </w:div>
    <w:div w:id="1213540992">
      <w:bodyDiv w:val="1"/>
      <w:marLeft w:val="0"/>
      <w:marRight w:val="0"/>
      <w:marTop w:val="0"/>
      <w:marBottom w:val="0"/>
      <w:divBdr>
        <w:top w:val="none" w:sz="0" w:space="0" w:color="auto"/>
        <w:left w:val="none" w:sz="0" w:space="0" w:color="auto"/>
        <w:bottom w:val="none" w:sz="0" w:space="0" w:color="auto"/>
        <w:right w:val="none" w:sz="0" w:space="0" w:color="auto"/>
      </w:divBdr>
    </w:div>
    <w:div w:id="1223642004">
      <w:bodyDiv w:val="1"/>
      <w:marLeft w:val="0"/>
      <w:marRight w:val="0"/>
      <w:marTop w:val="0"/>
      <w:marBottom w:val="0"/>
      <w:divBdr>
        <w:top w:val="none" w:sz="0" w:space="0" w:color="auto"/>
        <w:left w:val="none" w:sz="0" w:space="0" w:color="auto"/>
        <w:bottom w:val="none" w:sz="0" w:space="0" w:color="auto"/>
        <w:right w:val="none" w:sz="0" w:space="0" w:color="auto"/>
      </w:divBdr>
    </w:div>
    <w:div w:id="1229731636">
      <w:bodyDiv w:val="1"/>
      <w:marLeft w:val="0"/>
      <w:marRight w:val="0"/>
      <w:marTop w:val="0"/>
      <w:marBottom w:val="0"/>
      <w:divBdr>
        <w:top w:val="none" w:sz="0" w:space="0" w:color="auto"/>
        <w:left w:val="none" w:sz="0" w:space="0" w:color="auto"/>
        <w:bottom w:val="none" w:sz="0" w:space="0" w:color="auto"/>
        <w:right w:val="none" w:sz="0" w:space="0" w:color="auto"/>
      </w:divBdr>
    </w:div>
    <w:div w:id="1246109933">
      <w:bodyDiv w:val="1"/>
      <w:marLeft w:val="0"/>
      <w:marRight w:val="0"/>
      <w:marTop w:val="0"/>
      <w:marBottom w:val="0"/>
      <w:divBdr>
        <w:top w:val="none" w:sz="0" w:space="0" w:color="auto"/>
        <w:left w:val="none" w:sz="0" w:space="0" w:color="auto"/>
        <w:bottom w:val="none" w:sz="0" w:space="0" w:color="auto"/>
        <w:right w:val="none" w:sz="0" w:space="0" w:color="auto"/>
      </w:divBdr>
    </w:div>
    <w:div w:id="1265187187">
      <w:bodyDiv w:val="1"/>
      <w:marLeft w:val="0"/>
      <w:marRight w:val="0"/>
      <w:marTop w:val="0"/>
      <w:marBottom w:val="0"/>
      <w:divBdr>
        <w:top w:val="none" w:sz="0" w:space="0" w:color="auto"/>
        <w:left w:val="none" w:sz="0" w:space="0" w:color="auto"/>
        <w:bottom w:val="none" w:sz="0" w:space="0" w:color="auto"/>
        <w:right w:val="none" w:sz="0" w:space="0" w:color="auto"/>
      </w:divBdr>
    </w:div>
    <w:div w:id="1267008683">
      <w:bodyDiv w:val="1"/>
      <w:marLeft w:val="0"/>
      <w:marRight w:val="0"/>
      <w:marTop w:val="0"/>
      <w:marBottom w:val="0"/>
      <w:divBdr>
        <w:top w:val="none" w:sz="0" w:space="0" w:color="auto"/>
        <w:left w:val="none" w:sz="0" w:space="0" w:color="auto"/>
        <w:bottom w:val="none" w:sz="0" w:space="0" w:color="auto"/>
        <w:right w:val="none" w:sz="0" w:space="0" w:color="auto"/>
      </w:divBdr>
    </w:div>
    <w:div w:id="1291130001">
      <w:bodyDiv w:val="1"/>
      <w:marLeft w:val="0"/>
      <w:marRight w:val="0"/>
      <w:marTop w:val="0"/>
      <w:marBottom w:val="0"/>
      <w:divBdr>
        <w:top w:val="none" w:sz="0" w:space="0" w:color="auto"/>
        <w:left w:val="none" w:sz="0" w:space="0" w:color="auto"/>
        <w:bottom w:val="none" w:sz="0" w:space="0" w:color="auto"/>
        <w:right w:val="none" w:sz="0" w:space="0" w:color="auto"/>
      </w:divBdr>
    </w:div>
    <w:div w:id="1377894658">
      <w:bodyDiv w:val="1"/>
      <w:marLeft w:val="0"/>
      <w:marRight w:val="0"/>
      <w:marTop w:val="0"/>
      <w:marBottom w:val="0"/>
      <w:divBdr>
        <w:top w:val="none" w:sz="0" w:space="0" w:color="auto"/>
        <w:left w:val="none" w:sz="0" w:space="0" w:color="auto"/>
        <w:bottom w:val="none" w:sz="0" w:space="0" w:color="auto"/>
        <w:right w:val="none" w:sz="0" w:space="0" w:color="auto"/>
      </w:divBdr>
    </w:div>
    <w:div w:id="1403330060">
      <w:bodyDiv w:val="1"/>
      <w:marLeft w:val="0"/>
      <w:marRight w:val="0"/>
      <w:marTop w:val="0"/>
      <w:marBottom w:val="0"/>
      <w:divBdr>
        <w:top w:val="none" w:sz="0" w:space="0" w:color="auto"/>
        <w:left w:val="none" w:sz="0" w:space="0" w:color="auto"/>
        <w:bottom w:val="none" w:sz="0" w:space="0" w:color="auto"/>
        <w:right w:val="none" w:sz="0" w:space="0" w:color="auto"/>
      </w:divBdr>
    </w:div>
    <w:div w:id="1441606084">
      <w:bodyDiv w:val="1"/>
      <w:marLeft w:val="0"/>
      <w:marRight w:val="0"/>
      <w:marTop w:val="0"/>
      <w:marBottom w:val="0"/>
      <w:divBdr>
        <w:top w:val="none" w:sz="0" w:space="0" w:color="auto"/>
        <w:left w:val="none" w:sz="0" w:space="0" w:color="auto"/>
        <w:bottom w:val="none" w:sz="0" w:space="0" w:color="auto"/>
        <w:right w:val="none" w:sz="0" w:space="0" w:color="auto"/>
      </w:divBdr>
    </w:div>
    <w:div w:id="1560818708">
      <w:bodyDiv w:val="1"/>
      <w:marLeft w:val="0"/>
      <w:marRight w:val="0"/>
      <w:marTop w:val="0"/>
      <w:marBottom w:val="0"/>
      <w:divBdr>
        <w:top w:val="none" w:sz="0" w:space="0" w:color="auto"/>
        <w:left w:val="none" w:sz="0" w:space="0" w:color="auto"/>
        <w:bottom w:val="none" w:sz="0" w:space="0" w:color="auto"/>
        <w:right w:val="none" w:sz="0" w:space="0" w:color="auto"/>
      </w:divBdr>
    </w:div>
    <w:div w:id="1571848036">
      <w:bodyDiv w:val="1"/>
      <w:marLeft w:val="0"/>
      <w:marRight w:val="0"/>
      <w:marTop w:val="0"/>
      <w:marBottom w:val="0"/>
      <w:divBdr>
        <w:top w:val="none" w:sz="0" w:space="0" w:color="auto"/>
        <w:left w:val="none" w:sz="0" w:space="0" w:color="auto"/>
        <w:bottom w:val="none" w:sz="0" w:space="0" w:color="auto"/>
        <w:right w:val="none" w:sz="0" w:space="0" w:color="auto"/>
      </w:divBdr>
    </w:div>
    <w:div w:id="1575779897">
      <w:bodyDiv w:val="1"/>
      <w:marLeft w:val="0"/>
      <w:marRight w:val="0"/>
      <w:marTop w:val="0"/>
      <w:marBottom w:val="0"/>
      <w:divBdr>
        <w:top w:val="none" w:sz="0" w:space="0" w:color="auto"/>
        <w:left w:val="none" w:sz="0" w:space="0" w:color="auto"/>
        <w:bottom w:val="none" w:sz="0" w:space="0" w:color="auto"/>
        <w:right w:val="none" w:sz="0" w:space="0" w:color="auto"/>
      </w:divBdr>
    </w:div>
    <w:div w:id="1667054853">
      <w:bodyDiv w:val="1"/>
      <w:marLeft w:val="0"/>
      <w:marRight w:val="0"/>
      <w:marTop w:val="0"/>
      <w:marBottom w:val="0"/>
      <w:divBdr>
        <w:top w:val="none" w:sz="0" w:space="0" w:color="auto"/>
        <w:left w:val="none" w:sz="0" w:space="0" w:color="auto"/>
        <w:bottom w:val="none" w:sz="0" w:space="0" w:color="auto"/>
        <w:right w:val="none" w:sz="0" w:space="0" w:color="auto"/>
      </w:divBdr>
    </w:div>
    <w:div w:id="1854687031">
      <w:bodyDiv w:val="1"/>
      <w:marLeft w:val="0"/>
      <w:marRight w:val="0"/>
      <w:marTop w:val="0"/>
      <w:marBottom w:val="0"/>
      <w:divBdr>
        <w:top w:val="none" w:sz="0" w:space="0" w:color="auto"/>
        <w:left w:val="none" w:sz="0" w:space="0" w:color="auto"/>
        <w:bottom w:val="none" w:sz="0" w:space="0" w:color="auto"/>
        <w:right w:val="none" w:sz="0" w:space="0" w:color="auto"/>
      </w:divBdr>
    </w:div>
    <w:div w:id="1941796173">
      <w:bodyDiv w:val="1"/>
      <w:marLeft w:val="0"/>
      <w:marRight w:val="0"/>
      <w:marTop w:val="0"/>
      <w:marBottom w:val="0"/>
      <w:divBdr>
        <w:top w:val="none" w:sz="0" w:space="0" w:color="auto"/>
        <w:left w:val="none" w:sz="0" w:space="0" w:color="auto"/>
        <w:bottom w:val="none" w:sz="0" w:space="0" w:color="auto"/>
        <w:right w:val="none" w:sz="0" w:space="0" w:color="auto"/>
      </w:divBdr>
    </w:div>
    <w:div w:id="1959335934">
      <w:bodyDiv w:val="1"/>
      <w:marLeft w:val="0"/>
      <w:marRight w:val="0"/>
      <w:marTop w:val="0"/>
      <w:marBottom w:val="0"/>
      <w:divBdr>
        <w:top w:val="none" w:sz="0" w:space="0" w:color="auto"/>
        <w:left w:val="none" w:sz="0" w:space="0" w:color="auto"/>
        <w:bottom w:val="none" w:sz="0" w:space="0" w:color="auto"/>
        <w:right w:val="none" w:sz="0" w:space="0" w:color="auto"/>
      </w:divBdr>
    </w:div>
    <w:div w:id="1959871329">
      <w:bodyDiv w:val="1"/>
      <w:marLeft w:val="0"/>
      <w:marRight w:val="0"/>
      <w:marTop w:val="0"/>
      <w:marBottom w:val="0"/>
      <w:divBdr>
        <w:top w:val="none" w:sz="0" w:space="0" w:color="auto"/>
        <w:left w:val="none" w:sz="0" w:space="0" w:color="auto"/>
        <w:bottom w:val="none" w:sz="0" w:space="0" w:color="auto"/>
        <w:right w:val="none" w:sz="0" w:space="0" w:color="auto"/>
      </w:divBdr>
    </w:div>
    <w:div w:id="1990284365">
      <w:bodyDiv w:val="1"/>
      <w:marLeft w:val="0"/>
      <w:marRight w:val="0"/>
      <w:marTop w:val="0"/>
      <w:marBottom w:val="0"/>
      <w:divBdr>
        <w:top w:val="none" w:sz="0" w:space="0" w:color="auto"/>
        <w:left w:val="none" w:sz="0" w:space="0" w:color="auto"/>
        <w:bottom w:val="none" w:sz="0" w:space="0" w:color="auto"/>
        <w:right w:val="none" w:sz="0" w:space="0" w:color="auto"/>
      </w:divBdr>
    </w:div>
    <w:div w:id="2028023408">
      <w:bodyDiv w:val="1"/>
      <w:marLeft w:val="0"/>
      <w:marRight w:val="0"/>
      <w:marTop w:val="0"/>
      <w:marBottom w:val="0"/>
      <w:divBdr>
        <w:top w:val="none" w:sz="0" w:space="0" w:color="auto"/>
        <w:left w:val="none" w:sz="0" w:space="0" w:color="auto"/>
        <w:bottom w:val="none" w:sz="0" w:space="0" w:color="auto"/>
        <w:right w:val="none" w:sz="0" w:space="0" w:color="auto"/>
      </w:divBdr>
    </w:div>
    <w:div w:id="2050493519">
      <w:bodyDiv w:val="1"/>
      <w:marLeft w:val="0"/>
      <w:marRight w:val="0"/>
      <w:marTop w:val="0"/>
      <w:marBottom w:val="0"/>
      <w:divBdr>
        <w:top w:val="none" w:sz="0" w:space="0" w:color="auto"/>
        <w:left w:val="none" w:sz="0" w:space="0" w:color="auto"/>
        <w:bottom w:val="none" w:sz="0" w:space="0" w:color="auto"/>
        <w:right w:val="none" w:sz="0" w:space="0" w:color="auto"/>
      </w:divBdr>
    </w:div>
    <w:div w:id="20936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nakoua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nakouya.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1F8CF-9092-4867-8C48-2C66184D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5293</Words>
  <Characters>30176</Characters>
  <Application>Microsoft Office Word</Application>
  <DocSecurity>4</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Partie E-TEMPLATE 4.4</vt:lpstr>
      <vt:lpstr>Partie E-TEMPLATE 4.4</vt:lpstr>
    </vt:vector>
  </TitlesOfParts>
  <Company>Microsoft</Company>
  <LinksUpToDate>false</LinksUpToDate>
  <CharactersWithSpaces>35399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E-TEMPLATE 4.4</dc:title>
  <dc:creator>Soetkin Meertens</dc:creator>
  <cp:lastModifiedBy>Mitsy Jean-Louis</cp:lastModifiedBy>
  <cp:revision>2</cp:revision>
  <dcterms:created xsi:type="dcterms:W3CDTF">2014-03-28T15:47:00Z</dcterms:created>
  <dcterms:modified xsi:type="dcterms:W3CDTF">2014-03-28T15:47:00Z</dcterms:modified>
</cp:coreProperties>
</file>