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4BD5" w14:textId="77777777" w:rsidR="00CF6D08" w:rsidRPr="00EE50E9" w:rsidRDefault="00CF6D08">
      <w:pPr>
        <w:rPr>
          <w:b/>
        </w:rPr>
      </w:pPr>
      <w:bookmarkStart w:id="0" w:name="_GoBack"/>
      <w:bookmarkEnd w:id="0"/>
      <w:r w:rsidRPr="00EE50E9">
        <w:tab/>
      </w:r>
      <w:r w:rsidRPr="00EE50E9">
        <w:tab/>
      </w:r>
      <w:r w:rsidRPr="00EE50E9">
        <w:tab/>
      </w:r>
      <w:r w:rsidRPr="00EE50E9">
        <w:tab/>
      </w:r>
      <w:r w:rsidRPr="00EE50E9">
        <w:tab/>
      </w:r>
      <w:r w:rsidRPr="00EE50E9">
        <w:tab/>
      </w:r>
      <w:r w:rsidRPr="00EE50E9">
        <w:tab/>
      </w:r>
      <w:r w:rsidRPr="00EE50E9">
        <w:tab/>
      </w:r>
      <w:r w:rsidRPr="00EE50E9">
        <w:tab/>
      </w:r>
      <w:r w:rsidR="00EF5593">
        <w:rPr>
          <w:b/>
        </w:rPr>
        <w:t xml:space="preserve"> </w:t>
      </w:r>
    </w:p>
    <w:p w14:paraId="3522FBC1" w14:textId="77777777" w:rsidR="00CF6D08" w:rsidRPr="00EE50E9" w:rsidRDefault="00CF6D08">
      <w:pPr>
        <w:rPr>
          <w:b/>
        </w:rPr>
      </w:pPr>
    </w:p>
    <w:p w14:paraId="1A20D8A2" w14:textId="48C0D051" w:rsidR="0004301F" w:rsidRPr="0004301F" w:rsidRDefault="007B3B80" w:rsidP="0004301F">
      <w:pPr>
        <w:spacing w:after="200" w:line="276" w:lineRule="auto"/>
        <w:rPr>
          <w:rFonts w:eastAsia="Calibri"/>
          <w:b/>
          <w:noProof/>
          <w:sz w:val="28"/>
          <w:szCs w:val="28"/>
          <w:lang w:eastAsia="en-US"/>
        </w:rPr>
      </w:pPr>
      <w:r>
        <w:rPr>
          <w:noProof/>
          <w:lang w:val="en-US" w:eastAsia="en-US"/>
        </w:rPr>
        <w:drawing>
          <wp:inline distT="0" distB="0" distL="0" distR="0" wp14:anchorId="2F5231D8" wp14:editId="7F4EFF4F">
            <wp:extent cx="1625600" cy="1052195"/>
            <wp:effectExtent l="0" t="0" r="0" b="0"/>
            <wp:docPr id="3" name="Image 3" descr="F:\LOGOS PBF\Logo PBF rectangle sans nom.jpg"/>
            <wp:cNvGraphicFramePr/>
            <a:graphic xmlns:a="http://schemas.openxmlformats.org/drawingml/2006/main">
              <a:graphicData uri="http://schemas.openxmlformats.org/drawingml/2006/picture">
                <pic:pic xmlns:pic="http://schemas.openxmlformats.org/drawingml/2006/picture">
                  <pic:nvPicPr>
                    <pic:cNvPr id="3" name="Image 3" descr="F:\LOGOS PBF\Logo PBF rectangle sans nom.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052195"/>
                    </a:xfrm>
                    <a:prstGeom prst="rect">
                      <a:avLst/>
                    </a:prstGeom>
                    <a:noFill/>
                    <a:ln>
                      <a:noFill/>
                    </a:ln>
                  </pic:spPr>
                </pic:pic>
              </a:graphicData>
            </a:graphic>
          </wp:inline>
        </w:drawing>
      </w:r>
      <w:r w:rsidR="0004301F" w:rsidRPr="0004301F">
        <w:rPr>
          <w:rFonts w:eastAsia="Calibri"/>
          <w:b/>
          <w:noProof/>
          <w:sz w:val="28"/>
          <w:szCs w:val="28"/>
          <w:lang w:eastAsia="en-US"/>
        </w:rPr>
        <w:t xml:space="preserve">   </w:t>
      </w:r>
      <w:r w:rsidR="0004301F" w:rsidRPr="0004301F">
        <w:rPr>
          <w:rFonts w:ascii="Calibri" w:eastAsia="Calibri" w:hAnsi="Calibri"/>
          <w:noProof/>
          <w:sz w:val="22"/>
          <w:szCs w:val="22"/>
          <w:lang w:eastAsia="en-US"/>
        </w:rPr>
        <w:t xml:space="preserve">                        </w:t>
      </w:r>
      <w:r w:rsidR="0004301F">
        <w:rPr>
          <w:rFonts w:ascii="Calibri" w:eastAsia="Calibri" w:hAnsi="Calibri"/>
          <w:noProof/>
          <w:sz w:val="22"/>
          <w:szCs w:val="22"/>
          <w:lang w:eastAsia="en-US"/>
        </w:rPr>
        <w:t xml:space="preserve"> </w:t>
      </w:r>
      <w:r w:rsidR="0004301F" w:rsidRPr="0004301F">
        <w:rPr>
          <w:rFonts w:ascii="Calibri" w:eastAsia="Calibri" w:hAnsi="Calibri"/>
          <w:noProof/>
          <w:sz w:val="22"/>
          <w:szCs w:val="22"/>
          <w:lang w:eastAsia="en-US"/>
        </w:rPr>
        <w:t xml:space="preserve">                              </w:t>
      </w:r>
      <w:r w:rsidR="00CD0D2C">
        <w:rPr>
          <w:b/>
          <w:bCs/>
          <w:noProof/>
          <w:lang w:val="en-US" w:eastAsia="en-US"/>
        </w:rPr>
        <w:drawing>
          <wp:inline distT="0" distB="0" distL="0" distR="0" wp14:anchorId="2804A159" wp14:editId="54AE98B7">
            <wp:extent cx="1936166" cy="5436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166" cy="543600"/>
                    </a:xfrm>
                    <a:prstGeom prst="rect">
                      <a:avLst/>
                    </a:prstGeom>
                    <a:noFill/>
                    <a:ln>
                      <a:noFill/>
                    </a:ln>
                  </pic:spPr>
                </pic:pic>
              </a:graphicData>
            </a:graphic>
          </wp:inline>
        </w:drawing>
      </w:r>
      <w:r w:rsidR="0004301F" w:rsidRPr="0004301F">
        <w:rPr>
          <w:rFonts w:ascii="Calibri" w:eastAsia="Calibri" w:hAnsi="Calibri"/>
          <w:noProof/>
          <w:sz w:val="22"/>
          <w:szCs w:val="22"/>
          <w:lang w:eastAsia="en-US"/>
        </w:rPr>
        <w:t xml:space="preserve">                                                           </w:t>
      </w:r>
      <w:r w:rsidR="0004301F" w:rsidRPr="0004301F">
        <w:rPr>
          <w:rFonts w:eastAsia="Calibri"/>
          <w:b/>
          <w:noProof/>
          <w:sz w:val="28"/>
          <w:szCs w:val="28"/>
          <w:lang w:eastAsia="en-US"/>
        </w:rPr>
        <w:t xml:space="preserve">  </w:t>
      </w:r>
    </w:p>
    <w:p w14:paraId="79237732" w14:textId="77777777" w:rsidR="00CF6D08" w:rsidRPr="00EE50E9" w:rsidRDefault="00CF6D08" w:rsidP="00913BF5">
      <w:pPr>
        <w:numPr>
          <w:ilvl w:val="12"/>
          <w:numId w:val="0"/>
        </w:numPr>
        <w:tabs>
          <w:tab w:val="left" w:pos="0"/>
        </w:tabs>
        <w:suppressAutoHyphens/>
        <w:jc w:val="center"/>
        <w:rPr>
          <w:b/>
          <w:bCs/>
          <w:spacing w:val="-3"/>
        </w:rPr>
      </w:pPr>
    </w:p>
    <w:p w14:paraId="60A0A9C8" w14:textId="77777777" w:rsidR="00CF6D08" w:rsidRPr="00EE50E9" w:rsidRDefault="00CF6D08" w:rsidP="00913BF5">
      <w:pPr>
        <w:jc w:val="center"/>
        <w:rPr>
          <w:b/>
          <w:sz w:val="22"/>
          <w:szCs w:val="22"/>
        </w:rPr>
      </w:pPr>
      <w:r w:rsidRPr="00EE50E9">
        <w:rPr>
          <w:b/>
          <w:bCs/>
          <w:sz w:val="28"/>
          <w:szCs w:val="28"/>
        </w:rPr>
        <w:t>FONDS POUR LA CONSOLIDATION DE LA PAIX (PBF)</w:t>
      </w:r>
    </w:p>
    <w:p w14:paraId="0E9E37CC" w14:textId="77777777" w:rsidR="00CF6D08" w:rsidRPr="00EE50E9" w:rsidRDefault="00CF6D08" w:rsidP="00913BF5">
      <w:pPr>
        <w:jc w:val="center"/>
        <w:rPr>
          <w:b/>
          <w:sz w:val="22"/>
          <w:szCs w:val="22"/>
        </w:rPr>
      </w:pPr>
      <w:r w:rsidRPr="00EE50E9">
        <w:rPr>
          <w:b/>
          <w:sz w:val="22"/>
          <w:szCs w:val="22"/>
        </w:rPr>
        <w:t>[</w:t>
      </w:r>
      <w:r w:rsidR="00554C08">
        <w:rPr>
          <w:b/>
          <w:sz w:val="22"/>
          <w:szCs w:val="22"/>
          <w:u w:val="single"/>
        </w:rPr>
        <w:t>GUINEE</w:t>
      </w:r>
      <w:r w:rsidRPr="00EE50E9">
        <w:rPr>
          <w:b/>
          <w:sz w:val="22"/>
          <w:szCs w:val="22"/>
        </w:rPr>
        <w:t>]</w:t>
      </w:r>
    </w:p>
    <w:p w14:paraId="66CF544A" w14:textId="77777777" w:rsidR="00CF6D08" w:rsidRPr="00EE50E9" w:rsidRDefault="00CF6D08" w:rsidP="00913BF5">
      <w:pPr>
        <w:jc w:val="center"/>
        <w:rPr>
          <w:b/>
          <w:sz w:val="22"/>
          <w:szCs w:val="22"/>
        </w:rPr>
      </w:pPr>
    </w:p>
    <w:p w14:paraId="3AE18A27" w14:textId="77777777" w:rsidR="00CF6D08" w:rsidRPr="00EE50E9" w:rsidRDefault="00CF6D08" w:rsidP="00913BF5">
      <w:pPr>
        <w:jc w:val="center"/>
        <w:rPr>
          <w:b/>
          <w:sz w:val="22"/>
          <w:szCs w:val="22"/>
        </w:rPr>
      </w:pPr>
      <w:r w:rsidRPr="00EE50E9">
        <w:rPr>
          <w:b/>
          <w:sz w:val="22"/>
          <w:szCs w:val="22"/>
        </w:rPr>
        <w:t xml:space="preserve">ACTUALISATION SEMESTRIELLE DES PROGRES DU PROJET </w:t>
      </w:r>
    </w:p>
    <w:p w14:paraId="797DC9E3" w14:textId="77777777" w:rsidR="00CF6D08" w:rsidRPr="00EE50E9" w:rsidRDefault="00CF6D08" w:rsidP="00913BF5">
      <w:pPr>
        <w:jc w:val="center"/>
        <w:rPr>
          <w:b/>
          <w:sz w:val="22"/>
          <w:szCs w:val="22"/>
        </w:rPr>
      </w:pPr>
    </w:p>
    <w:p w14:paraId="69B713DB" w14:textId="77777777" w:rsidR="00CF6D08" w:rsidRPr="00EE50E9" w:rsidRDefault="00CF6D08" w:rsidP="00913BF5">
      <w:pPr>
        <w:jc w:val="center"/>
        <w:rPr>
          <w:b/>
          <w:sz w:val="22"/>
          <w:szCs w:val="22"/>
        </w:rPr>
      </w:pPr>
      <w:r w:rsidRPr="00EE50E9">
        <w:rPr>
          <w:b/>
          <w:sz w:val="22"/>
          <w:szCs w:val="22"/>
        </w:rPr>
        <w:t>POUR LA PERIODE</w:t>
      </w:r>
      <w:r w:rsidR="00554C08">
        <w:rPr>
          <w:b/>
          <w:sz w:val="22"/>
          <w:szCs w:val="22"/>
          <w:u w:val="single"/>
        </w:rPr>
        <w:t xml:space="preserve"> JANVIER- JUIN 2014</w:t>
      </w:r>
    </w:p>
    <w:p w14:paraId="2F81A548" w14:textId="77777777" w:rsidR="00CF6D08" w:rsidRPr="00EE50E9" w:rsidRDefault="00CF6D08" w:rsidP="00913BF5">
      <w:pPr>
        <w:jc w:val="center"/>
        <w:rPr>
          <w:b/>
          <w:sz w:val="22"/>
          <w:szCs w:val="22"/>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55"/>
        <w:gridCol w:w="2848"/>
        <w:gridCol w:w="2665"/>
      </w:tblGrid>
      <w:tr w:rsidR="00CF6D08" w:rsidRPr="00EE50E9" w14:paraId="2BD141DC" w14:textId="77777777" w:rsidTr="00FC7044">
        <w:trPr>
          <w:trHeight w:val="620"/>
        </w:trPr>
        <w:tc>
          <w:tcPr>
            <w:tcW w:w="2835" w:type="dxa"/>
            <w:shd w:val="clear" w:color="auto" w:fill="E6E6E6"/>
            <w:vAlign w:val="center"/>
          </w:tcPr>
          <w:p w14:paraId="1BAE8424" w14:textId="77777777" w:rsidR="00CF6D08" w:rsidRPr="00EE50E9" w:rsidRDefault="00CF6D08" w:rsidP="00EE50E9">
            <w:pPr>
              <w:rPr>
                <w:b/>
              </w:rPr>
            </w:pPr>
            <w:r w:rsidRPr="00EE50E9">
              <w:rPr>
                <w:b/>
                <w:sz w:val="22"/>
                <w:szCs w:val="22"/>
              </w:rPr>
              <w:t>No &amp; Intitulé du projet</w:t>
            </w:r>
          </w:p>
        </w:tc>
        <w:tc>
          <w:tcPr>
            <w:tcW w:w="7768" w:type="dxa"/>
            <w:gridSpan w:val="3"/>
            <w:shd w:val="clear" w:color="auto" w:fill="FFFFFF"/>
          </w:tcPr>
          <w:p w14:paraId="11100969" w14:textId="77777777" w:rsidR="009331CE" w:rsidRDefault="009331CE" w:rsidP="001547CD">
            <w:pPr>
              <w:rPr>
                <w:b/>
                <w:sz w:val="22"/>
                <w:szCs w:val="22"/>
              </w:rPr>
            </w:pPr>
            <w:r>
              <w:rPr>
                <w:b/>
                <w:sz w:val="22"/>
                <w:szCs w:val="22"/>
              </w:rPr>
              <w:t xml:space="preserve">ID : </w:t>
            </w:r>
            <w:r w:rsidR="00F16082">
              <w:rPr>
                <w:b/>
                <w:sz w:val="22"/>
                <w:szCs w:val="22"/>
              </w:rPr>
              <w:t>0085 994</w:t>
            </w:r>
            <w:r w:rsidRPr="00152993">
              <w:rPr>
                <w:b/>
                <w:sz w:val="22"/>
                <w:szCs w:val="22"/>
              </w:rPr>
              <w:t xml:space="preserve"> </w:t>
            </w:r>
          </w:p>
          <w:p w14:paraId="2F45BAB1" w14:textId="77777777" w:rsidR="001547CD" w:rsidRPr="00152993" w:rsidRDefault="009331CE" w:rsidP="001547CD">
            <w:pPr>
              <w:rPr>
                <w:b/>
                <w:sz w:val="22"/>
                <w:szCs w:val="22"/>
              </w:rPr>
            </w:pPr>
            <w:r w:rsidRPr="00152993">
              <w:rPr>
                <w:b/>
                <w:sz w:val="22"/>
                <w:szCs w:val="22"/>
              </w:rPr>
              <w:t>PBF/GIN/D-2</w:t>
            </w:r>
          </w:p>
          <w:p w14:paraId="2117DEF6" w14:textId="77777777" w:rsidR="00CF6D08" w:rsidRPr="00EE50E9" w:rsidRDefault="001547CD" w:rsidP="001547CD">
            <w:r w:rsidRPr="00152993">
              <w:rPr>
                <w:b/>
                <w:sz w:val="22"/>
                <w:szCs w:val="22"/>
              </w:rPr>
              <w:t>Projet d’appui à l’Emploi des Jeunes et des Femmes dans l’agenda de consolidation de la paix en Guinée « Étude des opportunités dans les secteurs Minier et Agricole »</w:t>
            </w:r>
          </w:p>
        </w:tc>
      </w:tr>
      <w:tr w:rsidR="00CF6D08" w:rsidRPr="00EE50E9" w14:paraId="5CF61BA0" w14:textId="77777777" w:rsidTr="00FC7044">
        <w:trPr>
          <w:trHeight w:val="436"/>
        </w:trPr>
        <w:tc>
          <w:tcPr>
            <w:tcW w:w="2835" w:type="dxa"/>
            <w:shd w:val="clear" w:color="auto" w:fill="E6E6E6"/>
            <w:vAlign w:val="center"/>
          </w:tcPr>
          <w:p w14:paraId="15D85B22" w14:textId="77777777" w:rsidR="00CF6D08" w:rsidRPr="00EE50E9" w:rsidRDefault="00CF6D08" w:rsidP="00913BF5">
            <w:r w:rsidRPr="00EE50E9">
              <w:rPr>
                <w:b/>
                <w:sz w:val="22"/>
                <w:szCs w:val="22"/>
              </w:rPr>
              <w:t>Organe(s) bénéficiaire(s)</w:t>
            </w:r>
            <w:r w:rsidRPr="00EE50E9">
              <w:rPr>
                <w:rStyle w:val="FootnoteReference"/>
                <w:b/>
                <w:sz w:val="22"/>
                <w:szCs w:val="22"/>
              </w:rPr>
              <w:footnoteReference w:id="1"/>
            </w:r>
            <w:r w:rsidRPr="00EE50E9">
              <w:rPr>
                <w:b/>
                <w:sz w:val="22"/>
                <w:szCs w:val="22"/>
              </w:rPr>
              <w:t xml:space="preserve">:  </w:t>
            </w:r>
          </w:p>
        </w:tc>
        <w:tc>
          <w:tcPr>
            <w:tcW w:w="7768" w:type="dxa"/>
            <w:gridSpan w:val="3"/>
            <w:vAlign w:val="center"/>
          </w:tcPr>
          <w:p w14:paraId="282CE266" w14:textId="77777777" w:rsidR="00CF6D08" w:rsidRPr="00152993" w:rsidRDefault="001547CD" w:rsidP="00913BF5">
            <w:pPr>
              <w:rPr>
                <w:b/>
                <w:sz w:val="22"/>
                <w:szCs w:val="22"/>
              </w:rPr>
            </w:pPr>
            <w:r w:rsidRPr="00152993">
              <w:rPr>
                <w:b/>
                <w:sz w:val="22"/>
                <w:szCs w:val="22"/>
              </w:rPr>
              <w:t>UNICEF</w:t>
            </w:r>
          </w:p>
        </w:tc>
      </w:tr>
      <w:tr w:rsidR="00CF6D08" w:rsidRPr="00EE50E9" w14:paraId="7854C607" w14:textId="77777777" w:rsidTr="00FC7044">
        <w:trPr>
          <w:trHeight w:val="375"/>
        </w:trPr>
        <w:tc>
          <w:tcPr>
            <w:tcW w:w="2835" w:type="dxa"/>
            <w:shd w:val="clear" w:color="auto" w:fill="E6E6E6"/>
            <w:vAlign w:val="center"/>
          </w:tcPr>
          <w:p w14:paraId="688EA848" w14:textId="77777777" w:rsidR="00CF6D08" w:rsidRPr="00EE50E9" w:rsidRDefault="00CF6D08" w:rsidP="00913BF5">
            <w:pPr>
              <w:rPr>
                <w:bCs/>
              </w:rPr>
            </w:pPr>
            <w:r w:rsidRPr="00EE50E9">
              <w:rPr>
                <w:b/>
                <w:sz w:val="22"/>
                <w:szCs w:val="22"/>
              </w:rPr>
              <w:t>Partenaires d’exécution (gouvernement, institutions de l’ONU, ONG, etc.)</w:t>
            </w:r>
          </w:p>
        </w:tc>
        <w:tc>
          <w:tcPr>
            <w:tcW w:w="7768" w:type="dxa"/>
            <w:gridSpan w:val="3"/>
            <w:vAlign w:val="center"/>
          </w:tcPr>
          <w:p w14:paraId="43DAC638" w14:textId="77777777" w:rsidR="001547CD" w:rsidRPr="00152993" w:rsidRDefault="001547CD" w:rsidP="00152993">
            <w:pPr>
              <w:pStyle w:val="ListParagraph"/>
              <w:numPr>
                <w:ilvl w:val="0"/>
                <w:numId w:val="4"/>
              </w:numPr>
              <w:rPr>
                <w:b/>
                <w:bCs/>
                <w:sz w:val="22"/>
                <w:szCs w:val="22"/>
              </w:rPr>
            </w:pPr>
            <w:r w:rsidRPr="00152993">
              <w:rPr>
                <w:b/>
                <w:bCs/>
                <w:sz w:val="22"/>
                <w:szCs w:val="22"/>
              </w:rPr>
              <w:t>Ministère de l’Emploi, de l’Enseignement Technique et de la Formation Professionnelle</w:t>
            </w:r>
          </w:p>
          <w:p w14:paraId="3AF33A0C" w14:textId="77777777" w:rsidR="001547CD" w:rsidRPr="00152993" w:rsidRDefault="001547CD" w:rsidP="00152993">
            <w:pPr>
              <w:pStyle w:val="ListParagraph"/>
              <w:numPr>
                <w:ilvl w:val="0"/>
                <w:numId w:val="4"/>
              </w:numPr>
              <w:rPr>
                <w:b/>
                <w:bCs/>
                <w:sz w:val="22"/>
                <w:szCs w:val="22"/>
              </w:rPr>
            </w:pPr>
            <w:r w:rsidRPr="00152993">
              <w:rPr>
                <w:b/>
                <w:bCs/>
                <w:sz w:val="22"/>
                <w:szCs w:val="22"/>
              </w:rPr>
              <w:t>Ministère de la Jeunesse, de l’Emploi des Jeunes et des Sports</w:t>
            </w:r>
          </w:p>
          <w:p w14:paraId="2006A0D3" w14:textId="77777777" w:rsidR="00CF6D08" w:rsidRPr="00152993" w:rsidRDefault="001547CD" w:rsidP="00152993">
            <w:pPr>
              <w:pStyle w:val="ListParagraph"/>
              <w:numPr>
                <w:ilvl w:val="0"/>
                <w:numId w:val="4"/>
              </w:numPr>
              <w:rPr>
                <w:b/>
                <w:bCs/>
                <w:sz w:val="22"/>
                <w:szCs w:val="22"/>
              </w:rPr>
            </w:pPr>
            <w:r w:rsidRPr="00152993">
              <w:rPr>
                <w:b/>
                <w:bCs/>
                <w:sz w:val="22"/>
                <w:szCs w:val="22"/>
              </w:rPr>
              <w:t>Ministère des Affaires Sociales, de la Promotion Féminine et de l’Enfance</w:t>
            </w:r>
          </w:p>
          <w:p w14:paraId="3954768D" w14:textId="77777777" w:rsidR="001547CD" w:rsidRPr="00554C08" w:rsidRDefault="00554C08" w:rsidP="00152993">
            <w:pPr>
              <w:pStyle w:val="ListParagraph"/>
              <w:numPr>
                <w:ilvl w:val="0"/>
                <w:numId w:val="4"/>
              </w:numPr>
              <w:rPr>
                <w:bCs/>
              </w:rPr>
            </w:pPr>
            <w:r w:rsidRPr="00152993">
              <w:rPr>
                <w:b/>
                <w:bCs/>
                <w:sz w:val="22"/>
                <w:szCs w:val="22"/>
              </w:rPr>
              <w:t>Cabinet BUDEC Face</w:t>
            </w:r>
          </w:p>
        </w:tc>
      </w:tr>
      <w:tr w:rsidR="00CF6D08" w:rsidRPr="00EE50E9" w14:paraId="5BE26569" w14:textId="77777777" w:rsidTr="00FC7044">
        <w:trPr>
          <w:trHeight w:val="375"/>
        </w:trPr>
        <w:tc>
          <w:tcPr>
            <w:tcW w:w="2835" w:type="dxa"/>
            <w:shd w:val="clear" w:color="auto" w:fill="E6E6E6"/>
            <w:vAlign w:val="center"/>
          </w:tcPr>
          <w:p w14:paraId="673DED55" w14:textId="77777777" w:rsidR="00CF6D08" w:rsidRPr="00EE50E9" w:rsidRDefault="00CF6D08" w:rsidP="00913BF5">
            <w:pPr>
              <w:rPr>
                <w:b/>
              </w:rPr>
            </w:pPr>
            <w:r w:rsidRPr="00EE50E9">
              <w:rPr>
                <w:b/>
                <w:sz w:val="22"/>
                <w:szCs w:val="22"/>
              </w:rPr>
              <w:t>Site:</w:t>
            </w:r>
          </w:p>
        </w:tc>
        <w:tc>
          <w:tcPr>
            <w:tcW w:w="7768" w:type="dxa"/>
            <w:gridSpan w:val="3"/>
            <w:vAlign w:val="center"/>
          </w:tcPr>
          <w:p w14:paraId="4DC6BA35" w14:textId="77777777" w:rsidR="00CF6D08" w:rsidRPr="00152993" w:rsidRDefault="00152993" w:rsidP="00913BF5">
            <w:pPr>
              <w:rPr>
                <w:b/>
                <w:sz w:val="22"/>
                <w:szCs w:val="22"/>
              </w:rPr>
            </w:pPr>
            <w:r w:rsidRPr="00152993">
              <w:rPr>
                <w:b/>
                <w:sz w:val="22"/>
                <w:szCs w:val="22"/>
              </w:rPr>
              <w:t>Toutes les régions de la Guinée</w:t>
            </w:r>
          </w:p>
        </w:tc>
      </w:tr>
      <w:tr w:rsidR="00CF6D08" w:rsidRPr="00EE50E9" w14:paraId="43329393" w14:textId="77777777" w:rsidTr="00FC7044">
        <w:trPr>
          <w:trHeight w:val="375"/>
        </w:trPr>
        <w:tc>
          <w:tcPr>
            <w:tcW w:w="2835" w:type="dxa"/>
            <w:shd w:val="clear" w:color="auto" w:fill="E6E6E6"/>
          </w:tcPr>
          <w:p w14:paraId="1759450A" w14:textId="77777777" w:rsidR="00CF6D08" w:rsidRPr="00EE50E9" w:rsidRDefault="00CF6D08" w:rsidP="00913BF5">
            <w:pPr>
              <w:rPr>
                <w:b/>
              </w:rPr>
            </w:pPr>
            <w:r w:rsidRPr="00EE50E9">
              <w:rPr>
                <w:b/>
                <w:sz w:val="22"/>
                <w:szCs w:val="22"/>
              </w:rPr>
              <w:t>Budget total approuvé</w:t>
            </w:r>
            <w:r w:rsidRPr="00EE50E9">
              <w:rPr>
                <w:rStyle w:val="FootnoteReference"/>
                <w:b/>
                <w:sz w:val="22"/>
                <w:szCs w:val="22"/>
              </w:rPr>
              <w:footnoteReference w:id="2"/>
            </w:r>
          </w:p>
        </w:tc>
        <w:tc>
          <w:tcPr>
            <w:tcW w:w="7768" w:type="dxa"/>
            <w:gridSpan w:val="3"/>
            <w:vAlign w:val="center"/>
          </w:tcPr>
          <w:p w14:paraId="56BA4695" w14:textId="77777777" w:rsidR="00CF6D08" w:rsidRPr="00152993" w:rsidRDefault="00554C08" w:rsidP="00913BF5">
            <w:pPr>
              <w:rPr>
                <w:b/>
                <w:sz w:val="22"/>
                <w:szCs w:val="22"/>
              </w:rPr>
            </w:pPr>
            <w:r w:rsidRPr="00152993">
              <w:rPr>
                <w:b/>
                <w:sz w:val="22"/>
                <w:szCs w:val="22"/>
              </w:rPr>
              <w:t>433,350 $ US</w:t>
            </w:r>
          </w:p>
        </w:tc>
      </w:tr>
      <w:tr w:rsidR="00CF6D08" w:rsidRPr="00EE50E9" w14:paraId="0B933428" w14:textId="77777777" w:rsidTr="00FC7044">
        <w:trPr>
          <w:trHeight w:val="375"/>
        </w:trPr>
        <w:tc>
          <w:tcPr>
            <w:tcW w:w="2835" w:type="dxa"/>
            <w:shd w:val="clear" w:color="auto" w:fill="E6E6E6"/>
          </w:tcPr>
          <w:p w14:paraId="06545941" w14:textId="77777777" w:rsidR="00CF6D08" w:rsidRPr="00EE50E9" w:rsidRDefault="00CF6D08" w:rsidP="00913BF5">
            <w:pPr>
              <w:rPr>
                <w:b/>
              </w:rPr>
            </w:pPr>
            <w:r w:rsidRPr="00EE50E9">
              <w:rPr>
                <w:b/>
                <w:sz w:val="22"/>
                <w:szCs w:val="22"/>
              </w:rPr>
              <w:t>Fonds engagés</w:t>
            </w:r>
            <w:r w:rsidRPr="00EE50E9">
              <w:rPr>
                <w:rStyle w:val="FootnoteReference"/>
                <w:b/>
                <w:sz w:val="22"/>
                <w:szCs w:val="22"/>
              </w:rPr>
              <w:footnoteReference w:id="3"/>
            </w:r>
            <w:r w:rsidRPr="00EE50E9">
              <w:rPr>
                <w:b/>
                <w:sz w:val="22"/>
                <w:szCs w:val="22"/>
              </w:rPr>
              <w:t xml:space="preserve"> </w:t>
            </w:r>
          </w:p>
        </w:tc>
        <w:tc>
          <w:tcPr>
            <w:tcW w:w="2255" w:type="dxa"/>
            <w:vAlign w:val="center"/>
          </w:tcPr>
          <w:p w14:paraId="6CF0C6D6" w14:textId="77777777" w:rsidR="00CF6D08" w:rsidRPr="00554C08" w:rsidRDefault="006164ED" w:rsidP="00913BF5">
            <w:pPr>
              <w:rPr>
                <w:highlight w:val="yellow"/>
              </w:rPr>
            </w:pPr>
            <w:r w:rsidRPr="006164ED">
              <w:rPr>
                <w:b/>
                <w:sz w:val="22"/>
                <w:szCs w:val="22"/>
              </w:rPr>
              <w:t>433,350 $ US</w:t>
            </w:r>
          </w:p>
        </w:tc>
        <w:tc>
          <w:tcPr>
            <w:tcW w:w="2848" w:type="dxa"/>
            <w:shd w:val="pct15" w:color="auto" w:fill="auto"/>
            <w:vAlign w:val="center"/>
          </w:tcPr>
          <w:p w14:paraId="6C08F0BB" w14:textId="77777777" w:rsidR="00CF6D08" w:rsidRPr="00EE50E9" w:rsidRDefault="00CF6D08" w:rsidP="00913BF5">
            <w:pPr>
              <w:rPr>
                <w:b/>
              </w:rPr>
            </w:pPr>
            <w:r w:rsidRPr="00EE50E9">
              <w:rPr>
                <w:b/>
                <w:sz w:val="22"/>
                <w:szCs w:val="22"/>
              </w:rPr>
              <w:t>% de fonds engagés / budget total approuvé:</w:t>
            </w:r>
          </w:p>
        </w:tc>
        <w:tc>
          <w:tcPr>
            <w:tcW w:w="2665" w:type="dxa"/>
            <w:vAlign w:val="center"/>
          </w:tcPr>
          <w:p w14:paraId="2E0832D7" w14:textId="77777777" w:rsidR="00CF6D08" w:rsidRPr="006164ED" w:rsidRDefault="006164ED" w:rsidP="00913BF5">
            <w:pPr>
              <w:rPr>
                <w:b/>
                <w:sz w:val="22"/>
                <w:szCs w:val="22"/>
              </w:rPr>
            </w:pPr>
            <w:r w:rsidRPr="006164ED">
              <w:rPr>
                <w:b/>
                <w:sz w:val="22"/>
                <w:szCs w:val="22"/>
              </w:rPr>
              <w:t>100%</w:t>
            </w:r>
          </w:p>
        </w:tc>
      </w:tr>
      <w:tr w:rsidR="00CF6D08" w:rsidRPr="00EE50E9" w14:paraId="7BA0FDC6" w14:textId="77777777" w:rsidTr="00FC7044">
        <w:trPr>
          <w:trHeight w:val="375"/>
        </w:trPr>
        <w:tc>
          <w:tcPr>
            <w:tcW w:w="2835" w:type="dxa"/>
            <w:shd w:val="clear" w:color="auto" w:fill="E6E6E6"/>
          </w:tcPr>
          <w:p w14:paraId="2944920A" w14:textId="77777777" w:rsidR="00CF6D08" w:rsidRPr="00EE50E9" w:rsidRDefault="00CF6D08" w:rsidP="00CA7429">
            <w:pPr>
              <w:rPr>
                <w:b/>
              </w:rPr>
            </w:pPr>
            <w:r w:rsidRPr="00EE50E9">
              <w:rPr>
                <w:b/>
                <w:sz w:val="22"/>
                <w:szCs w:val="22"/>
              </w:rPr>
              <w:t>Dépenses</w:t>
            </w:r>
            <w:r w:rsidRPr="00EE50E9">
              <w:rPr>
                <w:rStyle w:val="FootnoteReference"/>
                <w:b/>
                <w:sz w:val="22"/>
                <w:szCs w:val="22"/>
              </w:rPr>
              <w:footnoteReference w:id="4"/>
            </w:r>
            <w:r w:rsidRPr="00EE50E9">
              <w:rPr>
                <w:b/>
                <w:sz w:val="22"/>
                <w:szCs w:val="22"/>
              </w:rPr>
              <w:t>:</w:t>
            </w:r>
          </w:p>
        </w:tc>
        <w:tc>
          <w:tcPr>
            <w:tcW w:w="2255" w:type="dxa"/>
            <w:vAlign w:val="center"/>
          </w:tcPr>
          <w:p w14:paraId="46A34341" w14:textId="77777777" w:rsidR="00CF6D08" w:rsidRPr="008F5B45" w:rsidRDefault="008F5B45" w:rsidP="00913BF5">
            <w:pPr>
              <w:rPr>
                <w:b/>
                <w:sz w:val="22"/>
                <w:szCs w:val="22"/>
                <w:highlight w:val="yellow"/>
                <w:lang w:eastAsia="ja-JP"/>
              </w:rPr>
            </w:pPr>
            <w:r w:rsidRPr="008F5B45">
              <w:rPr>
                <w:b/>
                <w:sz w:val="22"/>
                <w:szCs w:val="22"/>
                <w:lang w:eastAsia="ja-JP"/>
              </w:rPr>
              <w:t>379,</w:t>
            </w:r>
            <w:r>
              <w:rPr>
                <w:b/>
                <w:sz w:val="22"/>
                <w:szCs w:val="22"/>
                <w:lang w:eastAsia="ja-JP"/>
              </w:rPr>
              <w:t>870</w:t>
            </w:r>
            <w:r w:rsidRPr="008F5B45">
              <w:rPr>
                <w:b/>
                <w:sz w:val="22"/>
                <w:szCs w:val="22"/>
                <w:lang w:eastAsia="ja-JP"/>
              </w:rPr>
              <w:t>$ US</w:t>
            </w:r>
          </w:p>
        </w:tc>
        <w:tc>
          <w:tcPr>
            <w:tcW w:w="2848" w:type="dxa"/>
            <w:shd w:val="pct15" w:color="auto" w:fill="auto"/>
            <w:vAlign w:val="center"/>
          </w:tcPr>
          <w:p w14:paraId="0057E23E" w14:textId="77777777" w:rsidR="00CF6D08" w:rsidRPr="00EE50E9" w:rsidRDefault="00CF6D08" w:rsidP="00913BF5">
            <w:r w:rsidRPr="00EE50E9">
              <w:rPr>
                <w:b/>
                <w:sz w:val="22"/>
                <w:szCs w:val="22"/>
              </w:rPr>
              <w:t>% de dépenses / budget total: (taux d’exécution)</w:t>
            </w:r>
          </w:p>
        </w:tc>
        <w:tc>
          <w:tcPr>
            <w:tcW w:w="2665" w:type="dxa"/>
            <w:vAlign w:val="center"/>
          </w:tcPr>
          <w:p w14:paraId="468F1EE4" w14:textId="77777777" w:rsidR="00CF6D08" w:rsidRPr="008F5B45" w:rsidRDefault="008F5B45" w:rsidP="00913BF5">
            <w:pPr>
              <w:rPr>
                <w:b/>
                <w:sz w:val="22"/>
                <w:szCs w:val="22"/>
                <w:lang w:eastAsia="ja-JP"/>
              </w:rPr>
            </w:pPr>
            <w:r w:rsidRPr="008F5B45">
              <w:rPr>
                <w:b/>
                <w:sz w:val="22"/>
                <w:szCs w:val="22"/>
                <w:lang w:eastAsia="ja-JP"/>
              </w:rPr>
              <w:t>88%</w:t>
            </w:r>
          </w:p>
        </w:tc>
      </w:tr>
      <w:tr w:rsidR="00CF6D08" w:rsidRPr="00EE50E9" w14:paraId="190A4FBE" w14:textId="77777777" w:rsidTr="00FC7044">
        <w:trPr>
          <w:trHeight w:val="420"/>
        </w:trPr>
        <w:tc>
          <w:tcPr>
            <w:tcW w:w="2835" w:type="dxa"/>
            <w:shd w:val="clear" w:color="auto" w:fill="E6E6E6"/>
            <w:vAlign w:val="center"/>
          </w:tcPr>
          <w:p w14:paraId="6A348133" w14:textId="77777777" w:rsidR="00CF6D08" w:rsidRPr="00EE50E9" w:rsidRDefault="00CF6D08" w:rsidP="00913BF5">
            <w:pPr>
              <w:rPr>
                <w:b/>
              </w:rPr>
            </w:pPr>
            <w:r w:rsidRPr="00EE50E9">
              <w:rPr>
                <w:b/>
                <w:sz w:val="22"/>
                <w:szCs w:val="22"/>
              </w:rPr>
              <w:t>Date d’approbation du projet:</w:t>
            </w:r>
          </w:p>
          <w:p w14:paraId="7B4D6D7F" w14:textId="77777777" w:rsidR="00CF6D08" w:rsidRPr="00EE50E9" w:rsidRDefault="00CF6D08" w:rsidP="00913BF5">
            <w:pPr>
              <w:rPr>
                <w:b/>
              </w:rPr>
            </w:pPr>
          </w:p>
        </w:tc>
        <w:tc>
          <w:tcPr>
            <w:tcW w:w="2255" w:type="dxa"/>
            <w:vAlign w:val="center"/>
          </w:tcPr>
          <w:p w14:paraId="646E9786" w14:textId="77777777" w:rsidR="00CF6D08" w:rsidRPr="008F5B45" w:rsidRDefault="006164ED" w:rsidP="006164ED">
            <w:pPr>
              <w:rPr>
                <w:b/>
                <w:sz w:val="22"/>
                <w:szCs w:val="22"/>
                <w:highlight w:val="yellow"/>
              </w:rPr>
            </w:pPr>
            <w:r w:rsidRPr="008F5B45">
              <w:rPr>
                <w:b/>
                <w:sz w:val="22"/>
                <w:szCs w:val="22"/>
              </w:rPr>
              <w:t>Mars 2013</w:t>
            </w:r>
          </w:p>
        </w:tc>
        <w:tc>
          <w:tcPr>
            <w:tcW w:w="2848" w:type="dxa"/>
            <w:vMerge w:val="restart"/>
            <w:shd w:val="pct15" w:color="auto" w:fill="auto"/>
            <w:vAlign w:val="center"/>
          </w:tcPr>
          <w:p w14:paraId="01B7C939" w14:textId="77777777" w:rsidR="00CF6D08" w:rsidRPr="00EE50E9" w:rsidRDefault="00CF6D08" w:rsidP="00913BF5">
            <w:pPr>
              <w:jc w:val="center"/>
              <w:rPr>
                <w:b/>
                <w:bCs/>
              </w:rPr>
            </w:pPr>
            <w:r w:rsidRPr="00EE50E9">
              <w:rPr>
                <w:b/>
                <w:bCs/>
                <w:sz w:val="22"/>
                <w:szCs w:val="22"/>
              </w:rPr>
              <w:t>Retard possible concernant la date de clôture opérationnelle (en nombre de mois)</w:t>
            </w:r>
          </w:p>
        </w:tc>
        <w:tc>
          <w:tcPr>
            <w:tcW w:w="2665" w:type="dxa"/>
            <w:vMerge w:val="restart"/>
            <w:vAlign w:val="center"/>
          </w:tcPr>
          <w:p w14:paraId="02AF4582" w14:textId="77777777" w:rsidR="00CF6D08" w:rsidRPr="00EE50E9" w:rsidRDefault="00CF6D08" w:rsidP="00913BF5">
            <w:pPr>
              <w:jc w:val="center"/>
              <w:rPr>
                <w:bCs/>
              </w:rPr>
            </w:pPr>
          </w:p>
        </w:tc>
      </w:tr>
      <w:tr w:rsidR="00CF6D08" w:rsidRPr="00EE50E9" w14:paraId="6B24F361" w14:textId="77777777" w:rsidTr="00FC7044">
        <w:trPr>
          <w:trHeight w:val="420"/>
        </w:trPr>
        <w:tc>
          <w:tcPr>
            <w:tcW w:w="2835" w:type="dxa"/>
            <w:shd w:val="clear" w:color="auto" w:fill="E6E6E6"/>
            <w:vAlign w:val="center"/>
          </w:tcPr>
          <w:p w14:paraId="3BA1E963" w14:textId="77777777" w:rsidR="00CF6D08" w:rsidRPr="00EE50E9" w:rsidRDefault="00CF6D08" w:rsidP="00913BF5">
            <w:pPr>
              <w:rPr>
                <w:b/>
              </w:rPr>
            </w:pPr>
            <w:r w:rsidRPr="00EE50E9">
              <w:rPr>
                <w:b/>
                <w:sz w:val="22"/>
                <w:szCs w:val="22"/>
              </w:rPr>
              <w:t>Date de démarrage du projet:</w:t>
            </w:r>
          </w:p>
          <w:p w14:paraId="4D83441D" w14:textId="77777777" w:rsidR="00CF6D08" w:rsidRPr="00EE50E9" w:rsidRDefault="00CF6D08" w:rsidP="00913BF5">
            <w:pPr>
              <w:rPr>
                <w:b/>
              </w:rPr>
            </w:pPr>
          </w:p>
        </w:tc>
        <w:tc>
          <w:tcPr>
            <w:tcW w:w="2255" w:type="dxa"/>
            <w:vAlign w:val="center"/>
          </w:tcPr>
          <w:p w14:paraId="3FD8E94C" w14:textId="77777777" w:rsidR="00CF6D08" w:rsidRPr="00152993" w:rsidRDefault="00554C08" w:rsidP="00152993">
            <w:pPr>
              <w:rPr>
                <w:b/>
              </w:rPr>
            </w:pPr>
            <w:r w:rsidRPr="00152993">
              <w:rPr>
                <w:b/>
                <w:sz w:val="22"/>
                <w:szCs w:val="22"/>
                <w:lang w:eastAsia="en-US"/>
              </w:rPr>
              <w:t>Avril 2013</w:t>
            </w:r>
          </w:p>
        </w:tc>
        <w:tc>
          <w:tcPr>
            <w:tcW w:w="2848" w:type="dxa"/>
            <w:vMerge/>
            <w:shd w:val="pct15" w:color="auto" w:fill="auto"/>
            <w:vAlign w:val="center"/>
          </w:tcPr>
          <w:p w14:paraId="7F7ADD80" w14:textId="77777777" w:rsidR="00CF6D08" w:rsidRPr="00EE50E9" w:rsidRDefault="00CF6D08" w:rsidP="00913BF5">
            <w:pPr>
              <w:jc w:val="center"/>
              <w:rPr>
                <w:bCs/>
              </w:rPr>
            </w:pPr>
          </w:p>
        </w:tc>
        <w:tc>
          <w:tcPr>
            <w:tcW w:w="2665" w:type="dxa"/>
            <w:vMerge/>
            <w:vAlign w:val="center"/>
          </w:tcPr>
          <w:p w14:paraId="27906FFD" w14:textId="77777777" w:rsidR="00CF6D08" w:rsidRPr="00EE50E9" w:rsidRDefault="00CF6D08" w:rsidP="00913BF5">
            <w:pPr>
              <w:jc w:val="center"/>
              <w:rPr>
                <w:bCs/>
              </w:rPr>
            </w:pPr>
          </w:p>
        </w:tc>
      </w:tr>
      <w:tr w:rsidR="00CF6D08" w:rsidRPr="00EE50E9" w14:paraId="0BF44953" w14:textId="77777777" w:rsidTr="00FC7044">
        <w:trPr>
          <w:trHeight w:val="420"/>
        </w:trPr>
        <w:tc>
          <w:tcPr>
            <w:tcW w:w="2835" w:type="dxa"/>
            <w:shd w:val="clear" w:color="auto" w:fill="E6E6E6"/>
            <w:vAlign w:val="center"/>
          </w:tcPr>
          <w:p w14:paraId="0399D278" w14:textId="77777777" w:rsidR="00CF6D08" w:rsidRPr="00EE50E9" w:rsidRDefault="00CF6D08" w:rsidP="00EE50E9">
            <w:pPr>
              <w:rPr>
                <w:b/>
              </w:rPr>
            </w:pPr>
            <w:r w:rsidRPr="00EE50E9">
              <w:rPr>
                <w:b/>
                <w:sz w:val="22"/>
                <w:szCs w:val="22"/>
              </w:rPr>
              <w:t>Date prévue pour la clôture opérationnelle du projet:</w:t>
            </w:r>
          </w:p>
        </w:tc>
        <w:tc>
          <w:tcPr>
            <w:tcW w:w="2255" w:type="dxa"/>
            <w:vAlign w:val="center"/>
          </w:tcPr>
          <w:p w14:paraId="3F2BED62" w14:textId="77777777" w:rsidR="00CF6D08" w:rsidRPr="00152993" w:rsidRDefault="00554C08" w:rsidP="00152993">
            <w:pPr>
              <w:rPr>
                <w:b/>
                <w:sz w:val="22"/>
                <w:szCs w:val="22"/>
              </w:rPr>
            </w:pPr>
            <w:r w:rsidRPr="00152993">
              <w:rPr>
                <w:b/>
                <w:sz w:val="22"/>
                <w:szCs w:val="22"/>
              </w:rPr>
              <w:t>31 juillet 2014</w:t>
            </w:r>
          </w:p>
        </w:tc>
        <w:tc>
          <w:tcPr>
            <w:tcW w:w="2848" w:type="dxa"/>
            <w:vMerge/>
            <w:shd w:val="pct15" w:color="auto" w:fill="auto"/>
            <w:vAlign w:val="center"/>
          </w:tcPr>
          <w:p w14:paraId="133E8D64" w14:textId="77777777" w:rsidR="00CF6D08" w:rsidRPr="00EE50E9" w:rsidRDefault="00CF6D08" w:rsidP="00913BF5">
            <w:pPr>
              <w:jc w:val="center"/>
              <w:rPr>
                <w:bCs/>
              </w:rPr>
            </w:pPr>
          </w:p>
        </w:tc>
        <w:tc>
          <w:tcPr>
            <w:tcW w:w="2665" w:type="dxa"/>
            <w:vMerge/>
            <w:vAlign w:val="center"/>
          </w:tcPr>
          <w:p w14:paraId="61C2DF10" w14:textId="77777777" w:rsidR="00CF6D08" w:rsidRPr="00EE50E9" w:rsidRDefault="00CF6D08" w:rsidP="00913BF5">
            <w:pPr>
              <w:jc w:val="center"/>
              <w:rPr>
                <w:bCs/>
              </w:rPr>
            </w:pPr>
          </w:p>
        </w:tc>
      </w:tr>
      <w:tr w:rsidR="00CF6D08" w:rsidRPr="00EE50E9" w14:paraId="47DAC9E1" w14:textId="77777777" w:rsidTr="00FC7044">
        <w:trPr>
          <w:trHeight w:val="778"/>
        </w:trPr>
        <w:tc>
          <w:tcPr>
            <w:tcW w:w="2835" w:type="dxa"/>
            <w:shd w:val="clear" w:color="auto" w:fill="E6E6E6"/>
            <w:vAlign w:val="center"/>
          </w:tcPr>
          <w:p w14:paraId="35ADA6D5" w14:textId="77777777" w:rsidR="00CF6D08" w:rsidRPr="00EE50E9" w:rsidRDefault="00CF6D08" w:rsidP="00CA7429">
            <w:pPr>
              <w:rPr>
                <w:b/>
              </w:rPr>
            </w:pPr>
            <w:r w:rsidRPr="00EE50E9">
              <w:rPr>
                <w:b/>
                <w:sz w:val="22"/>
                <w:szCs w:val="22"/>
              </w:rPr>
              <w:t>Domaine de résultats attendus par le PBF</w:t>
            </w:r>
            <w:r w:rsidRPr="00EE50E9">
              <w:rPr>
                <w:rStyle w:val="FootnoteReference"/>
                <w:b/>
                <w:sz w:val="22"/>
                <w:szCs w:val="22"/>
              </w:rPr>
              <w:footnoteReference w:id="5"/>
            </w:r>
          </w:p>
        </w:tc>
        <w:tc>
          <w:tcPr>
            <w:tcW w:w="7768" w:type="dxa"/>
            <w:gridSpan w:val="3"/>
            <w:vAlign w:val="center"/>
          </w:tcPr>
          <w:p w14:paraId="61E5FD43" w14:textId="77777777" w:rsidR="00CF6D08" w:rsidRPr="00EE50E9" w:rsidRDefault="00CF6D08" w:rsidP="00913BF5">
            <w:pPr>
              <w:rPr>
                <w:bCs/>
              </w:rPr>
            </w:pPr>
            <w:r w:rsidRPr="00EE50E9">
              <w:rPr>
                <w:bCs/>
                <w:sz w:val="22"/>
                <w:szCs w:val="22"/>
              </w:rPr>
              <w:t xml:space="preserve">Domaine de résultats (sur la base du Plan des priorités ou du Descriptif de projet):  </w:t>
            </w:r>
          </w:p>
          <w:p w14:paraId="4F31E2E8" w14:textId="77777777" w:rsidR="00CF6D08" w:rsidRPr="00152993" w:rsidRDefault="00554C08" w:rsidP="00913BF5">
            <w:pPr>
              <w:rPr>
                <w:b/>
                <w:sz w:val="22"/>
                <w:szCs w:val="22"/>
              </w:rPr>
            </w:pPr>
            <w:r w:rsidRPr="00152993">
              <w:rPr>
                <w:b/>
                <w:sz w:val="22"/>
                <w:szCs w:val="22"/>
              </w:rPr>
              <w:t>Domaine Prioritaire 3 : Emploi des Jeunes et des femmes.</w:t>
            </w:r>
          </w:p>
        </w:tc>
      </w:tr>
      <w:tr w:rsidR="00CF6D08" w:rsidRPr="00EE50E9" w14:paraId="59CFD894" w14:textId="77777777" w:rsidTr="00FC7044">
        <w:trPr>
          <w:trHeight w:val="917"/>
        </w:trPr>
        <w:tc>
          <w:tcPr>
            <w:tcW w:w="2835" w:type="dxa"/>
            <w:shd w:val="clear" w:color="auto" w:fill="E6E6E6"/>
            <w:vAlign w:val="center"/>
          </w:tcPr>
          <w:p w14:paraId="2F7F9049" w14:textId="77777777" w:rsidR="00CF6D08" w:rsidRPr="00EE50E9" w:rsidRDefault="00CF6D08" w:rsidP="00913BF5">
            <w:pPr>
              <w:rPr>
                <w:b/>
              </w:rPr>
            </w:pPr>
            <w:r w:rsidRPr="00EE50E9">
              <w:rPr>
                <w:b/>
                <w:sz w:val="22"/>
                <w:szCs w:val="22"/>
              </w:rPr>
              <w:lastRenderedPageBreak/>
              <w:t>Évaluation qualitative des résultats obtenus et des problèmes subsistants</w:t>
            </w:r>
          </w:p>
        </w:tc>
        <w:tc>
          <w:tcPr>
            <w:tcW w:w="7768" w:type="dxa"/>
            <w:gridSpan w:val="3"/>
          </w:tcPr>
          <w:p w14:paraId="4BCF084D" w14:textId="77777777" w:rsidR="00CF6D08" w:rsidRPr="00554C08" w:rsidRDefault="00723F96" w:rsidP="00723F96">
            <w:pPr>
              <w:autoSpaceDE w:val="0"/>
              <w:autoSpaceDN w:val="0"/>
              <w:adjustRightInd w:val="0"/>
              <w:rPr>
                <w:bCs/>
                <w:i/>
              </w:rPr>
            </w:pPr>
            <w:r w:rsidRPr="00C84DC2">
              <w:rPr>
                <w:color w:val="515150"/>
                <w:lang w:eastAsia="en-US"/>
              </w:rPr>
              <w:t>•</w:t>
            </w:r>
            <w:r w:rsidR="00CF6D08" w:rsidRPr="00EE50E9">
              <w:rPr>
                <w:bCs/>
                <w:i/>
                <w:sz w:val="22"/>
                <w:szCs w:val="22"/>
              </w:rPr>
              <w:t>Fournir une évaluation qualitative des progrès accomplis dans le sens des objectifs d’ensemble du projet (à la fois en termes de</w:t>
            </w:r>
            <w:r w:rsidR="00CF6D08" w:rsidRPr="00EE50E9">
              <w:rPr>
                <w:b/>
                <w:bCs/>
                <w:i/>
                <w:sz w:val="22"/>
                <w:szCs w:val="22"/>
              </w:rPr>
              <w:t xml:space="preserve"> résultats</w:t>
            </w:r>
            <w:r w:rsidR="00CF6D08" w:rsidRPr="00EE50E9">
              <w:rPr>
                <w:bCs/>
                <w:i/>
                <w:sz w:val="22"/>
                <w:szCs w:val="22"/>
              </w:rPr>
              <w:t xml:space="preserve"> et de </w:t>
            </w:r>
            <w:r w:rsidR="00CF6D08" w:rsidRPr="00EE50E9">
              <w:rPr>
                <w:b/>
                <w:bCs/>
                <w:i/>
                <w:sz w:val="22"/>
                <w:szCs w:val="22"/>
              </w:rPr>
              <w:t>produits</w:t>
            </w:r>
            <w:r w:rsidR="00CF6D08" w:rsidRPr="00EE50E9">
              <w:rPr>
                <w:bCs/>
                <w:i/>
                <w:sz w:val="22"/>
                <w:szCs w:val="22"/>
              </w:rPr>
              <w:t>)</w:t>
            </w:r>
          </w:p>
          <w:p w14:paraId="607E4C42" w14:textId="77777777" w:rsidR="00152993" w:rsidRDefault="00152993" w:rsidP="00152993">
            <w:pPr>
              <w:autoSpaceDE w:val="0"/>
              <w:autoSpaceDN w:val="0"/>
              <w:adjustRightInd w:val="0"/>
              <w:rPr>
                <w:bCs/>
                <w:highlight w:val="yellow"/>
              </w:rPr>
            </w:pPr>
          </w:p>
          <w:p w14:paraId="68407B75" w14:textId="77777777" w:rsidR="00554C08" w:rsidRPr="00152993" w:rsidRDefault="00554C08" w:rsidP="00152993">
            <w:pPr>
              <w:autoSpaceDE w:val="0"/>
              <w:autoSpaceDN w:val="0"/>
              <w:adjustRightInd w:val="0"/>
              <w:jc w:val="both"/>
              <w:rPr>
                <w:bCs/>
                <w:sz w:val="22"/>
                <w:szCs w:val="22"/>
              </w:rPr>
            </w:pPr>
            <w:r w:rsidRPr="006164ED">
              <w:rPr>
                <w:bCs/>
                <w:sz w:val="22"/>
                <w:szCs w:val="22"/>
              </w:rPr>
              <w:t>L</w:t>
            </w:r>
            <w:r w:rsidR="00901795">
              <w:rPr>
                <w:bCs/>
                <w:sz w:val="22"/>
                <w:szCs w:val="22"/>
              </w:rPr>
              <w:t>e ré</w:t>
            </w:r>
            <w:r w:rsidR="00A2771D">
              <w:rPr>
                <w:bCs/>
                <w:sz w:val="22"/>
                <w:szCs w:val="22"/>
              </w:rPr>
              <w:t>sultat majeur de ce semestre a été</w:t>
            </w:r>
            <w:r w:rsidR="00901795">
              <w:rPr>
                <w:bCs/>
                <w:sz w:val="22"/>
                <w:szCs w:val="22"/>
              </w:rPr>
              <w:t xml:space="preserve"> la soumission</w:t>
            </w:r>
            <w:r w:rsidR="00356BF1">
              <w:rPr>
                <w:bCs/>
                <w:sz w:val="22"/>
                <w:szCs w:val="22"/>
              </w:rPr>
              <w:t>,</w:t>
            </w:r>
            <w:r w:rsidR="00901795">
              <w:rPr>
                <w:bCs/>
                <w:sz w:val="22"/>
                <w:szCs w:val="22"/>
              </w:rPr>
              <w:t xml:space="preserve"> par le cabinet de consultants</w:t>
            </w:r>
            <w:r w:rsidR="00A2771D">
              <w:rPr>
                <w:bCs/>
                <w:sz w:val="22"/>
                <w:szCs w:val="22"/>
              </w:rPr>
              <w:t xml:space="preserve"> BUDEC Face</w:t>
            </w:r>
            <w:r w:rsidR="00356BF1">
              <w:rPr>
                <w:bCs/>
                <w:sz w:val="22"/>
                <w:szCs w:val="22"/>
              </w:rPr>
              <w:t xml:space="preserve"> recruté au cours de l’année 2013,</w:t>
            </w:r>
            <w:r w:rsidR="00901795">
              <w:rPr>
                <w:bCs/>
                <w:sz w:val="22"/>
                <w:szCs w:val="22"/>
              </w:rPr>
              <w:t xml:space="preserve"> et la validation</w:t>
            </w:r>
            <w:r w:rsidR="008374C8">
              <w:rPr>
                <w:bCs/>
                <w:sz w:val="22"/>
                <w:szCs w:val="22"/>
              </w:rPr>
              <w:t xml:space="preserve"> par les Comités Technique et de Suivi</w:t>
            </w:r>
            <w:r w:rsidR="00050959">
              <w:rPr>
                <w:bCs/>
                <w:sz w:val="22"/>
                <w:szCs w:val="22"/>
              </w:rPr>
              <w:t>,</w:t>
            </w:r>
            <w:r w:rsidR="00901795">
              <w:rPr>
                <w:bCs/>
                <w:sz w:val="22"/>
                <w:szCs w:val="22"/>
              </w:rPr>
              <w:t xml:space="preserve"> du rapport d’étude sur les opportunités d’emplois pour les jeunes et les femmes dans les secteurs agricole et minier. </w:t>
            </w:r>
          </w:p>
          <w:p w14:paraId="0CCD1E89" w14:textId="77777777" w:rsidR="00CF6D08" w:rsidRPr="00EE50E9" w:rsidRDefault="00CF6D08" w:rsidP="00913BF5">
            <w:pPr>
              <w:autoSpaceDE w:val="0"/>
              <w:autoSpaceDN w:val="0"/>
              <w:adjustRightInd w:val="0"/>
              <w:rPr>
                <w:bCs/>
                <w:i/>
              </w:rPr>
            </w:pPr>
          </w:p>
          <w:p w14:paraId="341917E1" w14:textId="77777777" w:rsidR="00CF6D08" w:rsidRPr="00554C08" w:rsidRDefault="00723F96" w:rsidP="00723F96">
            <w:pPr>
              <w:autoSpaceDE w:val="0"/>
              <w:autoSpaceDN w:val="0"/>
              <w:adjustRightInd w:val="0"/>
              <w:rPr>
                <w:bCs/>
                <w:i/>
              </w:rPr>
            </w:pPr>
            <w:r w:rsidRPr="00C84DC2">
              <w:rPr>
                <w:color w:val="515150"/>
                <w:lang w:eastAsia="en-US"/>
              </w:rPr>
              <w:t>•</w:t>
            </w:r>
            <w:r w:rsidR="00CF6D08" w:rsidRPr="00EE50E9">
              <w:rPr>
                <w:bCs/>
                <w:i/>
                <w:sz w:val="22"/>
                <w:szCs w:val="22"/>
              </w:rPr>
              <w:t>Utiliser les indicateurs et l’objectif du projet pour mesurer les résultats obtenus (cf. le tableau des objectifs, à la fin du présent formulaire)</w:t>
            </w:r>
          </w:p>
          <w:p w14:paraId="41B5EFB9" w14:textId="77777777" w:rsidR="00554C08" w:rsidRDefault="00554C08" w:rsidP="00554C08">
            <w:pPr>
              <w:autoSpaceDE w:val="0"/>
              <w:autoSpaceDN w:val="0"/>
              <w:adjustRightInd w:val="0"/>
              <w:rPr>
                <w:bCs/>
                <w:i/>
                <w:sz w:val="22"/>
                <w:szCs w:val="22"/>
              </w:rPr>
            </w:pPr>
          </w:p>
          <w:p w14:paraId="7BBA7601" w14:textId="77777777" w:rsidR="00554C08" w:rsidRPr="006164ED" w:rsidRDefault="00554C08" w:rsidP="00554C08">
            <w:pPr>
              <w:autoSpaceDE w:val="0"/>
              <w:autoSpaceDN w:val="0"/>
              <w:adjustRightInd w:val="0"/>
              <w:jc w:val="both"/>
              <w:rPr>
                <w:b/>
                <w:bCs/>
                <w:sz w:val="22"/>
                <w:szCs w:val="22"/>
              </w:rPr>
            </w:pPr>
            <w:r w:rsidRPr="006164ED">
              <w:rPr>
                <w:b/>
                <w:bCs/>
                <w:sz w:val="22"/>
                <w:szCs w:val="22"/>
              </w:rPr>
              <w:t>Résultat 1 : Le portrait des secteurs miniers et agricoles en termes d’opportunités d’emploi pour les jeunes et les femmes assorti  d’un programme d’intervention et le plan d’action y afférent en lien avec la situation de consolidation de la Paix est réalisé.</w:t>
            </w:r>
          </w:p>
          <w:p w14:paraId="3B4DF07C" w14:textId="77777777" w:rsidR="00554C08" w:rsidRPr="006164ED" w:rsidRDefault="00554C08" w:rsidP="00554C08">
            <w:pPr>
              <w:autoSpaceDE w:val="0"/>
              <w:autoSpaceDN w:val="0"/>
              <w:adjustRightInd w:val="0"/>
              <w:jc w:val="both"/>
              <w:rPr>
                <w:bCs/>
                <w:sz w:val="22"/>
                <w:szCs w:val="22"/>
              </w:rPr>
            </w:pPr>
          </w:p>
          <w:p w14:paraId="380FA315" w14:textId="77777777" w:rsidR="00554C08" w:rsidRPr="006164ED" w:rsidRDefault="00745CBA" w:rsidP="00745CBA">
            <w:pPr>
              <w:autoSpaceDE w:val="0"/>
              <w:autoSpaceDN w:val="0"/>
              <w:adjustRightInd w:val="0"/>
              <w:jc w:val="both"/>
              <w:rPr>
                <w:bCs/>
                <w:sz w:val="22"/>
                <w:szCs w:val="22"/>
              </w:rPr>
            </w:pPr>
            <w:r w:rsidRPr="006164ED">
              <w:rPr>
                <w:bCs/>
                <w:sz w:val="22"/>
                <w:szCs w:val="22"/>
              </w:rPr>
              <w:t>Durant le premier semestre 2014, l</w:t>
            </w:r>
            <w:r w:rsidR="00554C08" w:rsidRPr="006164ED">
              <w:rPr>
                <w:bCs/>
                <w:sz w:val="22"/>
                <w:szCs w:val="22"/>
              </w:rPr>
              <w:t>a première version du rapport soumis vers la fin du mois de janvier a été présentée au Comité technique dans une séance d’analyse préliminaire, le 7 février 2014. Cette première version a été jugée techniquement assez satisfaisante. Elle a fait l’objet de commentaires et recommandations visant à mieux étoffer l’analyse. La 2ème version du rapport déposé</w:t>
            </w:r>
            <w:r w:rsidR="00A2771D">
              <w:rPr>
                <w:bCs/>
                <w:sz w:val="22"/>
                <w:szCs w:val="22"/>
              </w:rPr>
              <w:t>e</w:t>
            </w:r>
            <w:r w:rsidR="00554C08" w:rsidRPr="006164ED">
              <w:rPr>
                <w:bCs/>
                <w:sz w:val="22"/>
                <w:szCs w:val="22"/>
              </w:rPr>
              <w:t xml:space="preserve"> le 17 février a</w:t>
            </w:r>
            <w:r w:rsidR="00A2771D">
              <w:rPr>
                <w:bCs/>
                <w:sz w:val="22"/>
                <w:szCs w:val="22"/>
              </w:rPr>
              <w:t xml:space="preserve"> fait</w:t>
            </w:r>
            <w:r w:rsidR="00554C08" w:rsidRPr="006164ED">
              <w:rPr>
                <w:bCs/>
                <w:sz w:val="22"/>
                <w:szCs w:val="22"/>
              </w:rPr>
              <w:t xml:space="preserve"> l’objet d’une 2ème séance de validation technique par les deux comités, le 21 février 2014, respectivement le Comité technique et le Comité de suivi. A cette rencontre de validation prenaient part la majorité des membres des deux comités, soit environ une quinzaine de membres, notamment de l'USAID, la Banque Mondiale, l’Agence Française de Coopération (AFD), l’UNICEF, l'ONUDI, PBF, l'OIM,  les trois Secrétaires Généraux, respectivement des Ministères de l'Action Sociale, de la Jeunesse,  de l'Enseignement Technique ainsi que leurs cadres techniques concernés de ces trois ministères.</w:t>
            </w:r>
            <w:r w:rsidRPr="006164ED">
              <w:rPr>
                <w:bCs/>
                <w:sz w:val="22"/>
                <w:szCs w:val="22"/>
              </w:rPr>
              <w:t xml:space="preserve"> </w:t>
            </w:r>
            <w:r w:rsidR="00554C08" w:rsidRPr="006164ED">
              <w:rPr>
                <w:bCs/>
                <w:sz w:val="22"/>
                <w:szCs w:val="22"/>
              </w:rPr>
              <w:t>Cette version du rapport a été validée par les deux comités qui ont jugé qu'il n'était pas nécessaire de refaire un atelier de validation officiel, tel que c'était prévu dans le projet afin de réunir à nouveau, en particulier, les mêmes participants pour approuver l'étude une 2ème fois.</w:t>
            </w:r>
            <w:r w:rsidRPr="006164ED">
              <w:rPr>
                <w:bCs/>
                <w:sz w:val="22"/>
                <w:szCs w:val="22"/>
              </w:rPr>
              <w:t xml:space="preserve"> Cette validation a été</w:t>
            </w:r>
            <w:r w:rsidR="00554C08" w:rsidRPr="006164ED">
              <w:rPr>
                <w:bCs/>
                <w:sz w:val="22"/>
                <w:szCs w:val="22"/>
              </w:rPr>
              <w:t xml:space="preserve"> toutefois conditionnée par la prise en compte par le Cabinet de consultation, dans la version finale du rapport, des recommandations finales formulées dans ladite rencontre</w:t>
            </w:r>
            <w:r w:rsidR="00A2771D">
              <w:rPr>
                <w:bCs/>
                <w:sz w:val="22"/>
                <w:szCs w:val="22"/>
              </w:rPr>
              <w:t>. L</w:t>
            </w:r>
            <w:r w:rsidR="00554C08" w:rsidRPr="006164ED">
              <w:rPr>
                <w:bCs/>
                <w:sz w:val="22"/>
                <w:szCs w:val="22"/>
              </w:rPr>
              <w:t>esquelles, dans l'ensemble, ne remettaient pas en question la qualité du rapport. D'un point de vue administratif, la vers</w:t>
            </w:r>
            <w:r w:rsidRPr="006164ED">
              <w:rPr>
                <w:bCs/>
                <w:sz w:val="22"/>
                <w:szCs w:val="22"/>
              </w:rPr>
              <w:t>ion finale du rapport a été</w:t>
            </w:r>
            <w:r w:rsidR="00554C08" w:rsidRPr="006164ED">
              <w:rPr>
                <w:bCs/>
                <w:sz w:val="22"/>
                <w:szCs w:val="22"/>
              </w:rPr>
              <w:t xml:space="preserve"> revue par l'UNICEF et les autres membres des 2 Comités, par voie électronique, pour vérification de la prise en compte de ces recommandations. </w:t>
            </w:r>
            <w:r w:rsidR="00152993" w:rsidRPr="006164ED">
              <w:rPr>
                <w:bCs/>
                <w:sz w:val="22"/>
                <w:szCs w:val="22"/>
              </w:rPr>
              <w:t xml:space="preserve">Le rapport final d’étude sur les opportunités d’emploi des jeunes et des femmes dans les secteurs agricole et minier a été </w:t>
            </w:r>
            <w:r w:rsidR="00356BF1">
              <w:rPr>
                <w:bCs/>
                <w:sz w:val="22"/>
                <w:szCs w:val="22"/>
              </w:rPr>
              <w:t>soumis</w:t>
            </w:r>
            <w:r w:rsidR="00A2771D">
              <w:rPr>
                <w:bCs/>
                <w:sz w:val="22"/>
                <w:szCs w:val="22"/>
              </w:rPr>
              <w:t xml:space="preserve"> le 18</w:t>
            </w:r>
            <w:r w:rsidR="00152993" w:rsidRPr="006164ED">
              <w:rPr>
                <w:bCs/>
                <w:sz w:val="22"/>
                <w:szCs w:val="22"/>
              </w:rPr>
              <w:t xml:space="preserve"> avril 2014</w:t>
            </w:r>
            <w:r w:rsidR="00A2771D">
              <w:rPr>
                <w:bCs/>
                <w:sz w:val="22"/>
                <w:szCs w:val="22"/>
              </w:rPr>
              <w:t xml:space="preserve"> et approuvé par l’UNICEF et le Ministère de l’Emploi, de l’Enseignement Technique et de la Formation professionnelle, </w:t>
            </w:r>
            <w:r w:rsidR="00356BF1">
              <w:rPr>
                <w:bCs/>
                <w:sz w:val="22"/>
                <w:szCs w:val="22"/>
              </w:rPr>
              <w:t xml:space="preserve"> malgré quelques faiblesses qui doivent être corrigées</w:t>
            </w:r>
            <w:r w:rsidR="00152993" w:rsidRPr="006164ED">
              <w:rPr>
                <w:bCs/>
                <w:sz w:val="22"/>
                <w:szCs w:val="22"/>
              </w:rPr>
              <w:t xml:space="preserve">. </w:t>
            </w:r>
          </w:p>
          <w:p w14:paraId="4AF034E5" w14:textId="77777777" w:rsidR="00554C08" w:rsidRPr="006164ED" w:rsidRDefault="00554C08" w:rsidP="00554C08">
            <w:pPr>
              <w:autoSpaceDE w:val="0"/>
              <w:autoSpaceDN w:val="0"/>
              <w:adjustRightInd w:val="0"/>
              <w:jc w:val="both"/>
              <w:rPr>
                <w:bCs/>
                <w:sz w:val="22"/>
                <w:szCs w:val="22"/>
              </w:rPr>
            </w:pPr>
          </w:p>
          <w:p w14:paraId="7C2A0DFA" w14:textId="77777777" w:rsidR="00554C08" w:rsidRPr="006164ED" w:rsidRDefault="00554C08" w:rsidP="00554C08">
            <w:pPr>
              <w:autoSpaceDE w:val="0"/>
              <w:autoSpaceDN w:val="0"/>
              <w:adjustRightInd w:val="0"/>
              <w:jc w:val="both"/>
              <w:rPr>
                <w:b/>
                <w:bCs/>
                <w:sz w:val="22"/>
                <w:szCs w:val="22"/>
              </w:rPr>
            </w:pPr>
            <w:r w:rsidRPr="006164ED">
              <w:rPr>
                <w:b/>
                <w:bCs/>
                <w:sz w:val="22"/>
                <w:szCs w:val="22"/>
              </w:rPr>
              <w:t>Résultat 2 : Les acteurs nationaux et les partenaires du public et du privé intervenants dans le domaine de la promotion de la Paix et de l’emploi des jeunes et des femmes sont informés et sensibilisés et le  plan d’action est adopté.</w:t>
            </w:r>
          </w:p>
          <w:p w14:paraId="74673963" w14:textId="77777777" w:rsidR="00554C08" w:rsidRPr="006164ED" w:rsidRDefault="00554C08" w:rsidP="00554C08">
            <w:pPr>
              <w:autoSpaceDE w:val="0"/>
              <w:autoSpaceDN w:val="0"/>
              <w:adjustRightInd w:val="0"/>
              <w:jc w:val="both"/>
              <w:rPr>
                <w:bCs/>
                <w:sz w:val="22"/>
                <w:szCs w:val="22"/>
              </w:rPr>
            </w:pPr>
          </w:p>
          <w:p w14:paraId="371177B0" w14:textId="77777777" w:rsidR="00152993" w:rsidRDefault="00901795" w:rsidP="00554C08">
            <w:pPr>
              <w:autoSpaceDE w:val="0"/>
              <w:autoSpaceDN w:val="0"/>
              <w:adjustRightInd w:val="0"/>
              <w:jc w:val="both"/>
              <w:rPr>
                <w:bCs/>
                <w:sz w:val="22"/>
                <w:szCs w:val="22"/>
              </w:rPr>
            </w:pPr>
            <w:r>
              <w:rPr>
                <w:bCs/>
                <w:sz w:val="22"/>
                <w:szCs w:val="22"/>
              </w:rPr>
              <w:t xml:space="preserve">Toutes les activités correspondant </w:t>
            </w:r>
            <w:r w:rsidR="00717AA1">
              <w:rPr>
                <w:bCs/>
                <w:sz w:val="22"/>
                <w:szCs w:val="22"/>
              </w:rPr>
              <w:t xml:space="preserve">à ce résultat ont été réalisées en 2013. </w:t>
            </w:r>
          </w:p>
          <w:p w14:paraId="342963FE" w14:textId="77777777" w:rsidR="00554C08" w:rsidRPr="006164ED" w:rsidRDefault="00554C08" w:rsidP="00554C08">
            <w:pPr>
              <w:autoSpaceDE w:val="0"/>
              <w:autoSpaceDN w:val="0"/>
              <w:adjustRightInd w:val="0"/>
              <w:jc w:val="both"/>
              <w:rPr>
                <w:bCs/>
                <w:sz w:val="22"/>
                <w:szCs w:val="22"/>
              </w:rPr>
            </w:pPr>
          </w:p>
          <w:p w14:paraId="32EDE4EF" w14:textId="77777777" w:rsidR="00554C08" w:rsidRPr="00FC7044" w:rsidRDefault="00554C08" w:rsidP="00554C08">
            <w:pPr>
              <w:autoSpaceDE w:val="0"/>
              <w:autoSpaceDN w:val="0"/>
              <w:adjustRightInd w:val="0"/>
              <w:jc w:val="both"/>
              <w:rPr>
                <w:b/>
                <w:bCs/>
                <w:sz w:val="22"/>
                <w:szCs w:val="22"/>
              </w:rPr>
            </w:pPr>
            <w:r w:rsidRPr="006164ED">
              <w:rPr>
                <w:b/>
                <w:bCs/>
                <w:sz w:val="22"/>
                <w:szCs w:val="22"/>
              </w:rPr>
              <w:t>Résultat 3 : Le document du programme d’appui à l’emploi des jeunes et des femmes est actualisé selon le nouveau contexte socio politique et économique de la Guinée.</w:t>
            </w:r>
          </w:p>
          <w:p w14:paraId="6B74809C" w14:textId="77777777" w:rsidR="00717AA1" w:rsidRPr="006164ED" w:rsidRDefault="00717AA1" w:rsidP="00717AA1">
            <w:pPr>
              <w:autoSpaceDE w:val="0"/>
              <w:autoSpaceDN w:val="0"/>
              <w:adjustRightInd w:val="0"/>
              <w:jc w:val="both"/>
              <w:rPr>
                <w:bCs/>
                <w:sz w:val="22"/>
                <w:szCs w:val="22"/>
              </w:rPr>
            </w:pPr>
            <w:r w:rsidRPr="006164ED">
              <w:rPr>
                <w:bCs/>
                <w:sz w:val="22"/>
                <w:szCs w:val="22"/>
              </w:rPr>
              <w:t xml:space="preserve">Durant le premier semestre 2014, en juin un premier </w:t>
            </w:r>
            <w:proofErr w:type="spellStart"/>
            <w:r w:rsidRPr="006164ED">
              <w:rPr>
                <w:bCs/>
                <w:sz w:val="22"/>
                <w:szCs w:val="22"/>
              </w:rPr>
              <w:t>draft</w:t>
            </w:r>
            <w:proofErr w:type="spellEnd"/>
            <w:r w:rsidRPr="006164ED">
              <w:rPr>
                <w:bCs/>
                <w:sz w:val="22"/>
                <w:szCs w:val="22"/>
              </w:rPr>
              <w:t xml:space="preserve"> de cadre de programme a été présenté par le cabinet de consultant à l’UNICEF, au Ministère de l’Emploi, de l’Enseignement Technique et de la Formation professionnelle, au ministère de la Jeunesse et de l’Emploi des Jeunes et au </w:t>
            </w:r>
            <w:proofErr w:type="spellStart"/>
            <w:r w:rsidRPr="006164ED">
              <w:rPr>
                <w:bCs/>
                <w:sz w:val="22"/>
                <w:szCs w:val="22"/>
              </w:rPr>
              <w:t>Peace</w:t>
            </w:r>
            <w:proofErr w:type="spellEnd"/>
            <w:r w:rsidRPr="006164ED">
              <w:rPr>
                <w:bCs/>
                <w:sz w:val="22"/>
                <w:szCs w:val="22"/>
              </w:rPr>
              <w:t xml:space="preserve"> </w:t>
            </w:r>
            <w:proofErr w:type="spellStart"/>
            <w:r w:rsidRPr="006164ED">
              <w:rPr>
                <w:bCs/>
                <w:sz w:val="22"/>
                <w:szCs w:val="22"/>
              </w:rPr>
              <w:t>Bulding</w:t>
            </w:r>
            <w:proofErr w:type="spellEnd"/>
            <w:r w:rsidRPr="006164ED">
              <w:rPr>
                <w:bCs/>
                <w:sz w:val="22"/>
                <w:szCs w:val="22"/>
              </w:rPr>
              <w:t xml:space="preserve"> </w:t>
            </w:r>
            <w:proofErr w:type="spellStart"/>
            <w:r w:rsidRPr="006164ED">
              <w:rPr>
                <w:bCs/>
                <w:sz w:val="22"/>
                <w:szCs w:val="22"/>
              </w:rPr>
              <w:t>Fund</w:t>
            </w:r>
            <w:proofErr w:type="spellEnd"/>
            <w:r w:rsidRPr="006164ED">
              <w:rPr>
                <w:bCs/>
                <w:sz w:val="22"/>
                <w:szCs w:val="22"/>
              </w:rPr>
              <w:t xml:space="preserve">. Les réactions et </w:t>
            </w:r>
            <w:r w:rsidRPr="006164ED">
              <w:rPr>
                <w:bCs/>
                <w:sz w:val="22"/>
                <w:szCs w:val="22"/>
              </w:rPr>
              <w:lastRenderedPageBreak/>
              <w:t>commentaires sur ce cadre sont attendus de la part de ces acteurs avant d’entamer la phase de rédaction du programme</w:t>
            </w:r>
            <w:r w:rsidR="00A2771D">
              <w:rPr>
                <w:bCs/>
                <w:sz w:val="22"/>
                <w:szCs w:val="22"/>
              </w:rPr>
              <w:t>. Ce dernier</w:t>
            </w:r>
            <w:r w:rsidRPr="006164ED">
              <w:rPr>
                <w:bCs/>
                <w:sz w:val="22"/>
                <w:szCs w:val="22"/>
              </w:rPr>
              <w:t xml:space="preserve"> qui sera validé par le Comité de Suivi et le Comité Technique avant présentation et validation officielle en juillet 2014. </w:t>
            </w:r>
            <w:r>
              <w:rPr>
                <w:bCs/>
                <w:sz w:val="22"/>
                <w:szCs w:val="22"/>
              </w:rPr>
              <w:t xml:space="preserve">Cependant, </w:t>
            </w:r>
            <w:r w:rsidR="001A6D28">
              <w:rPr>
                <w:bCs/>
                <w:sz w:val="22"/>
                <w:szCs w:val="22"/>
              </w:rPr>
              <w:t xml:space="preserve">il faut souligner </w:t>
            </w:r>
            <w:r>
              <w:rPr>
                <w:bCs/>
                <w:sz w:val="22"/>
                <w:szCs w:val="22"/>
              </w:rPr>
              <w:t xml:space="preserve">la faible qualité technique de ce </w:t>
            </w:r>
            <w:proofErr w:type="spellStart"/>
            <w:r>
              <w:rPr>
                <w:bCs/>
                <w:sz w:val="22"/>
                <w:szCs w:val="22"/>
              </w:rPr>
              <w:t>draft</w:t>
            </w:r>
            <w:proofErr w:type="spellEnd"/>
            <w:r>
              <w:rPr>
                <w:bCs/>
                <w:sz w:val="22"/>
                <w:szCs w:val="22"/>
              </w:rPr>
              <w:t xml:space="preserve"> de cadre de programme</w:t>
            </w:r>
            <w:r w:rsidR="00356BF1">
              <w:rPr>
                <w:bCs/>
                <w:sz w:val="22"/>
                <w:szCs w:val="22"/>
              </w:rPr>
              <w:t xml:space="preserve">. </w:t>
            </w:r>
          </w:p>
          <w:p w14:paraId="6F76CE11" w14:textId="77777777" w:rsidR="00CF6D08" w:rsidRPr="00EE50E9" w:rsidRDefault="00CF6D08" w:rsidP="00356BF1">
            <w:pPr>
              <w:autoSpaceDE w:val="0"/>
              <w:autoSpaceDN w:val="0"/>
              <w:adjustRightInd w:val="0"/>
              <w:rPr>
                <w:bCs/>
                <w:i/>
              </w:rPr>
            </w:pPr>
          </w:p>
          <w:p w14:paraId="3BCC4382" w14:textId="77777777" w:rsidR="00CF6D08" w:rsidRPr="008374C8" w:rsidRDefault="00723F96" w:rsidP="00723F96">
            <w:pPr>
              <w:autoSpaceDE w:val="0"/>
              <w:autoSpaceDN w:val="0"/>
              <w:adjustRightInd w:val="0"/>
              <w:rPr>
                <w:i/>
                <w:color w:val="000000"/>
              </w:rPr>
            </w:pPr>
            <w:r w:rsidRPr="00C84DC2">
              <w:rPr>
                <w:color w:val="515150"/>
                <w:lang w:eastAsia="en-US"/>
              </w:rPr>
              <w:t>•</w:t>
            </w:r>
            <w:r w:rsidR="00CF6D08" w:rsidRPr="00EE50E9">
              <w:rPr>
                <w:i/>
                <w:color w:val="000000"/>
                <w:sz w:val="22"/>
                <w:szCs w:val="22"/>
              </w:rPr>
              <w:t>Quels sont les points forts des résultats obtenus – attendus ou non?</w:t>
            </w:r>
          </w:p>
          <w:p w14:paraId="2646AA45" w14:textId="77777777" w:rsidR="008374C8" w:rsidRDefault="008374C8" w:rsidP="008374C8">
            <w:pPr>
              <w:autoSpaceDE w:val="0"/>
              <w:autoSpaceDN w:val="0"/>
              <w:adjustRightInd w:val="0"/>
              <w:rPr>
                <w:i/>
                <w:color w:val="000000"/>
                <w:sz w:val="22"/>
                <w:szCs w:val="22"/>
              </w:rPr>
            </w:pPr>
          </w:p>
          <w:p w14:paraId="7FFEDCF3" w14:textId="77777777" w:rsidR="00CF6D08" w:rsidRPr="008C755C" w:rsidRDefault="008374C8" w:rsidP="008C755C">
            <w:pPr>
              <w:autoSpaceDE w:val="0"/>
              <w:autoSpaceDN w:val="0"/>
              <w:adjustRightInd w:val="0"/>
              <w:jc w:val="both"/>
              <w:rPr>
                <w:color w:val="000000"/>
              </w:rPr>
            </w:pPr>
            <w:r>
              <w:rPr>
                <w:color w:val="000000"/>
                <w:sz w:val="22"/>
                <w:szCs w:val="22"/>
              </w:rPr>
              <w:t xml:space="preserve">Le principal résultat obtenu ce semestre a été la validation du rapport d’étude sur les opportunités d’emploi des jeunes et des femmes dans les secteurs minier et agricoles. La réunion du Comité de Suivi a connu une </w:t>
            </w:r>
            <w:r w:rsidR="00A2771D">
              <w:rPr>
                <w:color w:val="000000"/>
                <w:sz w:val="22"/>
                <w:szCs w:val="22"/>
              </w:rPr>
              <w:t>bonne</w:t>
            </w:r>
            <w:r>
              <w:rPr>
                <w:color w:val="000000"/>
                <w:sz w:val="22"/>
                <w:szCs w:val="22"/>
              </w:rPr>
              <w:t xml:space="preserve"> participation puisqu’une quinzaine de partenaires étaient présents, ce qui démontre l’importance de la problématique et l’intérêt qu’elle suscite. </w:t>
            </w:r>
          </w:p>
          <w:p w14:paraId="6F6F45D8" w14:textId="77777777" w:rsidR="00554C08" w:rsidRPr="008C755C" w:rsidRDefault="00723F96" w:rsidP="00723F96">
            <w:pPr>
              <w:autoSpaceDE w:val="0"/>
              <w:autoSpaceDN w:val="0"/>
              <w:adjustRightInd w:val="0"/>
              <w:rPr>
                <w:i/>
                <w:color w:val="000000"/>
              </w:rPr>
            </w:pPr>
            <w:r w:rsidRPr="00C84DC2">
              <w:rPr>
                <w:color w:val="515150"/>
                <w:lang w:eastAsia="en-US"/>
              </w:rPr>
              <w:t>•</w:t>
            </w:r>
            <w:r w:rsidR="00CF6D08" w:rsidRPr="00EE50E9">
              <w:rPr>
                <w:i/>
                <w:color w:val="000000"/>
                <w:sz w:val="22"/>
                <w:szCs w:val="22"/>
              </w:rPr>
              <w:t>Les résultats obtenus ont-ils eu des effets sur les causes et les éléments moteurs du conflit?</w:t>
            </w:r>
          </w:p>
          <w:p w14:paraId="1AD75B25" w14:textId="77777777" w:rsidR="00554C08" w:rsidRPr="006164ED" w:rsidRDefault="00717AA1" w:rsidP="00554C08">
            <w:pPr>
              <w:autoSpaceDE w:val="0"/>
              <w:autoSpaceDN w:val="0"/>
              <w:adjustRightInd w:val="0"/>
              <w:jc w:val="both"/>
              <w:rPr>
                <w:color w:val="000000"/>
                <w:sz w:val="22"/>
                <w:szCs w:val="22"/>
              </w:rPr>
            </w:pPr>
            <w:r>
              <w:rPr>
                <w:color w:val="000000"/>
                <w:sz w:val="22"/>
                <w:szCs w:val="22"/>
              </w:rPr>
              <w:t xml:space="preserve">Non applicable pour le moment. Le Programme n’ayant pas encore été validé et mis en œuvre, il n’y a pas eu ce semestre d’effet sur les causes et les moteurs du conflit. </w:t>
            </w:r>
          </w:p>
          <w:p w14:paraId="52D04EAA" w14:textId="77777777" w:rsidR="00CF6D08" w:rsidRPr="00EE50E9" w:rsidRDefault="00CF6D08" w:rsidP="00913BF5">
            <w:pPr>
              <w:autoSpaceDE w:val="0"/>
              <w:autoSpaceDN w:val="0"/>
              <w:adjustRightInd w:val="0"/>
              <w:rPr>
                <w:i/>
                <w:color w:val="000000"/>
              </w:rPr>
            </w:pPr>
          </w:p>
          <w:p w14:paraId="1C66C0C1" w14:textId="77777777" w:rsidR="00CF6D08" w:rsidRPr="00152993" w:rsidRDefault="00723F96" w:rsidP="00723F96">
            <w:pPr>
              <w:autoSpaceDE w:val="0"/>
              <w:autoSpaceDN w:val="0"/>
              <w:adjustRightInd w:val="0"/>
              <w:rPr>
                <w:i/>
                <w:color w:val="000000"/>
              </w:rPr>
            </w:pPr>
            <w:r w:rsidRPr="00C84DC2">
              <w:rPr>
                <w:color w:val="515150"/>
                <w:lang w:eastAsia="en-US"/>
              </w:rPr>
              <w:t>•</w:t>
            </w:r>
            <w:r w:rsidR="00CF6D08" w:rsidRPr="00EE50E9">
              <w:rPr>
                <w:i/>
                <w:color w:val="000000"/>
                <w:sz w:val="22"/>
                <w:szCs w:val="22"/>
              </w:rPr>
              <w:t xml:space="preserve">Y a-t-il eu des « effets catalyseurs » - engagements de financement supplémentaire ou déclenchement de processus de paix pertinents? </w:t>
            </w:r>
          </w:p>
          <w:p w14:paraId="2CFD5C4B" w14:textId="77777777" w:rsidR="00152993" w:rsidRPr="00152993" w:rsidRDefault="00152993" w:rsidP="00152993">
            <w:pPr>
              <w:autoSpaceDE w:val="0"/>
              <w:autoSpaceDN w:val="0"/>
              <w:adjustRightInd w:val="0"/>
              <w:ind w:left="720"/>
              <w:rPr>
                <w:i/>
                <w:color w:val="000000"/>
              </w:rPr>
            </w:pPr>
          </w:p>
          <w:p w14:paraId="0ECA7B39" w14:textId="77777777" w:rsidR="00CF6D08" w:rsidRPr="00717AA1" w:rsidRDefault="00717AA1" w:rsidP="00A14B9B">
            <w:pPr>
              <w:autoSpaceDE w:val="0"/>
              <w:autoSpaceDN w:val="0"/>
              <w:adjustRightInd w:val="0"/>
              <w:jc w:val="both"/>
              <w:rPr>
                <w:color w:val="000000"/>
              </w:rPr>
            </w:pPr>
            <w:r w:rsidRPr="00717AA1">
              <w:rPr>
                <w:color w:val="000000"/>
              </w:rPr>
              <w:t>Non applicable pour le moment.</w:t>
            </w:r>
            <w:r w:rsidR="00A14B9B">
              <w:rPr>
                <w:color w:val="000000"/>
              </w:rPr>
              <w:t xml:space="preserve"> Le programme n’ayant pas encore été présenté, il n’y a pas encore eu d’engagements financiers pris par les partenaires. </w:t>
            </w:r>
          </w:p>
          <w:p w14:paraId="08E5E23F" w14:textId="77777777" w:rsidR="00717AA1" w:rsidRPr="00EE50E9" w:rsidRDefault="00717AA1" w:rsidP="00913BF5">
            <w:pPr>
              <w:autoSpaceDE w:val="0"/>
              <w:autoSpaceDN w:val="0"/>
              <w:adjustRightInd w:val="0"/>
              <w:rPr>
                <w:i/>
                <w:color w:val="000000"/>
              </w:rPr>
            </w:pPr>
          </w:p>
          <w:p w14:paraId="762548A0" w14:textId="77777777" w:rsidR="00CF6D08" w:rsidRPr="00554C08" w:rsidRDefault="00723F96" w:rsidP="00723F96">
            <w:pPr>
              <w:autoSpaceDE w:val="0"/>
              <w:autoSpaceDN w:val="0"/>
              <w:adjustRightInd w:val="0"/>
              <w:rPr>
                <w:i/>
                <w:color w:val="000000"/>
              </w:rPr>
            </w:pPr>
            <w:r w:rsidRPr="00C84DC2">
              <w:rPr>
                <w:color w:val="515150"/>
                <w:lang w:eastAsia="en-US"/>
              </w:rPr>
              <w:t>•</w:t>
            </w:r>
            <w:r w:rsidR="00CF6D08" w:rsidRPr="00EE50E9">
              <w:rPr>
                <w:i/>
                <w:color w:val="000000"/>
                <w:sz w:val="22"/>
                <w:szCs w:val="22"/>
              </w:rPr>
              <w:t>Quels sont les risques / problèmes subsistants – et comment y faire face?</w:t>
            </w:r>
          </w:p>
          <w:p w14:paraId="0F6015BE" w14:textId="77777777" w:rsidR="00554C08" w:rsidRDefault="00554C08" w:rsidP="00554C08">
            <w:pPr>
              <w:pStyle w:val="ListParagraph"/>
              <w:jc w:val="both"/>
              <w:rPr>
                <w:i/>
                <w:color w:val="000000"/>
              </w:rPr>
            </w:pPr>
          </w:p>
          <w:p w14:paraId="742ED7FC" w14:textId="77777777" w:rsidR="00CF6D08" w:rsidRDefault="00973807" w:rsidP="00973807">
            <w:pPr>
              <w:autoSpaceDE w:val="0"/>
              <w:autoSpaceDN w:val="0"/>
              <w:adjustRightInd w:val="0"/>
              <w:jc w:val="both"/>
              <w:rPr>
                <w:color w:val="000000"/>
                <w:sz w:val="22"/>
                <w:szCs w:val="22"/>
              </w:rPr>
            </w:pPr>
            <w:r>
              <w:rPr>
                <w:color w:val="000000"/>
                <w:sz w:val="22"/>
                <w:szCs w:val="22"/>
              </w:rPr>
              <w:t xml:space="preserve">Les </w:t>
            </w:r>
            <w:r w:rsidRPr="00973807">
              <w:rPr>
                <w:color w:val="000000"/>
                <w:sz w:val="22"/>
                <w:szCs w:val="22"/>
              </w:rPr>
              <w:t>retards pris dans la rédaction et la validation du rapport d’étude a impacté le calendrier d’exécution du projet et la réalisation du programme national.</w:t>
            </w:r>
            <w:r>
              <w:rPr>
                <w:color w:val="000000"/>
                <w:sz w:val="22"/>
                <w:szCs w:val="22"/>
              </w:rPr>
              <w:t xml:space="preserve"> De même, le cabinet de consultant a </w:t>
            </w:r>
            <w:r w:rsidRPr="001A6D28">
              <w:rPr>
                <w:color w:val="000000"/>
                <w:sz w:val="22"/>
                <w:szCs w:val="22"/>
              </w:rPr>
              <w:t xml:space="preserve">aussi </w:t>
            </w:r>
            <w:r w:rsidR="001A6D28" w:rsidRPr="001A6D28">
              <w:rPr>
                <w:color w:val="000000"/>
                <w:sz w:val="22"/>
                <w:szCs w:val="22"/>
              </w:rPr>
              <w:t>accusé un</w:t>
            </w:r>
            <w:r w:rsidR="001A6D28">
              <w:rPr>
                <w:color w:val="000000"/>
                <w:sz w:val="22"/>
                <w:szCs w:val="22"/>
              </w:rPr>
              <w:t xml:space="preserve"> retard dans la rédaction</w:t>
            </w:r>
            <w:r w:rsidR="00A14B9B">
              <w:rPr>
                <w:color w:val="000000"/>
                <w:sz w:val="22"/>
                <w:szCs w:val="22"/>
              </w:rPr>
              <w:t xml:space="preserve"> de ce</w:t>
            </w:r>
            <w:r w:rsidR="001A6D28">
              <w:rPr>
                <w:color w:val="000000"/>
                <w:sz w:val="22"/>
                <w:szCs w:val="22"/>
              </w:rPr>
              <w:t xml:space="preserve"> programme national. De plus, la faible qualité technique du </w:t>
            </w:r>
            <w:proofErr w:type="spellStart"/>
            <w:r w:rsidR="001A6D28">
              <w:rPr>
                <w:color w:val="000000"/>
                <w:sz w:val="22"/>
                <w:szCs w:val="22"/>
              </w:rPr>
              <w:t>draft</w:t>
            </w:r>
            <w:proofErr w:type="spellEnd"/>
            <w:r w:rsidR="001A6D28">
              <w:rPr>
                <w:color w:val="000000"/>
                <w:sz w:val="22"/>
                <w:szCs w:val="22"/>
              </w:rPr>
              <w:t xml:space="preserve"> de cadre de programme </w:t>
            </w:r>
            <w:r w:rsidR="00A2771D">
              <w:rPr>
                <w:color w:val="000000"/>
                <w:sz w:val="22"/>
                <w:szCs w:val="22"/>
              </w:rPr>
              <w:t xml:space="preserve">pourrait </w:t>
            </w:r>
            <w:r w:rsidR="001A6D28">
              <w:rPr>
                <w:color w:val="000000"/>
                <w:sz w:val="22"/>
                <w:szCs w:val="22"/>
              </w:rPr>
              <w:t>remet</w:t>
            </w:r>
            <w:r w:rsidR="00A2771D">
              <w:rPr>
                <w:color w:val="000000"/>
                <w:sz w:val="22"/>
                <w:szCs w:val="22"/>
              </w:rPr>
              <w:t>tre</w:t>
            </w:r>
            <w:r w:rsidR="001A6D28">
              <w:rPr>
                <w:color w:val="000000"/>
                <w:sz w:val="22"/>
                <w:szCs w:val="22"/>
              </w:rPr>
              <w:t xml:space="preserve"> en cause la capacité du cabinet de consultants à produire un tel document. Un mécanisme de suivi doit être mis en place pour g</w:t>
            </w:r>
            <w:r w:rsidR="00A14B9B">
              <w:rPr>
                <w:color w:val="000000"/>
                <w:sz w:val="22"/>
                <w:szCs w:val="22"/>
              </w:rPr>
              <w:t>arantir la qualité du programme</w:t>
            </w:r>
            <w:r w:rsidR="001A6D28">
              <w:rPr>
                <w:color w:val="000000"/>
                <w:sz w:val="22"/>
                <w:szCs w:val="22"/>
              </w:rPr>
              <w:t xml:space="preserve">. </w:t>
            </w:r>
          </w:p>
          <w:p w14:paraId="4420E711" w14:textId="77777777" w:rsidR="00973807" w:rsidRPr="00EE50E9" w:rsidRDefault="00973807" w:rsidP="00973807">
            <w:pPr>
              <w:autoSpaceDE w:val="0"/>
              <w:autoSpaceDN w:val="0"/>
              <w:adjustRightInd w:val="0"/>
              <w:jc w:val="both"/>
              <w:rPr>
                <w:i/>
                <w:color w:val="000000"/>
              </w:rPr>
            </w:pPr>
          </w:p>
          <w:p w14:paraId="3D4D4F38" w14:textId="77777777" w:rsidR="00CF6D08" w:rsidRPr="006164ED" w:rsidRDefault="00723F96" w:rsidP="00723F96">
            <w:pPr>
              <w:autoSpaceDE w:val="0"/>
              <w:autoSpaceDN w:val="0"/>
              <w:adjustRightInd w:val="0"/>
              <w:rPr>
                <w:i/>
                <w:color w:val="000000"/>
              </w:rPr>
            </w:pPr>
            <w:r w:rsidRPr="00C84DC2">
              <w:rPr>
                <w:color w:val="515150"/>
                <w:lang w:eastAsia="en-US"/>
              </w:rPr>
              <w:t>•</w:t>
            </w:r>
            <w:r w:rsidR="00CF6D08" w:rsidRPr="00EE50E9">
              <w:rPr>
                <w:i/>
                <w:color w:val="000000"/>
                <w:sz w:val="22"/>
                <w:szCs w:val="22"/>
              </w:rPr>
              <w:t>Quels résultats supplémentaires peut-on attendre d’ici à la fin de l’année?</w:t>
            </w:r>
          </w:p>
          <w:p w14:paraId="59E4DB3A" w14:textId="77777777" w:rsidR="006164ED" w:rsidRPr="00554C08" w:rsidRDefault="006164ED" w:rsidP="006164ED">
            <w:pPr>
              <w:autoSpaceDE w:val="0"/>
              <w:autoSpaceDN w:val="0"/>
              <w:adjustRightInd w:val="0"/>
              <w:ind w:left="720"/>
              <w:rPr>
                <w:i/>
                <w:color w:val="000000"/>
              </w:rPr>
            </w:pPr>
          </w:p>
          <w:p w14:paraId="3BBB2FA4" w14:textId="77777777" w:rsidR="00554C08" w:rsidRPr="00A14B9B" w:rsidRDefault="001A6D28" w:rsidP="001A6D28">
            <w:pPr>
              <w:autoSpaceDE w:val="0"/>
              <w:autoSpaceDN w:val="0"/>
              <w:adjustRightInd w:val="0"/>
              <w:jc w:val="both"/>
              <w:rPr>
                <w:color w:val="000000"/>
                <w:sz w:val="22"/>
                <w:szCs w:val="22"/>
              </w:rPr>
            </w:pPr>
            <w:r w:rsidRPr="00A14B9B">
              <w:rPr>
                <w:color w:val="000000"/>
                <w:sz w:val="22"/>
                <w:szCs w:val="22"/>
              </w:rPr>
              <w:t>D’ici la fin de l’année, outre le rapport d’étude sur les opportunités d’emplois des jeunes et des femmes dans les secteurs minier et agricole qui a déjà été validé, le programme national</w:t>
            </w:r>
            <w:r w:rsidR="00050959" w:rsidRPr="00A14B9B">
              <w:rPr>
                <w:color w:val="000000"/>
                <w:sz w:val="22"/>
                <w:szCs w:val="22"/>
              </w:rPr>
              <w:t xml:space="preserve"> d’intervention et son plan d’action sont attendus</w:t>
            </w:r>
            <w:r w:rsidR="00A2771D">
              <w:rPr>
                <w:color w:val="000000"/>
                <w:sz w:val="22"/>
                <w:szCs w:val="22"/>
              </w:rPr>
              <w:t xml:space="preserve"> et approuvés</w:t>
            </w:r>
            <w:r w:rsidR="00050959" w:rsidRPr="00A14B9B">
              <w:rPr>
                <w:color w:val="000000"/>
                <w:sz w:val="22"/>
                <w:szCs w:val="22"/>
              </w:rPr>
              <w:t xml:space="preserve">. </w:t>
            </w:r>
          </w:p>
          <w:p w14:paraId="171F6BD1" w14:textId="77777777" w:rsidR="00CF6D08" w:rsidRPr="00EE50E9" w:rsidRDefault="00CF6D08" w:rsidP="00913BF5">
            <w:pPr>
              <w:autoSpaceDE w:val="0"/>
              <w:autoSpaceDN w:val="0"/>
              <w:adjustRightInd w:val="0"/>
              <w:rPr>
                <w:i/>
                <w:color w:val="000000"/>
              </w:rPr>
            </w:pPr>
          </w:p>
          <w:p w14:paraId="2B77DE1C" w14:textId="77777777" w:rsidR="00CF6D08" w:rsidRPr="00EE50E9" w:rsidRDefault="00723F96" w:rsidP="00723F96">
            <w:pPr>
              <w:autoSpaceDE w:val="0"/>
              <w:autoSpaceDN w:val="0"/>
              <w:adjustRightInd w:val="0"/>
              <w:rPr>
                <w:i/>
                <w:color w:val="000000"/>
              </w:rPr>
            </w:pPr>
            <w:r w:rsidRPr="00C84DC2">
              <w:rPr>
                <w:color w:val="515150"/>
                <w:lang w:eastAsia="en-US"/>
              </w:rPr>
              <w:t>•</w:t>
            </w:r>
            <w:r w:rsidR="00CF6D08" w:rsidRPr="00EE50E9">
              <w:rPr>
                <w:i/>
                <w:color w:val="000000"/>
                <w:sz w:val="22"/>
                <w:szCs w:val="22"/>
              </w:rPr>
              <w:t>Faut-il adapter les stratégies du projet?</w:t>
            </w:r>
          </w:p>
          <w:p w14:paraId="30909FF4" w14:textId="77777777" w:rsidR="00AC2986" w:rsidRDefault="00AC2986" w:rsidP="00AC2986">
            <w:pPr>
              <w:autoSpaceDE w:val="0"/>
              <w:autoSpaceDN w:val="0"/>
              <w:adjustRightInd w:val="0"/>
              <w:jc w:val="both"/>
              <w:rPr>
                <w:color w:val="000000"/>
                <w:sz w:val="22"/>
                <w:szCs w:val="22"/>
              </w:rPr>
            </w:pPr>
          </w:p>
          <w:p w14:paraId="37552DEE" w14:textId="77777777" w:rsidR="00CF6D08" w:rsidRPr="00A2771D" w:rsidRDefault="00AC2986" w:rsidP="00A2771D">
            <w:pPr>
              <w:autoSpaceDE w:val="0"/>
              <w:autoSpaceDN w:val="0"/>
              <w:adjustRightInd w:val="0"/>
              <w:jc w:val="both"/>
              <w:rPr>
                <w:color w:val="000000"/>
                <w:sz w:val="22"/>
                <w:szCs w:val="22"/>
              </w:rPr>
            </w:pPr>
            <w:r w:rsidRPr="00AC2986">
              <w:rPr>
                <w:color w:val="000000"/>
                <w:sz w:val="22"/>
                <w:szCs w:val="22"/>
              </w:rPr>
              <w:t xml:space="preserve">Les retards pris dans la rédaction et la validation du rapport d’étude a impacté le calendrier d’exécution du projet et la réalisation du programme national. Une extension du projet </w:t>
            </w:r>
            <w:r w:rsidR="00A2771D">
              <w:rPr>
                <w:color w:val="000000"/>
                <w:sz w:val="22"/>
                <w:szCs w:val="22"/>
              </w:rPr>
              <w:t xml:space="preserve">va donc être sollicitée </w:t>
            </w:r>
            <w:r w:rsidRPr="00AC2986">
              <w:rPr>
                <w:color w:val="000000"/>
                <w:sz w:val="22"/>
                <w:szCs w:val="22"/>
              </w:rPr>
              <w:t>afin de pouvoir atteindre tous les résultats escomptés</w:t>
            </w:r>
            <w:r w:rsidR="00A2771D">
              <w:rPr>
                <w:color w:val="000000"/>
                <w:sz w:val="22"/>
                <w:szCs w:val="22"/>
              </w:rPr>
              <w:t xml:space="preserve"> avec la qualité requise</w:t>
            </w:r>
            <w:r w:rsidRPr="00AC2986">
              <w:rPr>
                <w:color w:val="000000"/>
                <w:sz w:val="22"/>
                <w:szCs w:val="22"/>
              </w:rPr>
              <w:t>.</w:t>
            </w:r>
            <w:r w:rsidR="00A14B9B">
              <w:rPr>
                <w:color w:val="000000"/>
                <w:sz w:val="22"/>
                <w:szCs w:val="22"/>
              </w:rPr>
              <w:t xml:space="preserve"> De plus, un mécanisme de suivi doit être mis en place pour accompagner les consultants dans la rédaction du programme et veiller à ce que le document atteigne les normes de qualité requises. </w:t>
            </w:r>
          </w:p>
        </w:tc>
      </w:tr>
    </w:tbl>
    <w:p w14:paraId="15B48CCC" w14:textId="77777777" w:rsidR="00CF6D08" w:rsidRPr="00EE50E9" w:rsidRDefault="00CF6D08" w:rsidP="00F11DAC">
      <w:pPr>
        <w:outlineLvl w:val="0"/>
        <w:rPr>
          <w:sz w:val="22"/>
          <w:szCs w:val="22"/>
        </w:rPr>
        <w:sectPr w:rsidR="00CF6D08" w:rsidRPr="00EE50E9" w:rsidSect="00BB2676">
          <w:footerReference w:type="even" r:id="rId10"/>
          <w:footerReference w:type="default" r:id="rId11"/>
          <w:pgSz w:w="12240" w:h="15840"/>
          <w:pgMar w:top="562" w:right="1800" w:bottom="562" w:left="1800" w:header="720" w:footer="720" w:gutter="0"/>
          <w:pgNumType w:start="1"/>
          <w:cols w:space="720"/>
          <w:docGrid w:linePitch="360"/>
        </w:sectPr>
      </w:pPr>
    </w:p>
    <w:p w14:paraId="4A8A1838" w14:textId="77777777" w:rsidR="00CF6D08" w:rsidRPr="00EE50E9" w:rsidRDefault="00CF6D08" w:rsidP="00F11DAC">
      <w:pPr>
        <w:rPr>
          <w:sz w:val="22"/>
          <w:szCs w:val="22"/>
        </w:rPr>
      </w:pPr>
      <w:r w:rsidRPr="00EE50E9">
        <w:rPr>
          <w:rFonts w:cs="Tahoma"/>
          <w:b/>
          <w:szCs w:val="20"/>
          <w:lang w:eastAsia="en-US"/>
        </w:rPr>
        <w:lastRenderedPageBreak/>
        <w:t>EVALUATION DE LA PERFORMANCE A PARTIR D’INDICATEURS:</w:t>
      </w:r>
      <w:r w:rsidRPr="00EE50E9">
        <w:rPr>
          <w:rFonts w:ascii="Calibri" w:hAnsi="Calibri" w:cs="Arial"/>
          <w:b/>
        </w:rPr>
        <w:t xml:space="preserve"> </w:t>
      </w:r>
      <w:r w:rsidR="00723F96">
        <w:rPr>
          <w:bCs/>
          <w:i/>
          <w:sz w:val="22"/>
          <w:szCs w:val="22"/>
        </w:rPr>
        <w:t xml:space="preserve"> </w:t>
      </w:r>
    </w:p>
    <w:p w14:paraId="2ECFF955" w14:textId="77777777" w:rsidR="00CF6D08" w:rsidRPr="00EE50E9" w:rsidRDefault="00CF6D08" w:rsidP="00F11DAC">
      <w:pPr>
        <w:outlineLvl w:val="0"/>
        <w:rPr>
          <w:sz w:val="22"/>
          <w:szCs w:val="22"/>
        </w:rPr>
      </w:pPr>
    </w:p>
    <w:tbl>
      <w:tblPr>
        <w:tblW w:w="15472"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02"/>
        <w:gridCol w:w="2127"/>
        <w:gridCol w:w="1134"/>
        <w:gridCol w:w="2126"/>
        <w:gridCol w:w="3685"/>
        <w:gridCol w:w="2127"/>
        <w:gridCol w:w="1071"/>
      </w:tblGrid>
      <w:tr w:rsidR="00CF6D08" w:rsidRPr="00AC2986" w14:paraId="65873665" w14:textId="77777777" w:rsidTr="00A2771D">
        <w:tc>
          <w:tcPr>
            <w:tcW w:w="3202" w:type="dxa"/>
          </w:tcPr>
          <w:p w14:paraId="7B9CF550" w14:textId="77777777" w:rsidR="00CF6D08" w:rsidRPr="00AC2986" w:rsidRDefault="00CF6D08" w:rsidP="00F11DAC">
            <w:pPr>
              <w:jc w:val="center"/>
              <w:rPr>
                <w:b/>
                <w:sz w:val="22"/>
                <w:szCs w:val="22"/>
              </w:rPr>
            </w:pPr>
          </w:p>
        </w:tc>
        <w:tc>
          <w:tcPr>
            <w:tcW w:w="2127" w:type="dxa"/>
          </w:tcPr>
          <w:p w14:paraId="4F7BEA2F" w14:textId="77777777" w:rsidR="00CF6D08" w:rsidRPr="00AC2986" w:rsidRDefault="00CF6D08" w:rsidP="00E66865">
            <w:pPr>
              <w:jc w:val="center"/>
              <w:outlineLvl w:val="0"/>
              <w:rPr>
                <w:b/>
                <w:sz w:val="22"/>
                <w:szCs w:val="22"/>
              </w:rPr>
            </w:pPr>
            <w:r w:rsidRPr="00AC2986">
              <w:rPr>
                <w:b/>
                <w:sz w:val="22"/>
                <w:szCs w:val="22"/>
              </w:rPr>
              <w:t>Indicateurs de performance</w:t>
            </w:r>
          </w:p>
        </w:tc>
        <w:tc>
          <w:tcPr>
            <w:tcW w:w="1134" w:type="dxa"/>
          </w:tcPr>
          <w:p w14:paraId="5FD3EB1C" w14:textId="77777777" w:rsidR="00CF6D08" w:rsidRPr="00AC2986" w:rsidRDefault="00CF6D08" w:rsidP="00E66865">
            <w:pPr>
              <w:jc w:val="center"/>
              <w:outlineLvl w:val="0"/>
              <w:rPr>
                <w:b/>
                <w:sz w:val="22"/>
                <w:szCs w:val="22"/>
              </w:rPr>
            </w:pPr>
            <w:r w:rsidRPr="00AC2986">
              <w:rPr>
                <w:b/>
                <w:sz w:val="22"/>
                <w:szCs w:val="22"/>
              </w:rPr>
              <w:t>Données de référence en tant qu’indicateurs</w:t>
            </w:r>
          </w:p>
        </w:tc>
        <w:tc>
          <w:tcPr>
            <w:tcW w:w="2126" w:type="dxa"/>
          </w:tcPr>
          <w:p w14:paraId="5FEF6970" w14:textId="77777777" w:rsidR="00CF6D08" w:rsidRPr="00AC2986" w:rsidRDefault="00CF6D08" w:rsidP="00E66865">
            <w:pPr>
              <w:jc w:val="center"/>
              <w:outlineLvl w:val="0"/>
              <w:rPr>
                <w:b/>
                <w:sz w:val="22"/>
                <w:szCs w:val="22"/>
              </w:rPr>
            </w:pPr>
            <w:r w:rsidRPr="00AC2986">
              <w:rPr>
                <w:b/>
                <w:sz w:val="22"/>
                <w:szCs w:val="22"/>
              </w:rPr>
              <w:t>Cibles fixées en termes d’indicateurs</w:t>
            </w:r>
          </w:p>
        </w:tc>
        <w:tc>
          <w:tcPr>
            <w:tcW w:w="3685" w:type="dxa"/>
          </w:tcPr>
          <w:p w14:paraId="7EACC679" w14:textId="77777777" w:rsidR="00CF6D08" w:rsidRPr="00AC2986" w:rsidRDefault="00CF6D08" w:rsidP="00E66865">
            <w:pPr>
              <w:jc w:val="center"/>
              <w:outlineLvl w:val="0"/>
              <w:rPr>
                <w:b/>
                <w:sz w:val="22"/>
                <w:szCs w:val="22"/>
              </w:rPr>
            </w:pPr>
            <w:r w:rsidRPr="00AC2986">
              <w:rPr>
                <w:b/>
                <w:sz w:val="22"/>
                <w:szCs w:val="22"/>
              </w:rPr>
              <w:t>Cibles atteintes</w:t>
            </w:r>
          </w:p>
        </w:tc>
        <w:tc>
          <w:tcPr>
            <w:tcW w:w="2127" w:type="dxa"/>
          </w:tcPr>
          <w:p w14:paraId="45471986" w14:textId="77777777" w:rsidR="00CF6D08" w:rsidRPr="00AC2986" w:rsidRDefault="00CF6D08" w:rsidP="00E66865">
            <w:pPr>
              <w:jc w:val="center"/>
              <w:outlineLvl w:val="0"/>
              <w:rPr>
                <w:b/>
                <w:sz w:val="22"/>
                <w:szCs w:val="22"/>
              </w:rPr>
            </w:pPr>
            <w:r w:rsidRPr="00AC2986">
              <w:rPr>
                <w:b/>
                <w:sz w:val="22"/>
                <w:szCs w:val="22"/>
              </w:rPr>
              <w:t>Raisons expliquant l’écart éventuel</w:t>
            </w:r>
          </w:p>
        </w:tc>
        <w:tc>
          <w:tcPr>
            <w:tcW w:w="1071" w:type="dxa"/>
          </w:tcPr>
          <w:p w14:paraId="53AB1666" w14:textId="77777777" w:rsidR="00CF6D08" w:rsidRPr="00AC2986" w:rsidRDefault="00CF6D08" w:rsidP="00E66865">
            <w:pPr>
              <w:jc w:val="center"/>
              <w:outlineLvl w:val="0"/>
              <w:rPr>
                <w:b/>
                <w:sz w:val="22"/>
                <w:szCs w:val="22"/>
              </w:rPr>
            </w:pPr>
            <w:r w:rsidRPr="00AC2986">
              <w:rPr>
                <w:b/>
                <w:sz w:val="22"/>
                <w:szCs w:val="22"/>
              </w:rPr>
              <w:t>Risques</w:t>
            </w:r>
          </w:p>
        </w:tc>
      </w:tr>
      <w:tr w:rsidR="001F7335" w:rsidRPr="00AC2986" w14:paraId="364CF396" w14:textId="77777777" w:rsidTr="00A2771D">
        <w:trPr>
          <w:trHeight w:val="1404"/>
        </w:trPr>
        <w:tc>
          <w:tcPr>
            <w:tcW w:w="3202" w:type="dxa"/>
          </w:tcPr>
          <w:p w14:paraId="0F3EBDC0" w14:textId="77777777" w:rsidR="001F7335" w:rsidRPr="00AC2986" w:rsidRDefault="001F7335" w:rsidP="001F7335">
            <w:pPr>
              <w:rPr>
                <w:b/>
                <w:i/>
                <w:sz w:val="22"/>
                <w:szCs w:val="22"/>
              </w:rPr>
            </w:pPr>
            <w:r w:rsidRPr="00AC2986">
              <w:rPr>
                <w:b/>
                <w:i/>
                <w:sz w:val="22"/>
                <w:szCs w:val="22"/>
              </w:rPr>
              <w:t>Objective stratégique (PPCP)</w:t>
            </w:r>
          </w:p>
          <w:p w14:paraId="7502284B" w14:textId="77777777" w:rsidR="001F7335" w:rsidRPr="00AC2986" w:rsidRDefault="001F7335" w:rsidP="001F7335">
            <w:pPr>
              <w:rPr>
                <w:b/>
                <w:sz w:val="22"/>
                <w:szCs w:val="22"/>
              </w:rPr>
            </w:pPr>
            <w:r w:rsidRPr="00AC2986">
              <w:rPr>
                <w:b/>
                <w:sz w:val="22"/>
                <w:szCs w:val="22"/>
              </w:rPr>
              <w:t>Le Gouvernement dispose d’un diagnostic et d’un plan d’action dans le secteur de l’emploi visant les groupes les plus à risque (les jeunes et les femmes)</w:t>
            </w:r>
          </w:p>
        </w:tc>
        <w:tc>
          <w:tcPr>
            <w:tcW w:w="2127" w:type="dxa"/>
          </w:tcPr>
          <w:p w14:paraId="6ED0B244" w14:textId="77777777" w:rsidR="001F7335" w:rsidRPr="00AC2986" w:rsidRDefault="001F7335" w:rsidP="001F7335">
            <w:pPr>
              <w:jc w:val="both"/>
              <w:rPr>
                <w:i/>
                <w:sz w:val="22"/>
                <w:szCs w:val="22"/>
              </w:rPr>
            </w:pPr>
            <w:r w:rsidRPr="00AC2986">
              <w:rPr>
                <w:i/>
                <w:sz w:val="22"/>
                <w:szCs w:val="22"/>
              </w:rPr>
              <w:t>Indicateur (1)</w:t>
            </w:r>
          </w:p>
          <w:p w14:paraId="5753BFA1" w14:textId="77777777" w:rsidR="001F7335" w:rsidRPr="00AC2986" w:rsidRDefault="001F7335" w:rsidP="001F7335">
            <w:pPr>
              <w:jc w:val="both"/>
              <w:rPr>
                <w:sz w:val="22"/>
                <w:szCs w:val="22"/>
              </w:rPr>
            </w:pPr>
            <w:r w:rsidRPr="00AC2986">
              <w:rPr>
                <w:sz w:val="22"/>
                <w:szCs w:val="22"/>
              </w:rPr>
              <w:t>% accru de jeunes et de femmes à risques d’instabilité ayant accès à l’emploi notamment dans le secteur des mines et de l’agriculture</w:t>
            </w:r>
          </w:p>
        </w:tc>
        <w:tc>
          <w:tcPr>
            <w:tcW w:w="1134" w:type="dxa"/>
          </w:tcPr>
          <w:p w14:paraId="42EB771A" w14:textId="77777777" w:rsidR="001F7335" w:rsidRPr="00AC2986" w:rsidRDefault="00AC2986" w:rsidP="00F11DAC">
            <w:pPr>
              <w:rPr>
                <w:sz w:val="22"/>
                <w:szCs w:val="22"/>
              </w:rPr>
            </w:pPr>
            <w:r w:rsidRPr="00AC2986">
              <w:rPr>
                <w:sz w:val="22"/>
                <w:szCs w:val="22"/>
              </w:rPr>
              <w:t>N/A</w:t>
            </w:r>
          </w:p>
        </w:tc>
        <w:tc>
          <w:tcPr>
            <w:tcW w:w="2126" w:type="dxa"/>
          </w:tcPr>
          <w:p w14:paraId="5E4504B3" w14:textId="77777777" w:rsidR="001F7335" w:rsidRPr="00AC2986" w:rsidRDefault="001F7335" w:rsidP="00F11DAC">
            <w:pPr>
              <w:rPr>
                <w:sz w:val="22"/>
                <w:szCs w:val="22"/>
              </w:rPr>
            </w:pPr>
          </w:p>
        </w:tc>
        <w:tc>
          <w:tcPr>
            <w:tcW w:w="3685" w:type="dxa"/>
          </w:tcPr>
          <w:p w14:paraId="18D22238" w14:textId="77777777" w:rsidR="001F7335" w:rsidRPr="00AC2986" w:rsidRDefault="006164ED" w:rsidP="00F11DAC">
            <w:pPr>
              <w:rPr>
                <w:sz w:val="22"/>
                <w:szCs w:val="22"/>
              </w:rPr>
            </w:pPr>
            <w:r w:rsidRPr="00AC2986">
              <w:rPr>
                <w:sz w:val="22"/>
                <w:szCs w:val="22"/>
              </w:rPr>
              <w:t>N/A</w:t>
            </w:r>
          </w:p>
        </w:tc>
        <w:tc>
          <w:tcPr>
            <w:tcW w:w="2127" w:type="dxa"/>
          </w:tcPr>
          <w:p w14:paraId="507773FE" w14:textId="77777777" w:rsidR="001F7335" w:rsidRPr="00AC2986" w:rsidRDefault="006164ED" w:rsidP="00F11DAC">
            <w:pPr>
              <w:rPr>
                <w:sz w:val="22"/>
                <w:szCs w:val="22"/>
              </w:rPr>
            </w:pPr>
            <w:r w:rsidRPr="00AC2986">
              <w:rPr>
                <w:sz w:val="22"/>
                <w:szCs w:val="22"/>
              </w:rPr>
              <w:t xml:space="preserve">Le programme national et son plan d’action n’est pas encore validé. Le nombre de jeunes et de femmes touchées par ce programme ne peut donc être </w:t>
            </w:r>
            <w:r w:rsidR="00AC2986" w:rsidRPr="00AC2986">
              <w:rPr>
                <w:sz w:val="22"/>
                <w:szCs w:val="22"/>
              </w:rPr>
              <w:t xml:space="preserve">défini. </w:t>
            </w:r>
          </w:p>
        </w:tc>
        <w:tc>
          <w:tcPr>
            <w:tcW w:w="1071" w:type="dxa"/>
          </w:tcPr>
          <w:p w14:paraId="11A9B337" w14:textId="77777777" w:rsidR="001F7335" w:rsidRPr="00AC2986" w:rsidRDefault="001F7335" w:rsidP="00F11DAC">
            <w:pPr>
              <w:rPr>
                <w:sz w:val="22"/>
                <w:szCs w:val="22"/>
              </w:rPr>
            </w:pPr>
          </w:p>
        </w:tc>
      </w:tr>
      <w:tr w:rsidR="00554C08" w:rsidRPr="00AC2986" w14:paraId="5797E20E" w14:textId="77777777" w:rsidTr="00A2771D">
        <w:trPr>
          <w:trHeight w:val="1404"/>
        </w:trPr>
        <w:tc>
          <w:tcPr>
            <w:tcW w:w="3202" w:type="dxa"/>
            <w:vMerge w:val="restart"/>
          </w:tcPr>
          <w:p w14:paraId="41299A95" w14:textId="77777777" w:rsidR="00554C08" w:rsidRPr="00AC2986" w:rsidRDefault="00554C08" w:rsidP="00831E8E">
            <w:pPr>
              <w:rPr>
                <w:b/>
                <w:i/>
                <w:sz w:val="22"/>
                <w:szCs w:val="22"/>
              </w:rPr>
            </w:pPr>
            <w:r w:rsidRPr="00AC2986">
              <w:rPr>
                <w:b/>
                <w:i/>
                <w:sz w:val="22"/>
                <w:szCs w:val="22"/>
              </w:rPr>
              <w:t xml:space="preserve">Produit 1 : </w:t>
            </w:r>
          </w:p>
          <w:p w14:paraId="741C1ED7" w14:textId="77777777" w:rsidR="00554C08" w:rsidRPr="00AC2986" w:rsidRDefault="00554C08" w:rsidP="00831E8E">
            <w:pPr>
              <w:rPr>
                <w:b/>
                <w:sz w:val="22"/>
                <w:szCs w:val="22"/>
              </w:rPr>
            </w:pPr>
            <w:r w:rsidRPr="00AC2986">
              <w:rPr>
                <w:b/>
                <w:sz w:val="22"/>
                <w:szCs w:val="22"/>
              </w:rPr>
              <w:t>Le portrait des opportunités d’emploi dans les secteurs concernés est réalisé et validé</w:t>
            </w:r>
          </w:p>
          <w:p w14:paraId="75D820B4" w14:textId="77777777" w:rsidR="00554C08" w:rsidRPr="00AC2986" w:rsidRDefault="00554C08" w:rsidP="00831E8E">
            <w:pPr>
              <w:rPr>
                <w:sz w:val="22"/>
                <w:szCs w:val="22"/>
              </w:rPr>
            </w:pPr>
          </w:p>
          <w:p w14:paraId="7F6B8A4E" w14:textId="77777777" w:rsidR="00554C08" w:rsidRPr="00AC2986" w:rsidRDefault="00554C08" w:rsidP="00831E8E">
            <w:pPr>
              <w:rPr>
                <w:b/>
                <w:sz w:val="22"/>
                <w:szCs w:val="22"/>
              </w:rPr>
            </w:pPr>
            <w:r w:rsidRPr="00AC2986">
              <w:rPr>
                <w:b/>
                <w:sz w:val="22"/>
                <w:szCs w:val="22"/>
              </w:rPr>
              <w:t>Le plan d’action pour l’emploi des jeunes et des femmes dans le secteur des mines et de l’Agriculture est adopté</w:t>
            </w:r>
          </w:p>
        </w:tc>
        <w:tc>
          <w:tcPr>
            <w:tcW w:w="2127" w:type="dxa"/>
          </w:tcPr>
          <w:p w14:paraId="5BA5C859" w14:textId="77777777" w:rsidR="00554C08" w:rsidRPr="00AC2986" w:rsidRDefault="00554C08" w:rsidP="00831E8E">
            <w:pPr>
              <w:jc w:val="both"/>
              <w:rPr>
                <w:sz w:val="22"/>
                <w:szCs w:val="22"/>
              </w:rPr>
            </w:pPr>
            <w:r w:rsidRPr="00AC2986">
              <w:rPr>
                <w:i/>
                <w:sz w:val="22"/>
                <w:szCs w:val="22"/>
              </w:rPr>
              <w:t>Indicateur 1.1:</w:t>
            </w:r>
            <w:r w:rsidRPr="00AC2986">
              <w:rPr>
                <w:sz w:val="22"/>
                <w:szCs w:val="22"/>
              </w:rPr>
              <w:t xml:space="preserve"> Le rapport d’étude est adopté</w:t>
            </w:r>
          </w:p>
        </w:tc>
        <w:tc>
          <w:tcPr>
            <w:tcW w:w="1134" w:type="dxa"/>
          </w:tcPr>
          <w:p w14:paraId="0203DB79" w14:textId="77777777" w:rsidR="00554C08" w:rsidRPr="00AC2986" w:rsidRDefault="00AC2986" w:rsidP="00F11DAC">
            <w:pPr>
              <w:rPr>
                <w:sz w:val="22"/>
                <w:szCs w:val="22"/>
              </w:rPr>
            </w:pPr>
            <w:r w:rsidRPr="00AC2986">
              <w:rPr>
                <w:sz w:val="22"/>
                <w:szCs w:val="22"/>
              </w:rPr>
              <w:t>N/A</w:t>
            </w:r>
          </w:p>
        </w:tc>
        <w:tc>
          <w:tcPr>
            <w:tcW w:w="2126" w:type="dxa"/>
          </w:tcPr>
          <w:p w14:paraId="69075BF7" w14:textId="77777777" w:rsidR="00554C08" w:rsidRPr="00AC2986" w:rsidRDefault="00AC2986" w:rsidP="00F11DAC">
            <w:pPr>
              <w:rPr>
                <w:sz w:val="22"/>
                <w:szCs w:val="22"/>
              </w:rPr>
            </w:pPr>
            <w:r>
              <w:rPr>
                <w:sz w:val="22"/>
                <w:szCs w:val="22"/>
              </w:rPr>
              <w:t xml:space="preserve">Un portrait de qualité dans les deux secteurs est réalisé. </w:t>
            </w:r>
          </w:p>
        </w:tc>
        <w:tc>
          <w:tcPr>
            <w:tcW w:w="3685" w:type="dxa"/>
          </w:tcPr>
          <w:p w14:paraId="5A5FF69C" w14:textId="77777777" w:rsidR="00554C08" w:rsidRPr="00AC2986" w:rsidRDefault="00AC2986" w:rsidP="00F11DAC">
            <w:pPr>
              <w:rPr>
                <w:sz w:val="22"/>
                <w:szCs w:val="22"/>
              </w:rPr>
            </w:pPr>
            <w:r>
              <w:rPr>
                <w:sz w:val="22"/>
                <w:szCs w:val="22"/>
              </w:rPr>
              <w:t xml:space="preserve">Le rapport d’étude a été validé par les deux comités. </w:t>
            </w:r>
          </w:p>
        </w:tc>
        <w:tc>
          <w:tcPr>
            <w:tcW w:w="2127" w:type="dxa"/>
          </w:tcPr>
          <w:p w14:paraId="2E84B463" w14:textId="77777777" w:rsidR="00554C08" w:rsidRPr="00AC2986" w:rsidRDefault="00554C08" w:rsidP="00F11DAC">
            <w:pPr>
              <w:rPr>
                <w:sz w:val="22"/>
                <w:szCs w:val="22"/>
              </w:rPr>
            </w:pPr>
          </w:p>
        </w:tc>
        <w:tc>
          <w:tcPr>
            <w:tcW w:w="1071" w:type="dxa"/>
          </w:tcPr>
          <w:p w14:paraId="3408FB27" w14:textId="77777777" w:rsidR="00554C08" w:rsidRPr="00AC2986" w:rsidRDefault="00554C08" w:rsidP="00F11DAC">
            <w:pPr>
              <w:rPr>
                <w:sz w:val="22"/>
                <w:szCs w:val="22"/>
              </w:rPr>
            </w:pPr>
          </w:p>
        </w:tc>
      </w:tr>
      <w:tr w:rsidR="00554C08" w:rsidRPr="00AC2986" w14:paraId="02FF62DA" w14:textId="77777777" w:rsidTr="00A2771D">
        <w:trPr>
          <w:trHeight w:val="1380"/>
        </w:trPr>
        <w:tc>
          <w:tcPr>
            <w:tcW w:w="3202" w:type="dxa"/>
            <w:vMerge/>
          </w:tcPr>
          <w:p w14:paraId="78C81996" w14:textId="77777777" w:rsidR="00554C08" w:rsidRPr="00AC2986" w:rsidRDefault="00554C08" w:rsidP="00831E8E">
            <w:pPr>
              <w:rPr>
                <w:sz w:val="22"/>
                <w:szCs w:val="22"/>
              </w:rPr>
            </w:pPr>
          </w:p>
        </w:tc>
        <w:tc>
          <w:tcPr>
            <w:tcW w:w="2127" w:type="dxa"/>
          </w:tcPr>
          <w:p w14:paraId="2F8A7BEA" w14:textId="77777777" w:rsidR="00554C08" w:rsidRPr="00AC2986" w:rsidRDefault="00554C08" w:rsidP="00F11DAC">
            <w:pPr>
              <w:jc w:val="both"/>
              <w:rPr>
                <w:sz w:val="22"/>
                <w:szCs w:val="22"/>
              </w:rPr>
            </w:pPr>
            <w:r w:rsidRPr="00AC2986">
              <w:rPr>
                <w:i/>
                <w:sz w:val="22"/>
                <w:szCs w:val="22"/>
              </w:rPr>
              <w:t>Indicateur 1.2</w:t>
            </w:r>
            <w:r w:rsidRPr="00AC2986">
              <w:rPr>
                <w:sz w:val="22"/>
                <w:szCs w:val="22"/>
              </w:rPr>
              <w:t> : Nombre de participants aux ateliers et fora par groupe d’acteurs</w:t>
            </w:r>
          </w:p>
        </w:tc>
        <w:tc>
          <w:tcPr>
            <w:tcW w:w="1134" w:type="dxa"/>
          </w:tcPr>
          <w:p w14:paraId="6EC0938D" w14:textId="77777777" w:rsidR="00554C08" w:rsidRPr="00AC2986" w:rsidRDefault="00AC2986" w:rsidP="00F11DAC">
            <w:pPr>
              <w:rPr>
                <w:sz w:val="22"/>
                <w:szCs w:val="22"/>
              </w:rPr>
            </w:pPr>
            <w:r w:rsidRPr="00AC2986">
              <w:rPr>
                <w:sz w:val="22"/>
                <w:szCs w:val="22"/>
              </w:rPr>
              <w:t>N/A</w:t>
            </w:r>
          </w:p>
        </w:tc>
        <w:tc>
          <w:tcPr>
            <w:tcW w:w="2126" w:type="dxa"/>
          </w:tcPr>
          <w:p w14:paraId="6CE9765D" w14:textId="77777777" w:rsidR="001F7335" w:rsidRPr="00AC2986" w:rsidRDefault="001F7335" w:rsidP="001F7335">
            <w:pPr>
              <w:rPr>
                <w:sz w:val="22"/>
                <w:szCs w:val="22"/>
              </w:rPr>
            </w:pPr>
            <w:r w:rsidRPr="00AC2986">
              <w:rPr>
                <w:sz w:val="22"/>
                <w:szCs w:val="22"/>
              </w:rPr>
              <w:t>Au moins 6 membres du Comité Technique réunis au moins 5 fois pour accompagner la réalisation de l’étude</w:t>
            </w:r>
          </w:p>
          <w:p w14:paraId="536ECE96" w14:textId="77777777" w:rsidR="001F7335" w:rsidRPr="00AC2986" w:rsidRDefault="001F7335" w:rsidP="001F7335">
            <w:pPr>
              <w:rPr>
                <w:sz w:val="22"/>
                <w:szCs w:val="22"/>
              </w:rPr>
            </w:pPr>
          </w:p>
          <w:p w14:paraId="5CF8339F" w14:textId="77777777" w:rsidR="00554C08" w:rsidRPr="00AC2986" w:rsidRDefault="001F7335" w:rsidP="001F7335">
            <w:pPr>
              <w:rPr>
                <w:sz w:val="22"/>
                <w:szCs w:val="22"/>
              </w:rPr>
            </w:pPr>
            <w:r w:rsidRPr="00AC2986">
              <w:rPr>
                <w:sz w:val="22"/>
                <w:szCs w:val="22"/>
              </w:rPr>
              <w:t>Environ 15 participants des 2 comités réunis à trois reprises</w:t>
            </w:r>
          </w:p>
        </w:tc>
        <w:tc>
          <w:tcPr>
            <w:tcW w:w="3685" w:type="dxa"/>
          </w:tcPr>
          <w:p w14:paraId="38E14084" w14:textId="77777777" w:rsidR="00050959" w:rsidRPr="00AC2986" w:rsidRDefault="00050959" w:rsidP="00F11DAC">
            <w:pPr>
              <w:rPr>
                <w:sz w:val="22"/>
                <w:szCs w:val="22"/>
              </w:rPr>
            </w:pPr>
            <w:r>
              <w:rPr>
                <w:sz w:val="22"/>
                <w:szCs w:val="22"/>
              </w:rPr>
              <w:t>Les deux comités se sont réunis chacun une fois pour commenter et valider l’étude : u</w:t>
            </w:r>
            <w:r w:rsidRPr="00050959">
              <w:rPr>
                <w:sz w:val="22"/>
                <w:szCs w:val="22"/>
              </w:rPr>
              <w:t>ne quinzaine de membres, notamment de l'USAID, la Banque Mondiale, l’Agence Française de Coopération (AFD), l’UNICEF, l'ONUDI, PBF, l'OIM,  les trois Secrétaires Généraux, respectivement des Ministères de l'Action Sociale, de la Jeunesse,  de l'Enseignement Technique</w:t>
            </w:r>
            <w:r>
              <w:rPr>
                <w:sz w:val="22"/>
                <w:szCs w:val="22"/>
              </w:rPr>
              <w:t xml:space="preserve"> étaient présents lors de la validation par le Comité de suivi du rapport d’étude.</w:t>
            </w:r>
            <w:r w:rsidR="00A14B9B">
              <w:rPr>
                <w:sz w:val="22"/>
                <w:szCs w:val="22"/>
              </w:rPr>
              <w:t xml:space="preserve"> En plus de cela, trois réunions présidées par le Ministère de </w:t>
            </w:r>
            <w:r w:rsidR="00A14B9B">
              <w:rPr>
                <w:sz w:val="22"/>
                <w:szCs w:val="22"/>
              </w:rPr>
              <w:lastRenderedPageBreak/>
              <w:t xml:space="preserve">l’Emploi et réunissant PBF, le Ministère de la Jeunesse et l’UNICEF ont eu lieu pour accompagner le cabinet d’étude dans la prise en compte des recommandations sur le rapport d’étude et l’élaboration du programme. </w:t>
            </w:r>
          </w:p>
        </w:tc>
        <w:tc>
          <w:tcPr>
            <w:tcW w:w="2127" w:type="dxa"/>
          </w:tcPr>
          <w:p w14:paraId="3474D50E" w14:textId="77777777" w:rsidR="00554C08" w:rsidRPr="00AC2986" w:rsidRDefault="00A14B9B" w:rsidP="00F11DAC">
            <w:pPr>
              <w:rPr>
                <w:sz w:val="22"/>
                <w:szCs w:val="22"/>
              </w:rPr>
            </w:pPr>
            <w:r>
              <w:rPr>
                <w:sz w:val="22"/>
                <w:szCs w:val="22"/>
              </w:rPr>
              <w:lastRenderedPageBreak/>
              <w:t xml:space="preserve">Il </w:t>
            </w:r>
            <w:r w:rsidR="004A5B93">
              <w:rPr>
                <w:sz w:val="22"/>
                <w:szCs w:val="22"/>
              </w:rPr>
              <w:t>est</w:t>
            </w:r>
            <w:r>
              <w:rPr>
                <w:sz w:val="22"/>
                <w:szCs w:val="22"/>
              </w:rPr>
              <w:t xml:space="preserve"> prévu de réunir les deux Comités pour les commentaires et la validation du programme.</w:t>
            </w:r>
          </w:p>
        </w:tc>
        <w:tc>
          <w:tcPr>
            <w:tcW w:w="1071" w:type="dxa"/>
          </w:tcPr>
          <w:p w14:paraId="011E5068" w14:textId="77777777" w:rsidR="00554C08" w:rsidRPr="00AC2986" w:rsidRDefault="00554C08" w:rsidP="00F11DAC">
            <w:pPr>
              <w:rPr>
                <w:sz w:val="22"/>
                <w:szCs w:val="22"/>
              </w:rPr>
            </w:pPr>
          </w:p>
        </w:tc>
      </w:tr>
      <w:tr w:rsidR="00554C08" w:rsidRPr="00AC2986" w14:paraId="258965F4" w14:textId="77777777" w:rsidTr="00A2771D">
        <w:trPr>
          <w:trHeight w:val="1012"/>
        </w:trPr>
        <w:tc>
          <w:tcPr>
            <w:tcW w:w="3202" w:type="dxa"/>
            <w:vMerge w:val="restart"/>
          </w:tcPr>
          <w:p w14:paraId="1A7FFA19" w14:textId="77777777" w:rsidR="00554C08" w:rsidRPr="00AC2986" w:rsidRDefault="00554C08" w:rsidP="00F11DAC">
            <w:pPr>
              <w:rPr>
                <w:b/>
                <w:i/>
                <w:sz w:val="22"/>
                <w:szCs w:val="22"/>
              </w:rPr>
            </w:pPr>
            <w:r w:rsidRPr="00AC2986">
              <w:rPr>
                <w:b/>
                <w:i/>
                <w:sz w:val="22"/>
                <w:szCs w:val="22"/>
              </w:rPr>
              <w:lastRenderedPageBreak/>
              <w:t>Produit  2 :</w:t>
            </w:r>
          </w:p>
          <w:p w14:paraId="3AAA5933" w14:textId="77777777" w:rsidR="00554C08" w:rsidRPr="00AC2986" w:rsidRDefault="00554C08" w:rsidP="00F11DAC">
            <w:pPr>
              <w:rPr>
                <w:b/>
                <w:sz w:val="22"/>
                <w:szCs w:val="22"/>
              </w:rPr>
            </w:pPr>
            <w:r w:rsidRPr="00AC2986">
              <w:rPr>
                <w:b/>
                <w:sz w:val="22"/>
                <w:szCs w:val="22"/>
              </w:rPr>
              <w:t>Le Plan d’action pour l’emploi des jeunes et des femmes pour le secteur des mines et de l’agriculture est vulgarisé</w:t>
            </w:r>
          </w:p>
          <w:p w14:paraId="342CC8FD" w14:textId="77777777" w:rsidR="00554C08" w:rsidRPr="00AC2986" w:rsidRDefault="00554C08" w:rsidP="00F11DAC">
            <w:pPr>
              <w:rPr>
                <w:b/>
                <w:sz w:val="22"/>
                <w:szCs w:val="22"/>
              </w:rPr>
            </w:pPr>
          </w:p>
          <w:p w14:paraId="352770C5" w14:textId="77777777" w:rsidR="00554C08" w:rsidRPr="00AC2986" w:rsidRDefault="00554C08" w:rsidP="00F11DAC">
            <w:pPr>
              <w:rPr>
                <w:b/>
                <w:sz w:val="22"/>
                <w:szCs w:val="22"/>
              </w:rPr>
            </w:pPr>
          </w:p>
        </w:tc>
        <w:tc>
          <w:tcPr>
            <w:tcW w:w="2127" w:type="dxa"/>
          </w:tcPr>
          <w:p w14:paraId="451E0DC2" w14:textId="77777777" w:rsidR="00554C08" w:rsidRPr="00AC2986" w:rsidRDefault="00554C08" w:rsidP="00F11DAC">
            <w:pPr>
              <w:jc w:val="both"/>
              <w:rPr>
                <w:sz w:val="22"/>
                <w:szCs w:val="22"/>
              </w:rPr>
            </w:pPr>
            <w:r w:rsidRPr="00AC2986">
              <w:rPr>
                <w:i/>
                <w:sz w:val="22"/>
                <w:szCs w:val="22"/>
              </w:rPr>
              <w:t>Indicateur 2.1</w:t>
            </w:r>
            <w:r w:rsidRPr="00AC2986">
              <w:rPr>
                <w:sz w:val="22"/>
                <w:szCs w:val="22"/>
              </w:rPr>
              <w:t> : # de participants aux ateliers et fora de vulgarisation</w:t>
            </w:r>
          </w:p>
        </w:tc>
        <w:tc>
          <w:tcPr>
            <w:tcW w:w="1134" w:type="dxa"/>
          </w:tcPr>
          <w:p w14:paraId="2D029D4D" w14:textId="77777777" w:rsidR="00554C08" w:rsidRPr="00AC2986" w:rsidRDefault="00AC2986" w:rsidP="00F11DAC">
            <w:pPr>
              <w:rPr>
                <w:sz w:val="22"/>
                <w:szCs w:val="22"/>
              </w:rPr>
            </w:pPr>
            <w:r>
              <w:rPr>
                <w:sz w:val="22"/>
                <w:szCs w:val="22"/>
              </w:rPr>
              <w:t>N/A</w:t>
            </w:r>
          </w:p>
        </w:tc>
        <w:tc>
          <w:tcPr>
            <w:tcW w:w="2126" w:type="dxa"/>
          </w:tcPr>
          <w:p w14:paraId="585953EF" w14:textId="77777777" w:rsidR="00554C08" w:rsidRPr="00AC2986" w:rsidRDefault="00554C08" w:rsidP="00F11DAC">
            <w:pPr>
              <w:rPr>
                <w:sz w:val="22"/>
                <w:szCs w:val="22"/>
              </w:rPr>
            </w:pPr>
          </w:p>
        </w:tc>
        <w:tc>
          <w:tcPr>
            <w:tcW w:w="3685" w:type="dxa"/>
          </w:tcPr>
          <w:p w14:paraId="75F5E42B" w14:textId="77777777" w:rsidR="00554C08" w:rsidRPr="00AC2986" w:rsidRDefault="00050959" w:rsidP="00F11DAC">
            <w:pPr>
              <w:rPr>
                <w:sz w:val="22"/>
                <w:szCs w:val="22"/>
              </w:rPr>
            </w:pPr>
            <w:r>
              <w:rPr>
                <w:sz w:val="22"/>
                <w:szCs w:val="22"/>
              </w:rPr>
              <w:t xml:space="preserve">Réalisé en 2013. </w:t>
            </w:r>
          </w:p>
        </w:tc>
        <w:tc>
          <w:tcPr>
            <w:tcW w:w="2127" w:type="dxa"/>
          </w:tcPr>
          <w:p w14:paraId="753F387C" w14:textId="77777777" w:rsidR="00554C08" w:rsidRPr="00AC2986" w:rsidRDefault="00554C08" w:rsidP="00F11DAC">
            <w:pPr>
              <w:rPr>
                <w:sz w:val="22"/>
                <w:szCs w:val="22"/>
              </w:rPr>
            </w:pPr>
          </w:p>
        </w:tc>
        <w:tc>
          <w:tcPr>
            <w:tcW w:w="1071" w:type="dxa"/>
          </w:tcPr>
          <w:p w14:paraId="1566D86C" w14:textId="77777777" w:rsidR="00554C08" w:rsidRPr="00AC2986" w:rsidRDefault="00554C08" w:rsidP="00F11DAC">
            <w:pPr>
              <w:rPr>
                <w:sz w:val="22"/>
                <w:szCs w:val="22"/>
              </w:rPr>
            </w:pPr>
          </w:p>
        </w:tc>
      </w:tr>
      <w:tr w:rsidR="00554C08" w:rsidRPr="00AC2986" w14:paraId="47AB068F" w14:textId="77777777" w:rsidTr="00A2771D">
        <w:trPr>
          <w:trHeight w:val="458"/>
        </w:trPr>
        <w:tc>
          <w:tcPr>
            <w:tcW w:w="3202" w:type="dxa"/>
            <w:vMerge/>
          </w:tcPr>
          <w:p w14:paraId="2318F664" w14:textId="77777777" w:rsidR="00554C08" w:rsidRPr="00AC2986" w:rsidRDefault="00554C08" w:rsidP="00F11DAC">
            <w:pPr>
              <w:rPr>
                <w:b/>
                <w:sz w:val="22"/>
                <w:szCs w:val="22"/>
              </w:rPr>
            </w:pPr>
          </w:p>
        </w:tc>
        <w:tc>
          <w:tcPr>
            <w:tcW w:w="2127" w:type="dxa"/>
          </w:tcPr>
          <w:p w14:paraId="0FB12F60" w14:textId="77777777" w:rsidR="00554C08" w:rsidRPr="00AC2986" w:rsidRDefault="00554C08" w:rsidP="00F11DAC">
            <w:pPr>
              <w:jc w:val="both"/>
              <w:rPr>
                <w:sz w:val="22"/>
                <w:szCs w:val="22"/>
              </w:rPr>
            </w:pPr>
            <w:r w:rsidRPr="00AC2986">
              <w:rPr>
                <w:i/>
                <w:sz w:val="22"/>
                <w:szCs w:val="22"/>
              </w:rPr>
              <w:t>Indicateur 2.2</w:t>
            </w:r>
            <w:r w:rsidRPr="00AC2986">
              <w:rPr>
                <w:sz w:val="22"/>
                <w:szCs w:val="22"/>
              </w:rPr>
              <w:t> : # d’ateliers et de fora organisés</w:t>
            </w:r>
          </w:p>
        </w:tc>
        <w:tc>
          <w:tcPr>
            <w:tcW w:w="1134" w:type="dxa"/>
          </w:tcPr>
          <w:p w14:paraId="1B732F93" w14:textId="77777777" w:rsidR="00554C08" w:rsidRPr="00AC2986" w:rsidRDefault="00AC2986" w:rsidP="00F11DAC">
            <w:pPr>
              <w:rPr>
                <w:sz w:val="22"/>
                <w:szCs w:val="22"/>
              </w:rPr>
            </w:pPr>
            <w:r w:rsidRPr="00AC2986">
              <w:rPr>
                <w:sz w:val="22"/>
                <w:szCs w:val="22"/>
              </w:rPr>
              <w:t>N/A</w:t>
            </w:r>
          </w:p>
        </w:tc>
        <w:tc>
          <w:tcPr>
            <w:tcW w:w="2126" w:type="dxa"/>
          </w:tcPr>
          <w:p w14:paraId="2CF4C8A2" w14:textId="77777777" w:rsidR="00554C08" w:rsidRPr="00AC2986" w:rsidRDefault="00554C08" w:rsidP="00F11DAC">
            <w:pPr>
              <w:rPr>
                <w:sz w:val="22"/>
                <w:szCs w:val="22"/>
              </w:rPr>
            </w:pPr>
          </w:p>
        </w:tc>
        <w:tc>
          <w:tcPr>
            <w:tcW w:w="3685" w:type="dxa"/>
          </w:tcPr>
          <w:p w14:paraId="45C1CB77" w14:textId="77777777" w:rsidR="00554C08" w:rsidRPr="00AC2986" w:rsidRDefault="00050959" w:rsidP="00F11DAC">
            <w:pPr>
              <w:rPr>
                <w:sz w:val="22"/>
                <w:szCs w:val="22"/>
              </w:rPr>
            </w:pPr>
            <w:r w:rsidRPr="00050959">
              <w:rPr>
                <w:sz w:val="22"/>
                <w:szCs w:val="22"/>
              </w:rPr>
              <w:t>Réalisé en 2013.</w:t>
            </w:r>
          </w:p>
        </w:tc>
        <w:tc>
          <w:tcPr>
            <w:tcW w:w="2127" w:type="dxa"/>
          </w:tcPr>
          <w:p w14:paraId="36A75B30" w14:textId="77777777" w:rsidR="00554C08" w:rsidRPr="00AC2986" w:rsidRDefault="00554C08" w:rsidP="00F11DAC">
            <w:pPr>
              <w:rPr>
                <w:sz w:val="22"/>
                <w:szCs w:val="22"/>
              </w:rPr>
            </w:pPr>
          </w:p>
        </w:tc>
        <w:tc>
          <w:tcPr>
            <w:tcW w:w="1071" w:type="dxa"/>
          </w:tcPr>
          <w:p w14:paraId="4D621ACD" w14:textId="77777777" w:rsidR="00554C08" w:rsidRPr="00AC2986" w:rsidRDefault="00554C08" w:rsidP="00F11DAC">
            <w:pPr>
              <w:rPr>
                <w:sz w:val="22"/>
                <w:szCs w:val="22"/>
              </w:rPr>
            </w:pPr>
          </w:p>
        </w:tc>
      </w:tr>
      <w:tr w:rsidR="00554C08" w:rsidRPr="00AC2986" w14:paraId="56EEE8AC" w14:textId="77777777" w:rsidTr="00A2771D">
        <w:trPr>
          <w:trHeight w:val="512"/>
        </w:trPr>
        <w:tc>
          <w:tcPr>
            <w:tcW w:w="3202" w:type="dxa"/>
            <w:vMerge/>
          </w:tcPr>
          <w:p w14:paraId="07277EDC" w14:textId="77777777" w:rsidR="00554C08" w:rsidRPr="00AC2986" w:rsidRDefault="00554C08" w:rsidP="00F11DAC">
            <w:pPr>
              <w:rPr>
                <w:sz w:val="22"/>
                <w:szCs w:val="22"/>
              </w:rPr>
            </w:pPr>
          </w:p>
        </w:tc>
        <w:tc>
          <w:tcPr>
            <w:tcW w:w="2127" w:type="dxa"/>
          </w:tcPr>
          <w:p w14:paraId="113A6869" w14:textId="77777777" w:rsidR="00554C08" w:rsidRPr="00AC2986" w:rsidRDefault="00554C08" w:rsidP="00F11DAC">
            <w:pPr>
              <w:jc w:val="both"/>
              <w:rPr>
                <w:sz w:val="22"/>
                <w:szCs w:val="22"/>
              </w:rPr>
            </w:pPr>
            <w:r w:rsidRPr="00AC2986">
              <w:rPr>
                <w:i/>
                <w:sz w:val="22"/>
                <w:szCs w:val="22"/>
              </w:rPr>
              <w:t>Indicateur 2.3</w:t>
            </w:r>
            <w:r w:rsidRPr="00AC2986">
              <w:rPr>
                <w:sz w:val="22"/>
                <w:szCs w:val="22"/>
              </w:rPr>
              <w:t> : # d’exemplaires du PA distribués</w:t>
            </w:r>
          </w:p>
        </w:tc>
        <w:tc>
          <w:tcPr>
            <w:tcW w:w="1134" w:type="dxa"/>
          </w:tcPr>
          <w:p w14:paraId="08C43740" w14:textId="77777777" w:rsidR="00554C08" w:rsidRPr="00AC2986" w:rsidRDefault="00AC2986" w:rsidP="00F11DAC">
            <w:pPr>
              <w:rPr>
                <w:sz w:val="22"/>
                <w:szCs w:val="22"/>
              </w:rPr>
            </w:pPr>
            <w:r w:rsidRPr="00AC2986">
              <w:rPr>
                <w:sz w:val="22"/>
                <w:szCs w:val="22"/>
              </w:rPr>
              <w:t>N/A</w:t>
            </w:r>
          </w:p>
        </w:tc>
        <w:tc>
          <w:tcPr>
            <w:tcW w:w="2126" w:type="dxa"/>
          </w:tcPr>
          <w:p w14:paraId="6A884114" w14:textId="77777777" w:rsidR="00554C08" w:rsidRPr="00AC2986" w:rsidRDefault="00554C08" w:rsidP="00F11DAC">
            <w:pPr>
              <w:rPr>
                <w:sz w:val="22"/>
                <w:szCs w:val="22"/>
              </w:rPr>
            </w:pPr>
          </w:p>
        </w:tc>
        <w:tc>
          <w:tcPr>
            <w:tcW w:w="3685" w:type="dxa"/>
          </w:tcPr>
          <w:p w14:paraId="08358A44" w14:textId="77777777" w:rsidR="00554C08" w:rsidRPr="00AC2986" w:rsidRDefault="00050959" w:rsidP="00F11DAC">
            <w:pPr>
              <w:rPr>
                <w:sz w:val="22"/>
                <w:szCs w:val="22"/>
              </w:rPr>
            </w:pPr>
            <w:r w:rsidRPr="00050959">
              <w:rPr>
                <w:sz w:val="22"/>
                <w:szCs w:val="22"/>
              </w:rPr>
              <w:t>Réalisé en 2013.</w:t>
            </w:r>
          </w:p>
        </w:tc>
        <w:tc>
          <w:tcPr>
            <w:tcW w:w="2127" w:type="dxa"/>
          </w:tcPr>
          <w:p w14:paraId="0905F8B2" w14:textId="77777777" w:rsidR="00554C08" w:rsidRPr="00AC2986" w:rsidRDefault="00554C08" w:rsidP="00F11DAC">
            <w:pPr>
              <w:rPr>
                <w:sz w:val="22"/>
                <w:szCs w:val="22"/>
              </w:rPr>
            </w:pPr>
          </w:p>
        </w:tc>
        <w:tc>
          <w:tcPr>
            <w:tcW w:w="1071" w:type="dxa"/>
          </w:tcPr>
          <w:p w14:paraId="45227BA9" w14:textId="77777777" w:rsidR="00554C08" w:rsidRPr="00AC2986" w:rsidRDefault="00554C08" w:rsidP="00F11DAC">
            <w:pPr>
              <w:rPr>
                <w:sz w:val="22"/>
                <w:szCs w:val="22"/>
              </w:rPr>
            </w:pPr>
          </w:p>
        </w:tc>
      </w:tr>
      <w:tr w:rsidR="00554C08" w:rsidRPr="00AC2986" w14:paraId="52709756" w14:textId="77777777" w:rsidTr="00A2771D">
        <w:trPr>
          <w:trHeight w:val="458"/>
        </w:trPr>
        <w:tc>
          <w:tcPr>
            <w:tcW w:w="3202" w:type="dxa"/>
            <w:vMerge/>
          </w:tcPr>
          <w:p w14:paraId="2660E601" w14:textId="77777777" w:rsidR="00554C08" w:rsidRPr="00AC2986" w:rsidRDefault="00554C08" w:rsidP="00F11DAC">
            <w:pPr>
              <w:rPr>
                <w:b/>
                <w:sz w:val="22"/>
                <w:szCs w:val="22"/>
              </w:rPr>
            </w:pPr>
          </w:p>
        </w:tc>
        <w:tc>
          <w:tcPr>
            <w:tcW w:w="2127" w:type="dxa"/>
          </w:tcPr>
          <w:p w14:paraId="6E646DD5" w14:textId="77777777" w:rsidR="00554C08" w:rsidRPr="00AC2986" w:rsidRDefault="00554C08" w:rsidP="00F11DAC">
            <w:pPr>
              <w:jc w:val="both"/>
              <w:rPr>
                <w:sz w:val="22"/>
                <w:szCs w:val="22"/>
              </w:rPr>
            </w:pPr>
            <w:r w:rsidRPr="00AC2986">
              <w:rPr>
                <w:i/>
                <w:sz w:val="22"/>
                <w:szCs w:val="22"/>
              </w:rPr>
              <w:t>Indicateur 2.4</w:t>
            </w:r>
            <w:r w:rsidRPr="00AC2986">
              <w:rPr>
                <w:sz w:val="22"/>
                <w:szCs w:val="22"/>
              </w:rPr>
              <w:t> : # débats et émissions diffusés</w:t>
            </w:r>
          </w:p>
        </w:tc>
        <w:tc>
          <w:tcPr>
            <w:tcW w:w="1134" w:type="dxa"/>
          </w:tcPr>
          <w:p w14:paraId="1DD66A6F" w14:textId="77777777" w:rsidR="00554C08" w:rsidRPr="00AC2986" w:rsidRDefault="00AC2986" w:rsidP="00F11DAC">
            <w:pPr>
              <w:rPr>
                <w:sz w:val="22"/>
                <w:szCs w:val="22"/>
              </w:rPr>
            </w:pPr>
            <w:r w:rsidRPr="00AC2986">
              <w:rPr>
                <w:sz w:val="22"/>
                <w:szCs w:val="22"/>
              </w:rPr>
              <w:t>N/A</w:t>
            </w:r>
          </w:p>
        </w:tc>
        <w:tc>
          <w:tcPr>
            <w:tcW w:w="2126" w:type="dxa"/>
          </w:tcPr>
          <w:p w14:paraId="45BDE716" w14:textId="77777777" w:rsidR="00554C08" w:rsidRPr="00AC2986" w:rsidRDefault="00554C08" w:rsidP="00F11DAC">
            <w:pPr>
              <w:rPr>
                <w:sz w:val="22"/>
                <w:szCs w:val="22"/>
              </w:rPr>
            </w:pPr>
          </w:p>
        </w:tc>
        <w:tc>
          <w:tcPr>
            <w:tcW w:w="3685" w:type="dxa"/>
          </w:tcPr>
          <w:p w14:paraId="21570AC4" w14:textId="77777777" w:rsidR="00554C08" w:rsidRPr="00AC2986" w:rsidRDefault="00050959" w:rsidP="00F11DAC">
            <w:pPr>
              <w:rPr>
                <w:sz w:val="22"/>
                <w:szCs w:val="22"/>
              </w:rPr>
            </w:pPr>
            <w:r w:rsidRPr="00050959">
              <w:rPr>
                <w:sz w:val="22"/>
                <w:szCs w:val="22"/>
              </w:rPr>
              <w:t>Réalisé en 2013.</w:t>
            </w:r>
          </w:p>
        </w:tc>
        <w:tc>
          <w:tcPr>
            <w:tcW w:w="2127" w:type="dxa"/>
          </w:tcPr>
          <w:p w14:paraId="2344B787" w14:textId="77777777" w:rsidR="00554C08" w:rsidRPr="00AC2986" w:rsidRDefault="00554C08" w:rsidP="00F11DAC">
            <w:pPr>
              <w:rPr>
                <w:sz w:val="22"/>
                <w:szCs w:val="22"/>
              </w:rPr>
            </w:pPr>
          </w:p>
        </w:tc>
        <w:tc>
          <w:tcPr>
            <w:tcW w:w="1071" w:type="dxa"/>
          </w:tcPr>
          <w:p w14:paraId="1E4183F9" w14:textId="77777777" w:rsidR="00554C08" w:rsidRPr="00AC2986" w:rsidRDefault="00554C08" w:rsidP="00F11DAC">
            <w:pPr>
              <w:rPr>
                <w:sz w:val="22"/>
                <w:szCs w:val="22"/>
              </w:rPr>
            </w:pPr>
          </w:p>
        </w:tc>
      </w:tr>
      <w:tr w:rsidR="00554C08" w:rsidRPr="00AC2986" w14:paraId="394A075B" w14:textId="77777777" w:rsidTr="00A2771D">
        <w:trPr>
          <w:trHeight w:val="458"/>
        </w:trPr>
        <w:tc>
          <w:tcPr>
            <w:tcW w:w="3202" w:type="dxa"/>
            <w:vMerge w:val="restart"/>
          </w:tcPr>
          <w:p w14:paraId="446A9AB4" w14:textId="77777777" w:rsidR="00554C08" w:rsidRPr="00AC2986" w:rsidRDefault="00554C08" w:rsidP="00554C08">
            <w:pPr>
              <w:rPr>
                <w:b/>
                <w:i/>
                <w:sz w:val="22"/>
                <w:szCs w:val="22"/>
              </w:rPr>
            </w:pPr>
            <w:r w:rsidRPr="00AC2986">
              <w:rPr>
                <w:b/>
                <w:i/>
                <w:sz w:val="22"/>
                <w:szCs w:val="22"/>
              </w:rPr>
              <w:t>Produit  3 :</w:t>
            </w:r>
          </w:p>
          <w:p w14:paraId="48BDCAC6" w14:textId="77777777" w:rsidR="00554C08" w:rsidRPr="00AC2986" w:rsidRDefault="00554C08" w:rsidP="00554C08">
            <w:pPr>
              <w:rPr>
                <w:b/>
                <w:sz w:val="22"/>
                <w:szCs w:val="22"/>
              </w:rPr>
            </w:pPr>
            <w:r w:rsidRPr="00AC2986">
              <w:rPr>
                <w:b/>
                <w:sz w:val="22"/>
                <w:szCs w:val="22"/>
              </w:rPr>
              <w:t>Le document du PEJ2 est Édité, diffusé</w:t>
            </w:r>
          </w:p>
          <w:p w14:paraId="3418F089" w14:textId="77777777" w:rsidR="00554C08" w:rsidRPr="00AC2986" w:rsidRDefault="00554C08" w:rsidP="00554C08">
            <w:pPr>
              <w:rPr>
                <w:b/>
                <w:sz w:val="22"/>
                <w:szCs w:val="22"/>
              </w:rPr>
            </w:pPr>
          </w:p>
          <w:p w14:paraId="3BD0931C" w14:textId="77777777" w:rsidR="00554C08" w:rsidRPr="00AC2986" w:rsidRDefault="00554C08" w:rsidP="00554C08">
            <w:pPr>
              <w:rPr>
                <w:b/>
                <w:sz w:val="22"/>
                <w:szCs w:val="22"/>
              </w:rPr>
            </w:pPr>
          </w:p>
          <w:p w14:paraId="4BA85CC2" w14:textId="77777777" w:rsidR="00554C08" w:rsidRPr="00AC2986" w:rsidRDefault="00554C08" w:rsidP="00554C08">
            <w:pPr>
              <w:rPr>
                <w:b/>
                <w:sz w:val="22"/>
                <w:szCs w:val="22"/>
              </w:rPr>
            </w:pPr>
          </w:p>
          <w:p w14:paraId="14FB522D" w14:textId="77777777" w:rsidR="00554C08" w:rsidRPr="00AC2986" w:rsidRDefault="00554C08" w:rsidP="00554C08">
            <w:pPr>
              <w:rPr>
                <w:b/>
                <w:sz w:val="22"/>
                <w:szCs w:val="22"/>
              </w:rPr>
            </w:pPr>
            <w:r w:rsidRPr="00AC2986">
              <w:rPr>
                <w:b/>
                <w:sz w:val="22"/>
                <w:szCs w:val="22"/>
              </w:rPr>
              <w:t>Le PEJ2 est vulgarisé</w:t>
            </w:r>
          </w:p>
        </w:tc>
        <w:tc>
          <w:tcPr>
            <w:tcW w:w="2127" w:type="dxa"/>
          </w:tcPr>
          <w:p w14:paraId="088C37B5" w14:textId="77777777" w:rsidR="00554C08" w:rsidRPr="00AC2986" w:rsidRDefault="00554C08" w:rsidP="00F11DAC">
            <w:pPr>
              <w:jc w:val="both"/>
              <w:rPr>
                <w:sz w:val="22"/>
                <w:szCs w:val="22"/>
              </w:rPr>
            </w:pPr>
            <w:r w:rsidRPr="00AC2986">
              <w:rPr>
                <w:i/>
                <w:sz w:val="22"/>
                <w:szCs w:val="22"/>
              </w:rPr>
              <w:t>Indicateur 3.1</w:t>
            </w:r>
            <w:r w:rsidRPr="00AC2986">
              <w:rPr>
                <w:sz w:val="22"/>
                <w:szCs w:val="22"/>
              </w:rPr>
              <w:t> : # de participants aux ateliers   et séances de consultation, concertation</w:t>
            </w:r>
          </w:p>
        </w:tc>
        <w:tc>
          <w:tcPr>
            <w:tcW w:w="1134" w:type="dxa"/>
          </w:tcPr>
          <w:p w14:paraId="0641C671" w14:textId="77777777" w:rsidR="00554C08" w:rsidRPr="00AC2986" w:rsidRDefault="00AC2986" w:rsidP="00F11DAC">
            <w:pPr>
              <w:rPr>
                <w:sz w:val="22"/>
                <w:szCs w:val="22"/>
              </w:rPr>
            </w:pPr>
            <w:r w:rsidRPr="00AC2986">
              <w:rPr>
                <w:sz w:val="22"/>
                <w:szCs w:val="22"/>
              </w:rPr>
              <w:t>N/A</w:t>
            </w:r>
          </w:p>
        </w:tc>
        <w:tc>
          <w:tcPr>
            <w:tcW w:w="2126" w:type="dxa"/>
          </w:tcPr>
          <w:p w14:paraId="24668C8F" w14:textId="77777777" w:rsidR="00554C08" w:rsidRPr="00AC2986" w:rsidRDefault="00554C08" w:rsidP="00F11DAC">
            <w:pPr>
              <w:rPr>
                <w:sz w:val="22"/>
                <w:szCs w:val="22"/>
              </w:rPr>
            </w:pPr>
            <w:r w:rsidRPr="00AC2986">
              <w:rPr>
                <w:sz w:val="22"/>
                <w:szCs w:val="22"/>
              </w:rPr>
              <w:t>372</w:t>
            </w:r>
          </w:p>
        </w:tc>
        <w:tc>
          <w:tcPr>
            <w:tcW w:w="3685" w:type="dxa"/>
          </w:tcPr>
          <w:p w14:paraId="0D2B0393" w14:textId="77777777" w:rsidR="00554C08" w:rsidRPr="00AC2986" w:rsidRDefault="008D55DC" w:rsidP="00A14B9B">
            <w:pPr>
              <w:rPr>
                <w:sz w:val="22"/>
                <w:szCs w:val="22"/>
              </w:rPr>
            </w:pPr>
            <w:r w:rsidRPr="008D55DC">
              <w:rPr>
                <w:sz w:val="22"/>
                <w:szCs w:val="22"/>
              </w:rPr>
              <w:t>Réalisé en 2013.</w:t>
            </w:r>
          </w:p>
        </w:tc>
        <w:tc>
          <w:tcPr>
            <w:tcW w:w="2127" w:type="dxa"/>
          </w:tcPr>
          <w:p w14:paraId="4634C5AA" w14:textId="77777777" w:rsidR="00554C08" w:rsidRPr="00AC2986" w:rsidRDefault="00050959" w:rsidP="00F11DAC">
            <w:pPr>
              <w:rPr>
                <w:sz w:val="22"/>
                <w:szCs w:val="22"/>
              </w:rPr>
            </w:pPr>
            <w:r w:rsidRPr="00050959">
              <w:rPr>
                <w:sz w:val="22"/>
                <w:szCs w:val="22"/>
              </w:rPr>
              <w:t>.</w:t>
            </w:r>
          </w:p>
        </w:tc>
        <w:tc>
          <w:tcPr>
            <w:tcW w:w="1071" w:type="dxa"/>
          </w:tcPr>
          <w:p w14:paraId="718FEB7D" w14:textId="77777777" w:rsidR="00554C08" w:rsidRPr="00AC2986" w:rsidRDefault="00554C08" w:rsidP="00F11DAC">
            <w:pPr>
              <w:rPr>
                <w:sz w:val="22"/>
                <w:szCs w:val="22"/>
              </w:rPr>
            </w:pPr>
          </w:p>
        </w:tc>
      </w:tr>
      <w:tr w:rsidR="00554C08" w:rsidRPr="00AC2986" w14:paraId="4ED20ADB" w14:textId="77777777" w:rsidTr="00A2771D">
        <w:trPr>
          <w:trHeight w:val="458"/>
        </w:trPr>
        <w:tc>
          <w:tcPr>
            <w:tcW w:w="3202" w:type="dxa"/>
            <w:vMerge/>
          </w:tcPr>
          <w:p w14:paraId="68090C17" w14:textId="77777777" w:rsidR="00554C08" w:rsidRPr="00AC2986" w:rsidRDefault="00554C08" w:rsidP="00F11DAC">
            <w:pPr>
              <w:rPr>
                <w:b/>
                <w:sz w:val="22"/>
                <w:szCs w:val="22"/>
              </w:rPr>
            </w:pPr>
          </w:p>
        </w:tc>
        <w:tc>
          <w:tcPr>
            <w:tcW w:w="2127" w:type="dxa"/>
          </w:tcPr>
          <w:p w14:paraId="3E21CCFC" w14:textId="77777777" w:rsidR="00554C08" w:rsidRPr="00AC2986" w:rsidRDefault="00554C08" w:rsidP="00F11DAC">
            <w:pPr>
              <w:jc w:val="both"/>
              <w:rPr>
                <w:sz w:val="22"/>
                <w:szCs w:val="22"/>
              </w:rPr>
            </w:pPr>
            <w:r w:rsidRPr="00AC2986">
              <w:rPr>
                <w:i/>
                <w:sz w:val="22"/>
                <w:szCs w:val="22"/>
              </w:rPr>
              <w:t>Indicateur 3.2</w:t>
            </w:r>
            <w:r w:rsidRPr="00AC2986">
              <w:rPr>
                <w:sz w:val="22"/>
                <w:szCs w:val="22"/>
              </w:rPr>
              <w:t> : # de copies éditées et diffusées</w:t>
            </w:r>
          </w:p>
        </w:tc>
        <w:tc>
          <w:tcPr>
            <w:tcW w:w="1134" w:type="dxa"/>
          </w:tcPr>
          <w:p w14:paraId="31C1B857" w14:textId="77777777" w:rsidR="00554C08" w:rsidRPr="00AC2986" w:rsidRDefault="00AC2986" w:rsidP="00F11DAC">
            <w:pPr>
              <w:rPr>
                <w:sz w:val="22"/>
                <w:szCs w:val="22"/>
              </w:rPr>
            </w:pPr>
            <w:r w:rsidRPr="00AC2986">
              <w:rPr>
                <w:sz w:val="22"/>
                <w:szCs w:val="22"/>
              </w:rPr>
              <w:t>N/A</w:t>
            </w:r>
          </w:p>
        </w:tc>
        <w:tc>
          <w:tcPr>
            <w:tcW w:w="2126" w:type="dxa"/>
          </w:tcPr>
          <w:p w14:paraId="6FC99E72" w14:textId="77777777" w:rsidR="00554C08" w:rsidRPr="00AC2986" w:rsidRDefault="00554C08" w:rsidP="00F11DAC">
            <w:pPr>
              <w:rPr>
                <w:sz w:val="22"/>
                <w:szCs w:val="22"/>
              </w:rPr>
            </w:pPr>
            <w:r w:rsidRPr="00AC2986">
              <w:rPr>
                <w:sz w:val="22"/>
                <w:szCs w:val="22"/>
              </w:rPr>
              <w:t>1,000 copies éditées dont 500 ont été diffusées</w:t>
            </w:r>
          </w:p>
        </w:tc>
        <w:tc>
          <w:tcPr>
            <w:tcW w:w="3685" w:type="dxa"/>
          </w:tcPr>
          <w:p w14:paraId="24D06823" w14:textId="77777777" w:rsidR="00554C08" w:rsidRPr="00AC2986" w:rsidRDefault="008D55DC" w:rsidP="008D55DC">
            <w:pPr>
              <w:rPr>
                <w:sz w:val="22"/>
                <w:szCs w:val="22"/>
              </w:rPr>
            </w:pPr>
            <w:r w:rsidRPr="008D55DC">
              <w:rPr>
                <w:sz w:val="22"/>
                <w:szCs w:val="22"/>
              </w:rPr>
              <w:t>Réalisé en 2013.</w:t>
            </w:r>
          </w:p>
        </w:tc>
        <w:tc>
          <w:tcPr>
            <w:tcW w:w="2127" w:type="dxa"/>
          </w:tcPr>
          <w:p w14:paraId="6A37CFC5" w14:textId="77777777" w:rsidR="00554C08" w:rsidRPr="00AC2986" w:rsidRDefault="00554C08" w:rsidP="00F11DAC">
            <w:pPr>
              <w:rPr>
                <w:sz w:val="22"/>
                <w:szCs w:val="22"/>
              </w:rPr>
            </w:pPr>
          </w:p>
        </w:tc>
        <w:tc>
          <w:tcPr>
            <w:tcW w:w="1071" w:type="dxa"/>
          </w:tcPr>
          <w:p w14:paraId="7A2A9639" w14:textId="77777777" w:rsidR="00554C08" w:rsidRPr="00AC2986" w:rsidRDefault="00554C08" w:rsidP="00F11DAC">
            <w:pPr>
              <w:rPr>
                <w:sz w:val="22"/>
                <w:szCs w:val="22"/>
              </w:rPr>
            </w:pPr>
          </w:p>
        </w:tc>
      </w:tr>
    </w:tbl>
    <w:p w14:paraId="6AF76107" w14:textId="77777777" w:rsidR="00CF6D08" w:rsidRPr="00EE50E9" w:rsidRDefault="00CF6D08" w:rsidP="00F11DAC">
      <w:pPr>
        <w:outlineLvl w:val="0"/>
        <w:rPr>
          <w:sz w:val="22"/>
          <w:szCs w:val="22"/>
        </w:rPr>
      </w:pPr>
    </w:p>
    <w:sectPr w:rsidR="00CF6D08" w:rsidRPr="00EE50E9" w:rsidSect="00F11DAC">
      <w:headerReference w:type="even"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F9B08" w14:textId="77777777" w:rsidR="007518D5" w:rsidRDefault="007518D5">
      <w:r>
        <w:separator/>
      </w:r>
    </w:p>
  </w:endnote>
  <w:endnote w:type="continuationSeparator" w:id="0">
    <w:p w14:paraId="187579DB" w14:textId="77777777" w:rsidR="007518D5" w:rsidRDefault="0075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Times New Roman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4810" w14:textId="77777777" w:rsidR="00CF6D08" w:rsidRDefault="00CF6D08"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E35139">
      <w:rPr>
        <w:rStyle w:val="PageNumber"/>
        <w:rFonts w:cs="Tahoma"/>
        <w:noProof/>
      </w:rPr>
      <w:t>5</w:t>
    </w:r>
    <w:r>
      <w:rPr>
        <w:rStyle w:val="PageNumber"/>
        <w:rFonts w:cs="Tahoma"/>
      </w:rPr>
      <w:fldChar w:fldCharType="end"/>
    </w:r>
  </w:p>
  <w:p w14:paraId="26AC7058" w14:textId="77777777" w:rsidR="00CF6D08" w:rsidRDefault="00CF6D08"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C1530" w14:textId="77777777" w:rsidR="00CF6D08" w:rsidRDefault="00CF6D08"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7952AB">
      <w:rPr>
        <w:rStyle w:val="PageNumber"/>
        <w:rFonts w:cs="Tahoma"/>
        <w:noProof/>
      </w:rPr>
      <w:t>1</w:t>
    </w:r>
    <w:r>
      <w:rPr>
        <w:rStyle w:val="PageNumber"/>
        <w:rFonts w:cs="Tahoma"/>
      </w:rPr>
      <w:fldChar w:fldCharType="end"/>
    </w:r>
  </w:p>
  <w:p w14:paraId="78057B45" w14:textId="77777777" w:rsidR="00CF6D08" w:rsidRDefault="00CF6D08" w:rsidP="00A540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69AA" w14:textId="77777777" w:rsidR="00CF6D08" w:rsidRDefault="00CF6D08" w:rsidP="00F11DAC">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7952AB">
      <w:rPr>
        <w:rStyle w:val="PageNumber"/>
        <w:rFonts w:cs="Tahoma"/>
        <w:noProof/>
      </w:rPr>
      <w:t>5</w:t>
    </w:r>
    <w:r>
      <w:rPr>
        <w:rStyle w:val="PageNumber"/>
        <w:rFonts w:cs="Tahoma"/>
      </w:rPr>
      <w:fldChar w:fldCharType="end"/>
    </w:r>
  </w:p>
  <w:p w14:paraId="02C790F4" w14:textId="77777777" w:rsidR="00CF6D08" w:rsidRDefault="00CF6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83B8" w14:textId="77777777" w:rsidR="007518D5" w:rsidRDefault="007518D5">
      <w:r>
        <w:separator/>
      </w:r>
    </w:p>
  </w:footnote>
  <w:footnote w:type="continuationSeparator" w:id="0">
    <w:p w14:paraId="1B27BDAA" w14:textId="77777777" w:rsidR="007518D5" w:rsidRDefault="007518D5">
      <w:r>
        <w:continuationSeparator/>
      </w:r>
    </w:p>
  </w:footnote>
  <w:footnote w:id="1">
    <w:p w14:paraId="7C47077D" w14:textId="77777777" w:rsidR="00CF6D08" w:rsidRPr="007A7700" w:rsidRDefault="00CF6D08" w:rsidP="00913BF5">
      <w:pPr>
        <w:pStyle w:val="FootnoteText"/>
        <w:rPr>
          <w:lang w:val="fr-FR"/>
        </w:rPr>
      </w:pPr>
      <w:r w:rsidRPr="00831E8E">
        <w:rPr>
          <w:rStyle w:val="FootnoteReference"/>
          <w:sz w:val="18"/>
          <w:szCs w:val="18"/>
        </w:rPr>
        <w:footnoteRef/>
      </w:r>
      <w:r w:rsidRPr="00831E8E">
        <w:rPr>
          <w:sz w:val="18"/>
          <w:szCs w:val="18"/>
          <w:lang w:val="fr-FR"/>
        </w:rPr>
        <w:t xml:space="preserve"> Veuillez noter que, s’il y a plusieurs organes, un seul rapport de projet – consolidé - doit être soumis. </w:t>
      </w:r>
    </w:p>
  </w:footnote>
  <w:footnote w:id="2">
    <w:p w14:paraId="4BF735D4" w14:textId="77777777" w:rsidR="00CF6D08" w:rsidRPr="007A7700" w:rsidRDefault="00CF6D08" w:rsidP="00913BF5">
      <w:pPr>
        <w:pStyle w:val="FootnoteText"/>
        <w:rPr>
          <w:lang w:val="fr-FR"/>
        </w:rPr>
      </w:pPr>
      <w:r w:rsidRPr="00831E8E">
        <w:rPr>
          <w:rStyle w:val="FootnoteReference"/>
          <w:sz w:val="18"/>
          <w:szCs w:val="18"/>
        </w:rPr>
        <w:footnoteRef/>
      </w:r>
      <w:r w:rsidRPr="00831E8E">
        <w:rPr>
          <w:sz w:val="18"/>
          <w:szCs w:val="18"/>
          <w:lang w:val="fr-FR"/>
        </w:rPr>
        <w:t xml:space="preserve"> Par </w:t>
      </w:r>
      <w:r>
        <w:rPr>
          <w:sz w:val="18"/>
          <w:szCs w:val="18"/>
          <w:lang w:val="fr-FR"/>
        </w:rPr>
        <w:t>« </w:t>
      </w:r>
      <w:r w:rsidRPr="00831E8E">
        <w:rPr>
          <w:sz w:val="18"/>
          <w:szCs w:val="18"/>
          <w:lang w:val="fr-FR"/>
        </w:rPr>
        <w:t>budget approuvé</w:t>
      </w:r>
      <w:r>
        <w:rPr>
          <w:sz w:val="18"/>
          <w:szCs w:val="18"/>
          <w:lang w:val="fr-FR"/>
        </w:rPr>
        <w:t> »</w:t>
      </w:r>
      <w:r w:rsidRPr="00831E8E">
        <w:rPr>
          <w:sz w:val="18"/>
          <w:szCs w:val="18"/>
          <w:lang w:val="fr-FR"/>
        </w:rPr>
        <w:t xml:space="preserve">, il faut entendre le montant total des fonds versés aux </w:t>
      </w:r>
      <w:r>
        <w:rPr>
          <w:sz w:val="18"/>
          <w:szCs w:val="18"/>
          <w:lang w:val="fr-FR"/>
        </w:rPr>
        <w:t>organe</w:t>
      </w:r>
      <w:r w:rsidRPr="00831E8E">
        <w:rPr>
          <w:sz w:val="18"/>
          <w:szCs w:val="18"/>
          <w:lang w:val="fr-FR"/>
        </w:rPr>
        <w:t xml:space="preserve">s bénéficiaires. </w:t>
      </w:r>
    </w:p>
  </w:footnote>
  <w:footnote w:id="3">
    <w:p w14:paraId="65D8E3C0" w14:textId="77777777" w:rsidR="00CF6D08" w:rsidRPr="007A7700" w:rsidRDefault="00CF6D08" w:rsidP="00CA7429">
      <w:pPr>
        <w:pStyle w:val="FootnoteText"/>
        <w:rPr>
          <w:lang w:val="fr-FR"/>
        </w:rPr>
      </w:pPr>
      <w:r w:rsidRPr="00831E8E">
        <w:rPr>
          <w:rStyle w:val="FootnoteReference"/>
          <w:sz w:val="18"/>
          <w:szCs w:val="18"/>
        </w:rPr>
        <w:footnoteRef/>
      </w:r>
      <w:r w:rsidRPr="00831E8E">
        <w:rPr>
          <w:sz w:val="18"/>
          <w:szCs w:val="18"/>
          <w:lang w:val="fr-FR"/>
        </w:rPr>
        <w:t xml:space="preserve"> Par </w:t>
      </w:r>
      <w:r>
        <w:rPr>
          <w:sz w:val="18"/>
          <w:szCs w:val="18"/>
          <w:lang w:val="fr-FR"/>
        </w:rPr>
        <w:t>« </w:t>
      </w:r>
      <w:r w:rsidRPr="00831E8E">
        <w:rPr>
          <w:sz w:val="18"/>
          <w:szCs w:val="18"/>
          <w:lang w:val="fr-FR"/>
        </w:rPr>
        <w:t>Fonds engagés</w:t>
      </w:r>
      <w:r>
        <w:rPr>
          <w:sz w:val="18"/>
          <w:szCs w:val="18"/>
          <w:lang w:val="fr-FR"/>
        </w:rPr>
        <w:t> »</w:t>
      </w:r>
      <w:r w:rsidRPr="00831E8E">
        <w:rPr>
          <w:sz w:val="18"/>
          <w:szCs w:val="18"/>
          <w:lang w:val="fr-FR"/>
        </w:rPr>
        <w:t xml:space="preserve">, il faut entendre les engagements de services et d’activités pris dans le cadre de contrats juridiques, conformément aux règles et procédures financiers des </w:t>
      </w:r>
      <w:r>
        <w:rPr>
          <w:sz w:val="18"/>
          <w:szCs w:val="18"/>
          <w:lang w:val="fr-FR"/>
        </w:rPr>
        <w:t>organe</w:t>
      </w:r>
      <w:r w:rsidRPr="00831E8E">
        <w:rPr>
          <w:sz w:val="18"/>
          <w:szCs w:val="18"/>
          <w:lang w:val="fr-FR"/>
        </w:rPr>
        <w:t xml:space="preserve">s bénéficiaires </w:t>
      </w:r>
    </w:p>
  </w:footnote>
  <w:footnote w:id="4">
    <w:p w14:paraId="4CA61F81" w14:textId="77777777" w:rsidR="00CF6D08" w:rsidRPr="007A7700" w:rsidRDefault="00CF6D08">
      <w:pPr>
        <w:pStyle w:val="FootnoteText"/>
        <w:rPr>
          <w:lang w:val="fr-FR"/>
        </w:rPr>
      </w:pPr>
      <w:r w:rsidRPr="00831E8E">
        <w:rPr>
          <w:rStyle w:val="FootnoteReference"/>
          <w:sz w:val="18"/>
          <w:szCs w:val="18"/>
        </w:rPr>
        <w:footnoteRef/>
      </w:r>
      <w:r w:rsidRPr="00831E8E">
        <w:rPr>
          <w:sz w:val="18"/>
          <w:szCs w:val="18"/>
          <w:lang w:val="fr-FR"/>
        </w:rPr>
        <w:t xml:space="preserve"> Paiements effectifs (contrats, services, travaux), dans le cadre des engagements pris.</w:t>
      </w:r>
    </w:p>
  </w:footnote>
  <w:footnote w:id="5">
    <w:p w14:paraId="1C138124" w14:textId="77777777" w:rsidR="00CF6D08" w:rsidRPr="007A7700" w:rsidRDefault="00CF6D08">
      <w:pPr>
        <w:pStyle w:val="FootnoteText"/>
        <w:rPr>
          <w:lang w:val="fr-FR"/>
        </w:rPr>
      </w:pPr>
      <w:r w:rsidRPr="00831E8E">
        <w:rPr>
          <w:rStyle w:val="FootnoteReference"/>
          <w:sz w:val="18"/>
          <w:szCs w:val="18"/>
        </w:rPr>
        <w:footnoteRef/>
      </w:r>
      <w:r w:rsidRPr="00831E8E">
        <w:rPr>
          <w:sz w:val="18"/>
          <w:szCs w:val="18"/>
          <w:lang w:val="fr-FR"/>
        </w:rPr>
        <w:t xml:space="preserve"> Se référer aux domaines définis dans le cadre du Plan des priorités ou du Plan directeur du PBF</w:t>
      </w:r>
      <w:r>
        <w:rPr>
          <w:sz w:val="18"/>
          <w:szCs w:val="18"/>
          <w:lang w:val="fr-FR"/>
        </w:rPr>
        <w:t xml:space="preserve"> (PMP)</w:t>
      </w:r>
      <w:r w:rsidRPr="00831E8E">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B720" w14:textId="77777777" w:rsidR="00CF6D08" w:rsidRDefault="00CF6D08" w:rsidP="00EC1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139">
      <w:rPr>
        <w:rStyle w:val="PageNumber"/>
        <w:noProof/>
      </w:rPr>
      <w:t>5</w:t>
    </w:r>
    <w:r>
      <w:rPr>
        <w:rStyle w:val="PageNumber"/>
      </w:rPr>
      <w:fldChar w:fldCharType="end"/>
    </w:r>
  </w:p>
  <w:p w14:paraId="02712C62" w14:textId="77777777" w:rsidR="00CF6D08" w:rsidRDefault="00CF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0981"/>
    <w:multiLevelType w:val="hybridMultilevel"/>
    <w:tmpl w:val="AA588D7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ED7BDA"/>
    <w:multiLevelType w:val="hybridMultilevel"/>
    <w:tmpl w:val="4FAA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54AC1"/>
    <w:multiLevelType w:val="hybridMultilevel"/>
    <w:tmpl w:val="0FCC4A6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7AD0516"/>
    <w:multiLevelType w:val="hybridMultilevel"/>
    <w:tmpl w:val="7D5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6390D"/>
    <w:multiLevelType w:val="hybridMultilevel"/>
    <w:tmpl w:val="43AA591C"/>
    <w:lvl w:ilvl="0" w:tplc="7CA2F908">
      <w:numFmt w:val="bullet"/>
      <w:lvlText w:val="•"/>
      <w:lvlJc w:val="left"/>
      <w:pPr>
        <w:ind w:left="360" w:firstLine="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6C1"/>
    <w:rsid w:val="0001585B"/>
    <w:rsid w:val="00015C58"/>
    <w:rsid w:val="000164AE"/>
    <w:rsid w:val="00022ACB"/>
    <w:rsid w:val="000234F4"/>
    <w:rsid w:val="000256FA"/>
    <w:rsid w:val="00026454"/>
    <w:rsid w:val="000314C3"/>
    <w:rsid w:val="0003210A"/>
    <w:rsid w:val="00033959"/>
    <w:rsid w:val="00036291"/>
    <w:rsid w:val="00036E35"/>
    <w:rsid w:val="0004301F"/>
    <w:rsid w:val="000440E9"/>
    <w:rsid w:val="00044194"/>
    <w:rsid w:val="000445F1"/>
    <w:rsid w:val="00044EF4"/>
    <w:rsid w:val="0004701E"/>
    <w:rsid w:val="00047A98"/>
    <w:rsid w:val="00050376"/>
    <w:rsid w:val="00050959"/>
    <w:rsid w:val="00051516"/>
    <w:rsid w:val="00051E3A"/>
    <w:rsid w:val="00054189"/>
    <w:rsid w:val="00054DCB"/>
    <w:rsid w:val="00055CA5"/>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815B9"/>
    <w:rsid w:val="00083FC2"/>
    <w:rsid w:val="000909BE"/>
    <w:rsid w:val="00091616"/>
    <w:rsid w:val="000949C9"/>
    <w:rsid w:val="000961B9"/>
    <w:rsid w:val="000A14A2"/>
    <w:rsid w:val="000A21E7"/>
    <w:rsid w:val="000A483D"/>
    <w:rsid w:val="000B0629"/>
    <w:rsid w:val="000B08F7"/>
    <w:rsid w:val="000B1923"/>
    <w:rsid w:val="000B3020"/>
    <w:rsid w:val="000B4388"/>
    <w:rsid w:val="000B7AFA"/>
    <w:rsid w:val="000C1E2D"/>
    <w:rsid w:val="000C663B"/>
    <w:rsid w:val="000D3582"/>
    <w:rsid w:val="000D5162"/>
    <w:rsid w:val="000D637F"/>
    <w:rsid w:val="000D6F3F"/>
    <w:rsid w:val="000D7806"/>
    <w:rsid w:val="000E20A9"/>
    <w:rsid w:val="000E20E0"/>
    <w:rsid w:val="000E222E"/>
    <w:rsid w:val="000E2244"/>
    <w:rsid w:val="000E4422"/>
    <w:rsid w:val="000E5282"/>
    <w:rsid w:val="000E56D7"/>
    <w:rsid w:val="000E7CC1"/>
    <w:rsid w:val="000E7FB6"/>
    <w:rsid w:val="000F04C6"/>
    <w:rsid w:val="000F17B2"/>
    <w:rsid w:val="000F3A75"/>
    <w:rsid w:val="00105995"/>
    <w:rsid w:val="001079CC"/>
    <w:rsid w:val="00110DDD"/>
    <w:rsid w:val="00111C9C"/>
    <w:rsid w:val="00112D95"/>
    <w:rsid w:val="0011440F"/>
    <w:rsid w:val="0011559A"/>
    <w:rsid w:val="00116120"/>
    <w:rsid w:val="001169F1"/>
    <w:rsid w:val="00122DC1"/>
    <w:rsid w:val="0012466B"/>
    <w:rsid w:val="00131EE4"/>
    <w:rsid w:val="00132CB9"/>
    <w:rsid w:val="00133BD3"/>
    <w:rsid w:val="001377E8"/>
    <w:rsid w:val="0014011C"/>
    <w:rsid w:val="00140706"/>
    <w:rsid w:val="001473C0"/>
    <w:rsid w:val="001519D1"/>
    <w:rsid w:val="00151F6F"/>
    <w:rsid w:val="00152115"/>
    <w:rsid w:val="00152378"/>
    <w:rsid w:val="001527E8"/>
    <w:rsid w:val="00152993"/>
    <w:rsid w:val="00152E92"/>
    <w:rsid w:val="00154290"/>
    <w:rsid w:val="001547CD"/>
    <w:rsid w:val="001576EA"/>
    <w:rsid w:val="001607BA"/>
    <w:rsid w:val="00163695"/>
    <w:rsid w:val="001662E1"/>
    <w:rsid w:val="001700D9"/>
    <w:rsid w:val="00170556"/>
    <w:rsid w:val="00171B7D"/>
    <w:rsid w:val="00171F6E"/>
    <w:rsid w:val="00172EA3"/>
    <w:rsid w:val="00173E5B"/>
    <w:rsid w:val="0017581B"/>
    <w:rsid w:val="001822CA"/>
    <w:rsid w:val="001836FF"/>
    <w:rsid w:val="00184AD1"/>
    <w:rsid w:val="00184B1C"/>
    <w:rsid w:val="00192C0F"/>
    <w:rsid w:val="001A222A"/>
    <w:rsid w:val="001A37C9"/>
    <w:rsid w:val="001A43F0"/>
    <w:rsid w:val="001A5E0B"/>
    <w:rsid w:val="001A6CBC"/>
    <w:rsid w:val="001A6D28"/>
    <w:rsid w:val="001B67A1"/>
    <w:rsid w:val="001C171D"/>
    <w:rsid w:val="001C3D48"/>
    <w:rsid w:val="001C6983"/>
    <w:rsid w:val="001D1819"/>
    <w:rsid w:val="001D280D"/>
    <w:rsid w:val="001D2AAC"/>
    <w:rsid w:val="001E4DCF"/>
    <w:rsid w:val="001E5296"/>
    <w:rsid w:val="001E5490"/>
    <w:rsid w:val="001E79E5"/>
    <w:rsid w:val="001F0026"/>
    <w:rsid w:val="001F269E"/>
    <w:rsid w:val="001F33F1"/>
    <w:rsid w:val="001F40E3"/>
    <w:rsid w:val="001F47E7"/>
    <w:rsid w:val="001F6F2F"/>
    <w:rsid w:val="001F7335"/>
    <w:rsid w:val="001F7C1C"/>
    <w:rsid w:val="00202126"/>
    <w:rsid w:val="002036CC"/>
    <w:rsid w:val="00203C63"/>
    <w:rsid w:val="0021092C"/>
    <w:rsid w:val="002139A1"/>
    <w:rsid w:val="00216361"/>
    <w:rsid w:val="002167F3"/>
    <w:rsid w:val="0021731C"/>
    <w:rsid w:val="0022562F"/>
    <w:rsid w:val="0022642C"/>
    <w:rsid w:val="00231319"/>
    <w:rsid w:val="00231E0F"/>
    <w:rsid w:val="00231E45"/>
    <w:rsid w:val="00240103"/>
    <w:rsid w:val="00240E17"/>
    <w:rsid w:val="00241E68"/>
    <w:rsid w:val="0024221A"/>
    <w:rsid w:val="00243BD4"/>
    <w:rsid w:val="0024567C"/>
    <w:rsid w:val="00246D67"/>
    <w:rsid w:val="0024716E"/>
    <w:rsid w:val="00247557"/>
    <w:rsid w:val="0025103B"/>
    <w:rsid w:val="002518FB"/>
    <w:rsid w:val="00252830"/>
    <w:rsid w:val="002534D1"/>
    <w:rsid w:val="00253822"/>
    <w:rsid w:val="00253B25"/>
    <w:rsid w:val="00257F89"/>
    <w:rsid w:val="0026324A"/>
    <w:rsid w:val="0027031A"/>
    <w:rsid w:val="002715AD"/>
    <w:rsid w:val="00272907"/>
    <w:rsid w:val="00272BDB"/>
    <w:rsid w:val="0027398B"/>
    <w:rsid w:val="00275D16"/>
    <w:rsid w:val="0028032D"/>
    <w:rsid w:val="00282180"/>
    <w:rsid w:val="002828C1"/>
    <w:rsid w:val="00283362"/>
    <w:rsid w:val="00287829"/>
    <w:rsid w:val="00293B3A"/>
    <w:rsid w:val="00294791"/>
    <w:rsid w:val="0029694B"/>
    <w:rsid w:val="00297385"/>
    <w:rsid w:val="00297516"/>
    <w:rsid w:val="002A4481"/>
    <w:rsid w:val="002A4982"/>
    <w:rsid w:val="002B056D"/>
    <w:rsid w:val="002B0660"/>
    <w:rsid w:val="002B1876"/>
    <w:rsid w:val="002B222B"/>
    <w:rsid w:val="002B31EF"/>
    <w:rsid w:val="002B32E5"/>
    <w:rsid w:val="002C20F1"/>
    <w:rsid w:val="002C5958"/>
    <w:rsid w:val="002C6D27"/>
    <w:rsid w:val="002C73D4"/>
    <w:rsid w:val="002D105C"/>
    <w:rsid w:val="002D1712"/>
    <w:rsid w:val="002D359A"/>
    <w:rsid w:val="002D3F09"/>
    <w:rsid w:val="002D4116"/>
    <w:rsid w:val="002D5DF4"/>
    <w:rsid w:val="002D7970"/>
    <w:rsid w:val="002D7D73"/>
    <w:rsid w:val="002E0C2B"/>
    <w:rsid w:val="002E5AE5"/>
    <w:rsid w:val="002F17D3"/>
    <w:rsid w:val="002F29D9"/>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36F5"/>
    <w:rsid w:val="00332795"/>
    <w:rsid w:val="00332F6C"/>
    <w:rsid w:val="003344F4"/>
    <w:rsid w:val="003411B4"/>
    <w:rsid w:val="003423D0"/>
    <w:rsid w:val="00342CAC"/>
    <w:rsid w:val="00343FB0"/>
    <w:rsid w:val="00345956"/>
    <w:rsid w:val="00347FBC"/>
    <w:rsid w:val="00351BF9"/>
    <w:rsid w:val="00351DC5"/>
    <w:rsid w:val="00352446"/>
    <w:rsid w:val="003529DF"/>
    <w:rsid w:val="00354BF1"/>
    <w:rsid w:val="0035519D"/>
    <w:rsid w:val="00356BF1"/>
    <w:rsid w:val="00362F26"/>
    <w:rsid w:val="00370882"/>
    <w:rsid w:val="003717E7"/>
    <w:rsid w:val="0037226B"/>
    <w:rsid w:val="0037263B"/>
    <w:rsid w:val="00373CAF"/>
    <w:rsid w:val="00374251"/>
    <w:rsid w:val="00382990"/>
    <w:rsid w:val="00384C8C"/>
    <w:rsid w:val="0038672F"/>
    <w:rsid w:val="003917BB"/>
    <w:rsid w:val="00391CBF"/>
    <w:rsid w:val="003976B5"/>
    <w:rsid w:val="003A069A"/>
    <w:rsid w:val="003A4E7F"/>
    <w:rsid w:val="003B0A11"/>
    <w:rsid w:val="003B3457"/>
    <w:rsid w:val="003B5289"/>
    <w:rsid w:val="003C3526"/>
    <w:rsid w:val="003C377A"/>
    <w:rsid w:val="003C40C4"/>
    <w:rsid w:val="003C4DF5"/>
    <w:rsid w:val="003C5543"/>
    <w:rsid w:val="003D1A08"/>
    <w:rsid w:val="003D1AA7"/>
    <w:rsid w:val="003D50C7"/>
    <w:rsid w:val="003E4838"/>
    <w:rsid w:val="003E791B"/>
    <w:rsid w:val="003E7E5E"/>
    <w:rsid w:val="003F01A8"/>
    <w:rsid w:val="003F17F5"/>
    <w:rsid w:val="003F3DA5"/>
    <w:rsid w:val="004021CB"/>
    <w:rsid w:val="0040574D"/>
    <w:rsid w:val="00406858"/>
    <w:rsid w:val="004154D6"/>
    <w:rsid w:val="00415EFE"/>
    <w:rsid w:val="0042137C"/>
    <w:rsid w:val="00425304"/>
    <w:rsid w:val="00425664"/>
    <w:rsid w:val="004259C7"/>
    <w:rsid w:val="00433561"/>
    <w:rsid w:val="00435D0C"/>
    <w:rsid w:val="00437CA3"/>
    <w:rsid w:val="00440713"/>
    <w:rsid w:val="00443DB4"/>
    <w:rsid w:val="0044507A"/>
    <w:rsid w:val="00445B9D"/>
    <w:rsid w:val="00450B6E"/>
    <w:rsid w:val="00450BB2"/>
    <w:rsid w:val="00450F6C"/>
    <w:rsid w:val="00451B93"/>
    <w:rsid w:val="00460ADE"/>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801A7"/>
    <w:rsid w:val="00484F3E"/>
    <w:rsid w:val="004855DB"/>
    <w:rsid w:val="0048739A"/>
    <w:rsid w:val="0049081F"/>
    <w:rsid w:val="004925FD"/>
    <w:rsid w:val="004958E3"/>
    <w:rsid w:val="004A44E3"/>
    <w:rsid w:val="004A5B93"/>
    <w:rsid w:val="004A5EDB"/>
    <w:rsid w:val="004A760C"/>
    <w:rsid w:val="004B68F6"/>
    <w:rsid w:val="004B708D"/>
    <w:rsid w:val="004B7EBF"/>
    <w:rsid w:val="004C210D"/>
    <w:rsid w:val="004D445C"/>
    <w:rsid w:val="004D4C2B"/>
    <w:rsid w:val="004D5E5E"/>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71E"/>
    <w:rsid w:val="00511EF1"/>
    <w:rsid w:val="005161F9"/>
    <w:rsid w:val="00517642"/>
    <w:rsid w:val="00517BFC"/>
    <w:rsid w:val="005206D6"/>
    <w:rsid w:val="0052365C"/>
    <w:rsid w:val="00526AC9"/>
    <w:rsid w:val="00527264"/>
    <w:rsid w:val="00527731"/>
    <w:rsid w:val="0053052C"/>
    <w:rsid w:val="0053054F"/>
    <w:rsid w:val="00530B10"/>
    <w:rsid w:val="005327CC"/>
    <w:rsid w:val="00532CBB"/>
    <w:rsid w:val="00537241"/>
    <w:rsid w:val="00537D9F"/>
    <w:rsid w:val="005440CA"/>
    <w:rsid w:val="005501B5"/>
    <w:rsid w:val="005511BA"/>
    <w:rsid w:val="00553721"/>
    <w:rsid w:val="00554C08"/>
    <w:rsid w:val="005562ED"/>
    <w:rsid w:val="00557073"/>
    <w:rsid w:val="00557348"/>
    <w:rsid w:val="0056097D"/>
    <w:rsid w:val="005642EE"/>
    <w:rsid w:val="0056460A"/>
    <w:rsid w:val="005675A0"/>
    <w:rsid w:val="00567F17"/>
    <w:rsid w:val="00573D5E"/>
    <w:rsid w:val="00575861"/>
    <w:rsid w:val="00580626"/>
    <w:rsid w:val="0058079E"/>
    <w:rsid w:val="005809F9"/>
    <w:rsid w:val="00580D38"/>
    <w:rsid w:val="00582B7A"/>
    <w:rsid w:val="00585B55"/>
    <w:rsid w:val="00587925"/>
    <w:rsid w:val="005901F5"/>
    <w:rsid w:val="005A085D"/>
    <w:rsid w:val="005A110A"/>
    <w:rsid w:val="005A2963"/>
    <w:rsid w:val="005A4AE8"/>
    <w:rsid w:val="005A4E98"/>
    <w:rsid w:val="005A55C8"/>
    <w:rsid w:val="005A7566"/>
    <w:rsid w:val="005B053A"/>
    <w:rsid w:val="005B2CC8"/>
    <w:rsid w:val="005B7EEA"/>
    <w:rsid w:val="005C00DE"/>
    <w:rsid w:val="005C37E3"/>
    <w:rsid w:val="005C661D"/>
    <w:rsid w:val="005C7355"/>
    <w:rsid w:val="005C73A2"/>
    <w:rsid w:val="005C7AFA"/>
    <w:rsid w:val="005D2620"/>
    <w:rsid w:val="005D42D6"/>
    <w:rsid w:val="005D6AF3"/>
    <w:rsid w:val="005D6E70"/>
    <w:rsid w:val="005E1A95"/>
    <w:rsid w:val="005E2839"/>
    <w:rsid w:val="005E7678"/>
    <w:rsid w:val="005F26F8"/>
    <w:rsid w:val="005F5182"/>
    <w:rsid w:val="005F52EC"/>
    <w:rsid w:val="00601040"/>
    <w:rsid w:val="00601804"/>
    <w:rsid w:val="0060279C"/>
    <w:rsid w:val="00603A46"/>
    <w:rsid w:val="00607912"/>
    <w:rsid w:val="0061159E"/>
    <w:rsid w:val="00611BD1"/>
    <w:rsid w:val="00611DE4"/>
    <w:rsid w:val="006132F7"/>
    <w:rsid w:val="00613450"/>
    <w:rsid w:val="006149E7"/>
    <w:rsid w:val="006164ED"/>
    <w:rsid w:val="00616DE0"/>
    <w:rsid w:val="00622157"/>
    <w:rsid w:val="00622814"/>
    <w:rsid w:val="00623F06"/>
    <w:rsid w:val="00625E7A"/>
    <w:rsid w:val="00627724"/>
    <w:rsid w:val="00627A59"/>
    <w:rsid w:val="006329C7"/>
    <w:rsid w:val="00637CE9"/>
    <w:rsid w:val="00643882"/>
    <w:rsid w:val="00643DBE"/>
    <w:rsid w:val="00645321"/>
    <w:rsid w:val="0065640A"/>
    <w:rsid w:val="00656AC7"/>
    <w:rsid w:val="0066211F"/>
    <w:rsid w:val="00663FC1"/>
    <w:rsid w:val="00667123"/>
    <w:rsid w:val="00667365"/>
    <w:rsid w:val="00673BC8"/>
    <w:rsid w:val="00676026"/>
    <w:rsid w:val="00677142"/>
    <w:rsid w:val="00680CD8"/>
    <w:rsid w:val="0068295C"/>
    <w:rsid w:val="006908A9"/>
    <w:rsid w:val="00690D2A"/>
    <w:rsid w:val="00690DE0"/>
    <w:rsid w:val="00691A52"/>
    <w:rsid w:val="006942CF"/>
    <w:rsid w:val="006944F3"/>
    <w:rsid w:val="00694A8D"/>
    <w:rsid w:val="006A1C9C"/>
    <w:rsid w:val="006A259B"/>
    <w:rsid w:val="006A599A"/>
    <w:rsid w:val="006B2089"/>
    <w:rsid w:val="006B2124"/>
    <w:rsid w:val="006B301D"/>
    <w:rsid w:val="006B3AC1"/>
    <w:rsid w:val="006B4A98"/>
    <w:rsid w:val="006B5076"/>
    <w:rsid w:val="006B5D15"/>
    <w:rsid w:val="006B605D"/>
    <w:rsid w:val="006B7E2D"/>
    <w:rsid w:val="006C1F0A"/>
    <w:rsid w:val="006C3F9B"/>
    <w:rsid w:val="006C59A7"/>
    <w:rsid w:val="006C6313"/>
    <w:rsid w:val="006C7E2F"/>
    <w:rsid w:val="006D13E5"/>
    <w:rsid w:val="006D73C0"/>
    <w:rsid w:val="006E014B"/>
    <w:rsid w:val="006E1149"/>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1087B"/>
    <w:rsid w:val="0071258C"/>
    <w:rsid w:val="007140CB"/>
    <w:rsid w:val="00716A5B"/>
    <w:rsid w:val="00716F13"/>
    <w:rsid w:val="00717AA1"/>
    <w:rsid w:val="00723F96"/>
    <w:rsid w:val="007244B1"/>
    <w:rsid w:val="0072545E"/>
    <w:rsid w:val="007300F6"/>
    <w:rsid w:val="00730F04"/>
    <w:rsid w:val="0073108D"/>
    <w:rsid w:val="00731564"/>
    <w:rsid w:val="0073224A"/>
    <w:rsid w:val="007333F9"/>
    <w:rsid w:val="007335B1"/>
    <w:rsid w:val="00737024"/>
    <w:rsid w:val="007416DD"/>
    <w:rsid w:val="00741F65"/>
    <w:rsid w:val="00742904"/>
    <w:rsid w:val="00744768"/>
    <w:rsid w:val="00745CBA"/>
    <w:rsid w:val="00745FC8"/>
    <w:rsid w:val="007461D0"/>
    <w:rsid w:val="00750CAC"/>
    <w:rsid w:val="007518D5"/>
    <w:rsid w:val="00752660"/>
    <w:rsid w:val="00753358"/>
    <w:rsid w:val="00753C6A"/>
    <w:rsid w:val="0075558F"/>
    <w:rsid w:val="00755737"/>
    <w:rsid w:val="00756D2F"/>
    <w:rsid w:val="00756D7C"/>
    <w:rsid w:val="007573FA"/>
    <w:rsid w:val="00760368"/>
    <w:rsid w:val="00761EDA"/>
    <w:rsid w:val="00764328"/>
    <w:rsid w:val="00764709"/>
    <w:rsid w:val="00766CF9"/>
    <w:rsid w:val="00770115"/>
    <w:rsid w:val="00770526"/>
    <w:rsid w:val="00771E3E"/>
    <w:rsid w:val="00777DAD"/>
    <w:rsid w:val="007817A1"/>
    <w:rsid w:val="0078215C"/>
    <w:rsid w:val="00784BB6"/>
    <w:rsid w:val="00784F14"/>
    <w:rsid w:val="00785B5F"/>
    <w:rsid w:val="00785C6C"/>
    <w:rsid w:val="00785CD3"/>
    <w:rsid w:val="00787D3C"/>
    <w:rsid w:val="00787D76"/>
    <w:rsid w:val="0079095F"/>
    <w:rsid w:val="00791B47"/>
    <w:rsid w:val="00793A5E"/>
    <w:rsid w:val="007952AB"/>
    <w:rsid w:val="007A43DF"/>
    <w:rsid w:val="007A4F00"/>
    <w:rsid w:val="007A7700"/>
    <w:rsid w:val="007B051D"/>
    <w:rsid w:val="007B1131"/>
    <w:rsid w:val="007B3B80"/>
    <w:rsid w:val="007B3CA7"/>
    <w:rsid w:val="007B635C"/>
    <w:rsid w:val="007C3D5B"/>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63E3"/>
    <w:rsid w:val="00802856"/>
    <w:rsid w:val="00802E6F"/>
    <w:rsid w:val="00803746"/>
    <w:rsid w:val="008041E4"/>
    <w:rsid w:val="00806D23"/>
    <w:rsid w:val="0081222C"/>
    <w:rsid w:val="0081739C"/>
    <w:rsid w:val="00820564"/>
    <w:rsid w:val="00823C02"/>
    <w:rsid w:val="00823CA4"/>
    <w:rsid w:val="00827568"/>
    <w:rsid w:val="00827FA1"/>
    <w:rsid w:val="008301FA"/>
    <w:rsid w:val="00830E72"/>
    <w:rsid w:val="00831E8E"/>
    <w:rsid w:val="00833289"/>
    <w:rsid w:val="00833C9B"/>
    <w:rsid w:val="00834A34"/>
    <w:rsid w:val="008374C8"/>
    <w:rsid w:val="0085367C"/>
    <w:rsid w:val="008541D9"/>
    <w:rsid w:val="0086516A"/>
    <w:rsid w:val="008671CB"/>
    <w:rsid w:val="008671F8"/>
    <w:rsid w:val="0087190C"/>
    <w:rsid w:val="008728B9"/>
    <w:rsid w:val="008735CC"/>
    <w:rsid w:val="00873FA0"/>
    <w:rsid w:val="008740B7"/>
    <w:rsid w:val="00876B94"/>
    <w:rsid w:val="00880C23"/>
    <w:rsid w:val="00881E8E"/>
    <w:rsid w:val="008836A5"/>
    <w:rsid w:val="008836CD"/>
    <w:rsid w:val="00890EED"/>
    <w:rsid w:val="00895424"/>
    <w:rsid w:val="00896457"/>
    <w:rsid w:val="00896D16"/>
    <w:rsid w:val="00897798"/>
    <w:rsid w:val="008A66FC"/>
    <w:rsid w:val="008A6E9C"/>
    <w:rsid w:val="008B4A4C"/>
    <w:rsid w:val="008B5E07"/>
    <w:rsid w:val="008C0690"/>
    <w:rsid w:val="008C2B2E"/>
    <w:rsid w:val="008C320C"/>
    <w:rsid w:val="008C4D11"/>
    <w:rsid w:val="008C5C72"/>
    <w:rsid w:val="008C755C"/>
    <w:rsid w:val="008D082E"/>
    <w:rsid w:val="008D0F26"/>
    <w:rsid w:val="008D13D5"/>
    <w:rsid w:val="008D155A"/>
    <w:rsid w:val="008D1AA6"/>
    <w:rsid w:val="008D4411"/>
    <w:rsid w:val="008D55DC"/>
    <w:rsid w:val="008D71B6"/>
    <w:rsid w:val="008E1419"/>
    <w:rsid w:val="008E1F81"/>
    <w:rsid w:val="008E4C0F"/>
    <w:rsid w:val="008E5CC1"/>
    <w:rsid w:val="008E6CF2"/>
    <w:rsid w:val="008E7654"/>
    <w:rsid w:val="008E7DB9"/>
    <w:rsid w:val="008F4692"/>
    <w:rsid w:val="008F5157"/>
    <w:rsid w:val="008F5B45"/>
    <w:rsid w:val="008F67C2"/>
    <w:rsid w:val="008F6FE5"/>
    <w:rsid w:val="008F7FBA"/>
    <w:rsid w:val="00900CF7"/>
    <w:rsid w:val="00901795"/>
    <w:rsid w:val="00902AD2"/>
    <w:rsid w:val="00904594"/>
    <w:rsid w:val="0091170F"/>
    <w:rsid w:val="00913321"/>
    <w:rsid w:val="00913BF5"/>
    <w:rsid w:val="00917FB2"/>
    <w:rsid w:val="00920048"/>
    <w:rsid w:val="00923401"/>
    <w:rsid w:val="009239B2"/>
    <w:rsid w:val="00924095"/>
    <w:rsid w:val="00927152"/>
    <w:rsid w:val="00930386"/>
    <w:rsid w:val="009323FE"/>
    <w:rsid w:val="009331CE"/>
    <w:rsid w:val="00934E2F"/>
    <w:rsid w:val="009401FB"/>
    <w:rsid w:val="009407A9"/>
    <w:rsid w:val="0094204B"/>
    <w:rsid w:val="00945DBC"/>
    <w:rsid w:val="00945E8E"/>
    <w:rsid w:val="00946194"/>
    <w:rsid w:val="009471BC"/>
    <w:rsid w:val="009474A4"/>
    <w:rsid w:val="00950F75"/>
    <w:rsid w:val="00957239"/>
    <w:rsid w:val="00960C89"/>
    <w:rsid w:val="00960ECC"/>
    <w:rsid w:val="00964057"/>
    <w:rsid w:val="009666E0"/>
    <w:rsid w:val="0097055D"/>
    <w:rsid w:val="0097355D"/>
    <w:rsid w:val="00973807"/>
    <w:rsid w:val="00973C48"/>
    <w:rsid w:val="00975686"/>
    <w:rsid w:val="00980921"/>
    <w:rsid w:val="00982BA9"/>
    <w:rsid w:val="009831F3"/>
    <w:rsid w:val="00983F69"/>
    <w:rsid w:val="009871FA"/>
    <w:rsid w:val="009902EB"/>
    <w:rsid w:val="00991457"/>
    <w:rsid w:val="00995596"/>
    <w:rsid w:val="009970C2"/>
    <w:rsid w:val="009A0711"/>
    <w:rsid w:val="009A1749"/>
    <w:rsid w:val="009A208D"/>
    <w:rsid w:val="009A4A08"/>
    <w:rsid w:val="009A6009"/>
    <w:rsid w:val="009A7264"/>
    <w:rsid w:val="009A7BCC"/>
    <w:rsid w:val="009B1FA8"/>
    <w:rsid w:val="009B244B"/>
    <w:rsid w:val="009B4FC4"/>
    <w:rsid w:val="009B5AB0"/>
    <w:rsid w:val="009C1AF6"/>
    <w:rsid w:val="009C3829"/>
    <w:rsid w:val="009C66AE"/>
    <w:rsid w:val="009D13ED"/>
    <w:rsid w:val="009D14FE"/>
    <w:rsid w:val="009D64E0"/>
    <w:rsid w:val="009D7AD5"/>
    <w:rsid w:val="009E1227"/>
    <w:rsid w:val="009E38C8"/>
    <w:rsid w:val="009E56DE"/>
    <w:rsid w:val="009E5F65"/>
    <w:rsid w:val="009F32D8"/>
    <w:rsid w:val="009F3E8C"/>
    <w:rsid w:val="009F418C"/>
    <w:rsid w:val="00A05311"/>
    <w:rsid w:val="00A06CA8"/>
    <w:rsid w:val="00A10D82"/>
    <w:rsid w:val="00A13E6B"/>
    <w:rsid w:val="00A14B9B"/>
    <w:rsid w:val="00A17619"/>
    <w:rsid w:val="00A2353B"/>
    <w:rsid w:val="00A23A5A"/>
    <w:rsid w:val="00A24EBB"/>
    <w:rsid w:val="00A2645A"/>
    <w:rsid w:val="00A2771D"/>
    <w:rsid w:val="00A27755"/>
    <w:rsid w:val="00A27CB9"/>
    <w:rsid w:val="00A3088C"/>
    <w:rsid w:val="00A31D45"/>
    <w:rsid w:val="00A342B9"/>
    <w:rsid w:val="00A34445"/>
    <w:rsid w:val="00A36FBE"/>
    <w:rsid w:val="00A37A88"/>
    <w:rsid w:val="00A41893"/>
    <w:rsid w:val="00A42965"/>
    <w:rsid w:val="00A4631F"/>
    <w:rsid w:val="00A51D26"/>
    <w:rsid w:val="00A530F0"/>
    <w:rsid w:val="00A54051"/>
    <w:rsid w:val="00A54FBF"/>
    <w:rsid w:val="00A61201"/>
    <w:rsid w:val="00A622AB"/>
    <w:rsid w:val="00A63BA0"/>
    <w:rsid w:val="00A64338"/>
    <w:rsid w:val="00A65A61"/>
    <w:rsid w:val="00A67C1A"/>
    <w:rsid w:val="00A7117E"/>
    <w:rsid w:val="00A71221"/>
    <w:rsid w:val="00A7134A"/>
    <w:rsid w:val="00A730B6"/>
    <w:rsid w:val="00A735A5"/>
    <w:rsid w:val="00A81DEF"/>
    <w:rsid w:val="00A81F66"/>
    <w:rsid w:val="00A831D6"/>
    <w:rsid w:val="00A83E99"/>
    <w:rsid w:val="00A8480A"/>
    <w:rsid w:val="00A848CE"/>
    <w:rsid w:val="00A84AA1"/>
    <w:rsid w:val="00A86967"/>
    <w:rsid w:val="00A875A2"/>
    <w:rsid w:val="00A93624"/>
    <w:rsid w:val="00AA0EA3"/>
    <w:rsid w:val="00AA0EA4"/>
    <w:rsid w:val="00AA137D"/>
    <w:rsid w:val="00AA1F14"/>
    <w:rsid w:val="00AA2B6B"/>
    <w:rsid w:val="00AA5460"/>
    <w:rsid w:val="00AA5E24"/>
    <w:rsid w:val="00AA6398"/>
    <w:rsid w:val="00AA6817"/>
    <w:rsid w:val="00AA7090"/>
    <w:rsid w:val="00AA7BA6"/>
    <w:rsid w:val="00AB1F97"/>
    <w:rsid w:val="00AB3457"/>
    <w:rsid w:val="00AB6227"/>
    <w:rsid w:val="00AB7CFA"/>
    <w:rsid w:val="00AC0261"/>
    <w:rsid w:val="00AC1523"/>
    <w:rsid w:val="00AC165B"/>
    <w:rsid w:val="00AC2685"/>
    <w:rsid w:val="00AC2986"/>
    <w:rsid w:val="00AC344F"/>
    <w:rsid w:val="00AC4B9A"/>
    <w:rsid w:val="00AC62AE"/>
    <w:rsid w:val="00AC656D"/>
    <w:rsid w:val="00AD0CEA"/>
    <w:rsid w:val="00AD17CB"/>
    <w:rsid w:val="00AE14EC"/>
    <w:rsid w:val="00AE1932"/>
    <w:rsid w:val="00AE6D6C"/>
    <w:rsid w:val="00AF16E1"/>
    <w:rsid w:val="00AF2097"/>
    <w:rsid w:val="00AF26DE"/>
    <w:rsid w:val="00AF26E4"/>
    <w:rsid w:val="00AF3DA0"/>
    <w:rsid w:val="00AF4C40"/>
    <w:rsid w:val="00AF711A"/>
    <w:rsid w:val="00B01031"/>
    <w:rsid w:val="00B0515E"/>
    <w:rsid w:val="00B05DCC"/>
    <w:rsid w:val="00B10763"/>
    <w:rsid w:val="00B1096B"/>
    <w:rsid w:val="00B13496"/>
    <w:rsid w:val="00B16FBD"/>
    <w:rsid w:val="00B173A1"/>
    <w:rsid w:val="00B1793B"/>
    <w:rsid w:val="00B218D9"/>
    <w:rsid w:val="00B22C27"/>
    <w:rsid w:val="00B22E49"/>
    <w:rsid w:val="00B233D6"/>
    <w:rsid w:val="00B235FF"/>
    <w:rsid w:val="00B23DA9"/>
    <w:rsid w:val="00B276DC"/>
    <w:rsid w:val="00B33934"/>
    <w:rsid w:val="00B459BE"/>
    <w:rsid w:val="00B46A7B"/>
    <w:rsid w:val="00B5121A"/>
    <w:rsid w:val="00B515EC"/>
    <w:rsid w:val="00B51784"/>
    <w:rsid w:val="00B560EA"/>
    <w:rsid w:val="00B56FC4"/>
    <w:rsid w:val="00B57829"/>
    <w:rsid w:val="00B65841"/>
    <w:rsid w:val="00B66979"/>
    <w:rsid w:val="00B66DD3"/>
    <w:rsid w:val="00B67B28"/>
    <w:rsid w:val="00B756AB"/>
    <w:rsid w:val="00B75B82"/>
    <w:rsid w:val="00B81307"/>
    <w:rsid w:val="00B81CF0"/>
    <w:rsid w:val="00B82901"/>
    <w:rsid w:val="00B8292A"/>
    <w:rsid w:val="00B83B3D"/>
    <w:rsid w:val="00B87E11"/>
    <w:rsid w:val="00B9025B"/>
    <w:rsid w:val="00B9187E"/>
    <w:rsid w:val="00B9613A"/>
    <w:rsid w:val="00BA2714"/>
    <w:rsid w:val="00BA3313"/>
    <w:rsid w:val="00BA382F"/>
    <w:rsid w:val="00BA6E35"/>
    <w:rsid w:val="00BB251D"/>
    <w:rsid w:val="00BB2676"/>
    <w:rsid w:val="00BB34FA"/>
    <w:rsid w:val="00BB56A2"/>
    <w:rsid w:val="00BB719E"/>
    <w:rsid w:val="00BC03BA"/>
    <w:rsid w:val="00BC20CB"/>
    <w:rsid w:val="00BC69E4"/>
    <w:rsid w:val="00BD0E0C"/>
    <w:rsid w:val="00BD2621"/>
    <w:rsid w:val="00BD643A"/>
    <w:rsid w:val="00BD77C2"/>
    <w:rsid w:val="00BE0155"/>
    <w:rsid w:val="00BE1C64"/>
    <w:rsid w:val="00BE7463"/>
    <w:rsid w:val="00BF2B26"/>
    <w:rsid w:val="00BF321A"/>
    <w:rsid w:val="00BF5C4A"/>
    <w:rsid w:val="00BF67E9"/>
    <w:rsid w:val="00C0022F"/>
    <w:rsid w:val="00C002C1"/>
    <w:rsid w:val="00C07552"/>
    <w:rsid w:val="00C11431"/>
    <w:rsid w:val="00C13380"/>
    <w:rsid w:val="00C1386E"/>
    <w:rsid w:val="00C149A1"/>
    <w:rsid w:val="00C17453"/>
    <w:rsid w:val="00C20FD2"/>
    <w:rsid w:val="00C220C7"/>
    <w:rsid w:val="00C23239"/>
    <w:rsid w:val="00C250A8"/>
    <w:rsid w:val="00C252BB"/>
    <w:rsid w:val="00C27397"/>
    <w:rsid w:val="00C27EF3"/>
    <w:rsid w:val="00C304A0"/>
    <w:rsid w:val="00C30E7F"/>
    <w:rsid w:val="00C32220"/>
    <w:rsid w:val="00C35FEA"/>
    <w:rsid w:val="00C36A08"/>
    <w:rsid w:val="00C37A84"/>
    <w:rsid w:val="00C37F0F"/>
    <w:rsid w:val="00C40DDE"/>
    <w:rsid w:val="00C412C4"/>
    <w:rsid w:val="00C41FE1"/>
    <w:rsid w:val="00C421E4"/>
    <w:rsid w:val="00C45BDD"/>
    <w:rsid w:val="00C47534"/>
    <w:rsid w:val="00C4759A"/>
    <w:rsid w:val="00C47B25"/>
    <w:rsid w:val="00C50326"/>
    <w:rsid w:val="00C510EC"/>
    <w:rsid w:val="00C51D09"/>
    <w:rsid w:val="00C529E6"/>
    <w:rsid w:val="00C601CB"/>
    <w:rsid w:val="00C60E63"/>
    <w:rsid w:val="00C61E4A"/>
    <w:rsid w:val="00C6579B"/>
    <w:rsid w:val="00C658E9"/>
    <w:rsid w:val="00C74F38"/>
    <w:rsid w:val="00C75C04"/>
    <w:rsid w:val="00C76E94"/>
    <w:rsid w:val="00C777C6"/>
    <w:rsid w:val="00C80F34"/>
    <w:rsid w:val="00C81E96"/>
    <w:rsid w:val="00C82844"/>
    <w:rsid w:val="00C83328"/>
    <w:rsid w:val="00C835B3"/>
    <w:rsid w:val="00C848B9"/>
    <w:rsid w:val="00C8565B"/>
    <w:rsid w:val="00C91AD3"/>
    <w:rsid w:val="00C94DCE"/>
    <w:rsid w:val="00C95957"/>
    <w:rsid w:val="00CA18F6"/>
    <w:rsid w:val="00CA1AE6"/>
    <w:rsid w:val="00CA4FCE"/>
    <w:rsid w:val="00CA5E13"/>
    <w:rsid w:val="00CA62E4"/>
    <w:rsid w:val="00CA7429"/>
    <w:rsid w:val="00CB13ED"/>
    <w:rsid w:val="00CB1A69"/>
    <w:rsid w:val="00CB2032"/>
    <w:rsid w:val="00CB491D"/>
    <w:rsid w:val="00CB5F92"/>
    <w:rsid w:val="00CC0FDE"/>
    <w:rsid w:val="00CC5677"/>
    <w:rsid w:val="00CD0722"/>
    <w:rsid w:val="00CD0D2C"/>
    <w:rsid w:val="00CD13D1"/>
    <w:rsid w:val="00CD31C0"/>
    <w:rsid w:val="00CD67A6"/>
    <w:rsid w:val="00CD788A"/>
    <w:rsid w:val="00CE1D08"/>
    <w:rsid w:val="00CE3F19"/>
    <w:rsid w:val="00CE5026"/>
    <w:rsid w:val="00CE53C8"/>
    <w:rsid w:val="00CE5424"/>
    <w:rsid w:val="00CF046E"/>
    <w:rsid w:val="00CF14E6"/>
    <w:rsid w:val="00CF423C"/>
    <w:rsid w:val="00CF4C3A"/>
    <w:rsid w:val="00CF6D08"/>
    <w:rsid w:val="00CF7162"/>
    <w:rsid w:val="00CF7795"/>
    <w:rsid w:val="00D05655"/>
    <w:rsid w:val="00D05D28"/>
    <w:rsid w:val="00D06D29"/>
    <w:rsid w:val="00D201C8"/>
    <w:rsid w:val="00D21953"/>
    <w:rsid w:val="00D2249A"/>
    <w:rsid w:val="00D22A18"/>
    <w:rsid w:val="00D35637"/>
    <w:rsid w:val="00D357E5"/>
    <w:rsid w:val="00D36EED"/>
    <w:rsid w:val="00D50023"/>
    <w:rsid w:val="00D505AF"/>
    <w:rsid w:val="00D56077"/>
    <w:rsid w:val="00D577A0"/>
    <w:rsid w:val="00D60B18"/>
    <w:rsid w:val="00D6336D"/>
    <w:rsid w:val="00D64E7F"/>
    <w:rsid w:val="00D65CCB"/>
    <w:rsid w:val="00D710D2"/>
    <w:rsid w:val="00D7514F"/>
    <w:rsid w:val="00D772A9"/>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4B6B"/>
    <w:rsid w:val="00DC5C44"/>
    <w:rsid w:val="00DD5414"/>
    <w:rsid w:val="00DE0446"/>
    <w:rsid w:val="00DE1133"/>
    <w:rsid w:val="00DE16C5"/>
    <w:rsid w:val="00DE3246"/>
    <w:rsid w:val="00DE34D4"/>
    <w:rsid w:val="00DE5B3E"/>
    <w:rsid w:val="00DE62A4"/>
    <w:rsid w:val="00DE709A"/>
    <w:rsid w:val="00DF01D0"/>
    <w:rsid w:val="00DF0872"/>
    <w:rsid w:val="00DF306C"/>
    <w:rsid w:val="00DF31D1"/>
    <w:rsid w:val="00DF3A59"/>
    <w:rsid w:val="00DF6AF0"/>
    <w:rsid w:val="00DF6EB6"/>
    <w:rsid w:val="00DF749D"/>
    <w:rsid w:val="00E01F94"/>
    <w:rsid w:val="00E020E6"/>
    <w:rsid w:val="00E02A2F"/>
    <w:rsid w:val="00E05225"/>
    <w:rsid w:val="00E06B10"/>
    <w:rsid w:val="00E10553"/>
    <w:rsid w:val="00E14173"/>
    <w:rsid w:val="00E2120D"/>
    <w:rsid w:val="00E2128C"/>
    <w:rsid w:val="00E250F7"/>
    <w:rsid w:val="00E2586E"/>
    <w:rsid w:val="00E25A69"/>
    <w:rsid w:val="00E25DC9"/>
    <w:rsid w:val="00E260A8"/>
    <w:rsid w:val="00E26B20"/>
    <w:rsid w:val="00E27CFE"/>
    <w:rsid w:val="00E3324E"/>
    <w:rsid w:val="00E3344A"/>
    <w:rsid w:val="00E35139"/>
    <w:rsid w:val="00E35ED8"/>
    <w:rsid w:val="00E43B35"/>
    <w:rsid w:val="00E43E1F"/>
    <w:rsid w:val="00E44F5D"/>
    <w:rsid w:val="00E452D4"/>
    <w:rsid w:val="00E523FE"/>
    <w:rsid w:val="00E536D6"/>
    <w:rsid w:val="00E539CB"/>
    <w:rsid w:val="00E62BD4"/>
    <w:rsid w:val="00E630B6"/>
    <w:rsid w:val="00E66865"/>
    <w:rsid w:val="00E671FF"/>
    <w:rsid w:val="00E67AFE"/>
    <w:rsid w:val="00E71738"/>
    <w:rsid w:val="00E7462A"/>
    <w:rsid w:val="00E752F7"/>
    <w:rsid w:val="00E87F26"/>
    <w:rsid w:val="00E9243C"/>
    <w:rsid w:val="00E92C65"/>
    <w:rsid w:val="00E93327"/>
    <w:rsid w:val="00E975ED"/>
    <w:rsid w:val="00EA1E5D"/>
    <w:rsid w:val="00EB0E59"/>
    <w:rsid w:val="00EB399B"/>
    <w:rsid w:val="00EB42CD"/>
    <w:rsid w:val="00EC1D2B"/>
    <w:rsid w:val="00ED0039"/>
    <w:rsid w:val="00ED0CEC"/>
    <w:rsid w:val="00ED4898"/>
    <w:rsid w:val="00ED62A1"/>
    <w:rsid w:val="00ED6697"/>
    <w:rsid w:val="00ED765A"/>
    <w:rsid w:val="00EE165E"/>
    <w:rsid w:val="00EE23AC"/>
    <w:rsid w:val="00EE50E9"/>
    <w:rsid w:val="00EE6554"/>
    <w:rsid w:val="00EE6724"/>
    <w:rsid w:val="00EF01C0"/>
    <w:rsid w:val="00EF0D04"/>
    <w:rsid w:val="00EF2232"/>
    <w:rsid w:val="00EF46C5"/>
    <w:rsid w:val="00EF5593"/>
    <w:rsid w:val="00EF6332"/>
    <w:rsid w:val="00F049C1"/>
    <w:rsid w:val="00F10751"/>
    <w:rsid w:val="00F10FB2"/>
    <w:rsid w:val="00F11DAC"/>
    <w:rsid w:val="00F12830"/>
    <w:rsid w:val="00F12AFD"/>
    <w:rsid w:val="00F14BCA"/>
    <w:rsid w:val="00F16082"/>
    <w:rsid w:val="00F17308"/>
    <w:rsid w:val="00F17F99"/>
    <w:rsid w:val="00F20FBD"/>
    <w:rsid w:val="00F2216A"/>
    <w:rsid w:val="00F24CEE"/>
    <w:rsid w:val="00F25876"/>
    <w:rsid w:val="00F3284D"/>
    <w:rsid w:val="00F32B63"/>
    <w:rsid w:val="00F34CDF"/>
    <w:rsid w:val="00F34E56"/>
    <w:rsid w:val="00F34F6A"/>
    <w:rsid w:val="00F37E13"/>
    <w:rsid w:val="00F42EE7"/>
    <w:rsid w:val="00F43423"/>
    <w:rsid w:val="00F4723A"/>
    <w:rsid w:val="00F477B0"/>
    <w:rsid w:val="00F502AD"/>
    <w:rsid w:val="00F512CF"/>
    <w:rsid w:val="00F6198B"/>
    <w:rsid w:val="00F7321F"/>
    <w:rsid w:val="00F73D2C"/>
    <w:rsid w:val="00F74BA5"/>
    <w:rsid w:val="00F76F16"/>
    <w:rsid w:val="00F80466"/>
    <w:rsid w:val="00F80DE8"/>
    <w:rsid w:val="00F832BF"/>
    <w:rsid w:val="00F8396F"/>
    <w:rsid w:val="00F844A6"/>
    <w:rsid w:val="00F86BCF"/>
    <w:rsid w:val="00F90734"/>
    <w:rsid w:val="00F90A92"/>
    <w:rsid w:val="00F9520E"/>
    <w:rsid w:val="00F95A45"/>
    <w:rsid w:val="00F95F7A"/>
    <w:rsid w:val="00F960A2"/>
    <w:rsid w:val="00FA2501"/>
    <w:rsid w:val="00FA299A"/>
    <w:rsid w:val="00FA3EAC"/>
    <w:rsid w:val="00FA44BB"/>
    <w:rsid w:val="00FA45F3"/>
    <w:rsid w:val="00FA78C0"/>
    <w:rsid w:val="00FA7B6B"/>
    <w:rsid w:val="00FB07A7"/>
    <w:rsid w:val="00FB4A3A"/>
    <w:rsid w:val="00FB5633"/>
    <w:rsid w:val="00FB5FE3"/>
    <w:rsid w:val="00FB7D2F"/>
    <w:rsid w:val="00FC0747"/>
    <w:rsid w:val="00FC0976"/>
    <w:rsid w:val="00FC3721"/>
    <w:rsid w:val="00FC3905"/>
    <w:rsid w:val="00FC7044"/>
    <w:rsid w:val="00FD06AF"/>
    <w:rsid w:val="00FD351A"/>
    <w:rsid w:val="00FD4016"/>
    <w:rsid w:val="00FD5155"/>
    <w:rsid w:val="00FE15B0"/>
    <w:rsid w:val="00FE6E13"/>
    <w:rsid w:val="00FF0E0A"/>
    <w:rsid w:val="00FF1974"/>
    <w:rsid w:val="00FF19B5"/>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7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uiPriority w:val="99"/>
    <w:rsid w:val="00913BF5"/>
    <w:pPr>
      <w:widowControl w:val="0"/>
    </w:pPr>
    <w:rPr>
      <w:lang w:val="en-GB"/>
    </w:rPr>
  </w:style>
  <w:style w:type="character" w:customStyle="1" w:styleId="FootnoteTextChar">
    <w:name w:val="Footnote Text Char"/>
    <w:basedOn w:val="DefaultParagraphFont"/>
    <w:link w:val="FootnoteText"/>
    <w:uiPriority w:val="99"/>
    <w:locked/>
    <w:rsid w:val="00913BF5"/>
    <w:rPr>
      <w:snapToGrid w:val="0"/>
      <w:sz w:val="24"/>
      <w:lang w:val="en-GB" w:eastAsia="fr-FR"/>
    </w:rPr>
  </w:style>
  <w:style w:type="character" w:styleId="FootnoteReference">
    <w:name w:val="footnote reference"/>
    <w:basedOn w:val="DefaultParagraphFont"/>
    <w:uiPriority w:val="99"/>
    <w:rsid w:val="00913BF5"/>
    <w:rPr>
      <w:rFonts w:cs="Times New Roman"/>
      <w:vertAlign w:val="superscript"/>
    </w:rPr>
  </w:style>
  <w:style w:type="table" w:styleId="TableGrid">
    <w:name w:val="Table Grid"/>
    <w:basedOn w:val="TableNormal"/>
    <w:uiPriority w:val="9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C08"/>
    <w:pPr>
      <w:ind w:left="720"/>
      <w:contextualSpacing/>
    </w:pPr>
  </w:style>
  <w:style w:type="paragraph" w:styleId="BalloonText">
    <w:name w:val="Balloon Text"/>
    <w:basedOn w:val="Normal"/>
    <w:link w:val="BalloonTextChar"/>
    <w:uiPriority w:val="99"/>
    <w:semiHidden/>
    <w:unhideWhenUsed/>
    <w:rsid w:val="00E3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39"/>
    <w:rPr>
      <w:rFonts w:ascii="Segoe UI" w:hAnsi="Segoe UI" w:cs="Segoe UI"/>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uiPriority w:val="99"/>
    <w:rsid w:val="00913BF5"/>
    <w:pPr>
      <w:widowControl w:val="0"/>
    </w:pPr>
    <w:rPr>
      <w:lang w:val="en-GB"/>
    </w:rPr>
  </w:style>
  <w:style w:type="character" w:customStyle="1" w:styleId="FootnoteTextChar">
    <w:name w:val="Footnote Text Char"/>
    <w:basedOn w:val="DefaultParagraphFont"/>
    <w:link w:val="FootnoteText"/>
    <w:uiPriority w:val="99"/>
    <w:locked/>
    <w:rsid w:val="00913BF5"/>
    <w:rPr>
      <w:snapToGrid w:val="0"/>
      <w:sz w:val="24"/>
      <w:lang w:val="en-GB" w:eastAsia="fr-FR"/>
    </w:rPr>
  </w:style>
  <w:style w:type="character" w:styleId="FootnoteReference">
    <w:name w:val="footnote reference"/>
    <w:basedOn w:val="DefaultParagraphFont"/>
    <w:uiPriority w:val="99"/>
    <w:rsid w:val="00913BF5"/>
    <w:rPr>
      <w:rFonts w:cs="Times New Roman"/>
      <w:vertAlign w:val="superscript"/>
    </w:rPr>
  </w:style>
  <w:style w:type="table" w:styleId="TableGrid">
    <w:name w:val="Table Grid"/>
    <w:basedOn w:val="TableNormal"/>
    <w:uiPriority w:val="9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C08"/>
    <w:pPr>
      <w:ind w:left="720"/>
      <w:contextualSpacing/>
    </w:pPr>
  </w:style>
  <w:style w:type="paragraph" w:styleId="BalloonText">
    <w:name w:val="Balloon Text"/>
    <w:basedOn w:val="Normal"/>
    <w:link w:val="BalloonTextChar"/>
    <w:uiPriority w:val="99"/>
    <w:semiHidden/>
    <w:unhideWhenUsed/>
    <w:rsid w:val="00E3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39"/>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9440</Characters>
  <Application>Microsoft Office Word</Application>
  <DocSecurity>4</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4.3</vt:lpstr>
      <vt:lpstr>Partie E-TEMPLATE 4.3</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4.3</dc:title>
  <dc:creator>Lea Dispa</dc:creator>
  <cp:lastModifiedBy>Mitsy Jean-Louis</cp:lastModifiedBy>
  <cp:revision>2</cp:revision>
  <cp:lastPrinted>2014-06-25T14:26:00Z</cp:lastPrinted>
  <dcterms:created xsi:type="dcterms:W3CDTF">2014-08-08T19:21:00Z</dcterms:created>
  <dcterms:modified xsi:type="dcterms:W3CDTF">2014-08-08T19:21:00Z</dcterms:modified>
</cp:coreProperties>
</file>