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361" w:rsidRPr="00334073" w:rsidRDefault="00D811FB" w:rsidP="00D811FB">
      <w:pPr>
        <w:rPr>
          <w:b/>
          <w:sz w:val="22"/>
          <w:szCs w:val="22"/>
        </w:rPr>
      </w:pPr>
      <w:bookmarkStart w:id="0" w:name="_GoBack"/>
      <w:bookmarkEnd w:id="0"/>
      <w:r>
        <w:rPr>
          <w:b/>
          <w:sz w:val="22"/>
          <w:szCs w:val="22"/>
        </w:rPr>
        <w:t xml:space="preserve"> </w:t>
      </w:r>
    </w:p>
    <w:p w:rsidR="00D811FB" w:rsidRPr="00334073" w:rsidRDefault="00114904" w:rsidP="00114904">
      <w:pPr>
        <w:tabs>
          <w:tab w:val="left" w:pos="4103"/>
          <w:tab w:val="center" w:pos="5222"/>
        </w:tabs>
        <w:rPr>
          <w:rFonts w:ascii="Arial" w:hAnsi="Arial"/>
          <w:spacing w:val="-3"/>
          <w:sz w:val="20"/>
        </w:rPr>
      </w:pPr>
      <w:r>
        <w:rPr>
          <w:rFonts w:ascii="Arial" w:hAnsi="Arial"/>
          <w:spacing w:val="-3"/>
          <w:sz w:val="20"/>
        </w:rPr>
        <w:tab/>
      </w:r>
      <w:r>
        <w:rPr>
          <w:rFonts w:ascii="Arial" w:hAnsi="Arial"/>
          <w:spacing w:val="-3"/>
          <w:sz w:val="20"/>
        </w:rPr>
        <w:tab/>
      </w:r>
      <w:r w:rsidR="00264361" w:rsidRPr="00334073">
        <w:rPr>
          <w:rFonts w:ascii="Arial" w:hAnsi="Arial"/>
          <w:spacing w:val="-3"/>
          <w:sz w:val="20"/>
        </w:rPr>
        <w:tab/>
      </w:r>
    </w:p>
    <w:tbl>
      <w:tblPr>
        <w:tblW w:w="0" w:type="auto"/>
        <w:jc w:val="center"/>
        <w:tblLook w:val="04A0" w:firstRow="1" w:lastRow="0" w:firstColumn="1" w:lastColumn="0" w:noHBand="0" w:noVBand="1"/>
      </w:tblPr>
      <w:tblGrid>
        <w:gridCol w:w="8433"/>
        <w:gridCol w:w="1848"/>
      </w:tblGrid>
      <w:tr w:rsidR="00D811FB" w:rsidRPr="00D811FB" w:rsidTr="006A70EA">
        <w:trPr>
          <w:trHeight w:val="1313"/>
          <w:jc w:val="center"/>
        </w:trPr>
        <w:tc>
          <w:tcPr>
            <w:tcW w:w="8433" w:type="dxa"/>
            <w:hideMark/>
          </w:tcPr>
          <w:p w:rsidR="00D811FB" w:rsidRPr="00D811FB" w:rsidRDefault="00D811FB" w:rsidP="00D811FB">
            <w:pPr>
              <w:numPr>
                <w:ilvl w:val="1"/>
                <w:numId w:val="0"/>
              </w:numPr>
              <w:rPr>
                <w:i/>
                <w:iCs/>
                <w:color w:val="4F81BD"/>
                <w:spacing w:val="15"/>
                <w:sz w:val="16"/>
                <w:szCs w:val="16"/>
              </w:rPr>
            </w:pPr>
            <w:r w:rsidRPr="00D811FB">
              <w:rPr>
                <w:i/>
                <w:noProof/>
                <w:color w:val="4F81BD"/>
                <w:spacing w:val="15"/>
                <w:sz w:val="12"/>
                <w:szCs w:val="16"/>
                <w:lang w:val="en-US" w:eastAsia="en-US"/>
              </w:rPr>
              <w:drawing>
                <wp:inline distT="0" distB="0" distL="0" distR="0" wp14:anchorId="6FBA0DF2" wp14:editId="4FB5F506">
                  <wp:extent cx="404563" cy="400833"/>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741" cy="401009"/>
                          </a:xfrm>
                          <a:prstGeom prst="rect">
                            <a:avLst/>
                          </a:prstGeom>
                          <a:noFill/>
                          <a:ln>
                            <a:noFill/>
                          </a:ln>
                        </pic:spPr>
                      </pic:pic>
                    </a:graphicData>
                  </a:graphic>
                </wp:inline>
              </w:drawing>
            </w:r>
            <w:r w:rsidRPr="00D811FB">
              <w:rPr>
                <w:i/>
                <w:iCs/>
                <w:color w:val="4F81BD"/>
                <w:spacing w:val="15"/>
                <w:sz w:val="16"/>
                <w:szCs w:val="16"/>
              </w:rPr>
              <w:t xml:space="preserve">                                       </w:t>
            </w:r>
            <w:r>
              <w:rPr>
                <w:i/>
                <w:noProof/>
                <w:color w:val="4F81BD"/>
                <w:spacing w:val="15"/>
                <w:sz w:val="16"/>
                <w:szCs w:val="16"/>
                <w:lang w:val="en-US" w:eastAsia="en-US"/>
              </w:rPr>
              <w:drawing>
                <wp:inline distT="0" distB="0" distL="0" distR="0">
                  <wp:extent cx="467809" cy="444674"/>
                  <wp:effectExtent l="0" t="0" r="8890" b="0"/>
                  <wp:docPr id="19" name="Image 19" descr="Description : 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Description : UN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707" cy="444577"/>
                          </a:xfrm>
                          <a:prstGeom prst="rect">
                            <a:avLst/>
                          </a:prstGeom>
                          <a:noFill/>
                          <a:ln>
                            <a:noFill/>
                          </a:ln>
                        </pic:spPr>
                      </pic:pic>
                    </a:graphicData>
                  </a:graphic>
                </wp:inline>
              </w:drawing>
            </w:r>
            <w:r w:rsidRPr="00D811FB">
              <w:rPr>
                <w:i/>
                <w:iCs/>
                <w:color w:val="4F81BD"/>
                <w:spacing w:val="15"/>
                <w:sz w:val="16"/>
                <w:szCs w:val="16"/>
              </w:rPr>
              <w:t xml:space="preserve">           </w:t>
            </w:r>
          </w:p>
          <w:p w:rsidR="00D811FB" w:rsidRPr="00D811FB" w:rsidRDefault="00D811FB" w:rsidP="00D811FB">
            <w:pPr>
              <w:rPr>
                <w:b/>
                <w:bCs/>
                <w:sz w:val="16"/>
                <w:szCs w:val="16"/>
              </w:rPr>
            </w:pPr>
            <w:r w:rsidRPr="00D811FB">
              <w:rPr>
                <w:b/>
                <w:bCs/>
                <w:sz w:val="16"/>
                <w:szCs w:val="16"/>
              </w:rPr>
              <w:t xml:space="preserve">  </w:t>
            </w:r>
            <w:r w:rsidRPr="00D811FB">
              <w:rPr>
                <w:b/>
                <w:bCs/>
                <w:sz w:val="16"/>
                <w:szCs w:val="16"/>
              </w:rPr>
              <w:tab/>
              <w:t xml:space="preserve">             </w:t>
            </w:r>
          </w:p>
        </w:tc>
        <w:tc>
          <w:tcPr>
            <w:tcW w:w="1848" w:type="dxa"/>
            <w:hideMark/>
          </w:tcPr>
          <w:p w:rsidR="00D811FB" w:rsidRPr="00D811FB" w:rsidRDefault="00D811FB" w:rsidP="00D811FB">
            <w:pPr>
              <w:rPr>
                <w:b/>
                <w:bCs/>
                <w:sz w:val="16"/>
                <w:szCs w:val="16"/>
                <w:lang w:val="en-US"/>
              </w:rPr>
            </w:pPr>
            <w:r>
              <w:rPr>
                <w:b/>
                <w:noProof/>
                <w:sz w:val="16"/>
                <w:szCs w:val="16"/>
                <w:lang w:val="en-US" w:eastAsia="en-US"/>
              </w:rPr>
              <w:drawing>
                <wp:inline distT="0" distB="0" distL="0" distR="0">
                  <wp:extent cx="479844" cy="413359"/>
                  <wp:effectExtent l="0" t="0" r="0" b="6350"/>
                  <wp:docPr id="14" name="Image 14" descr="P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PB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9797" cy="413319"/>
                          </a:xfrm>
                          <a:prstGeom prst="rect">
                            <a:avLst/>
                          </a:prstGeom>
                          <a:noFill/>
                          <a:ln>
                            <a:noFill/>
                          </a:ln>
                        </pic:spPr>
                      </pic:pic>
                    </a:graphicData>
                  </a:graphic>
                </wp:inline>
              </w:drawing>
            </w:r>
          </w:p>
        </w:tc>
      </w:tr>
    </w:tbl>
    <w:p w:rsidR="00264361" w:rsidRPr="00D811FB" w:rsidRDefault="00264361" w:rsidP="00D811FB">
      <w:pPr>
        <w:rPr>
          <w:b/>
          <w:sz w:val="28"/>
          <w:szCs w:val="28"/>
          <w:u w:val="single"/>
        </w:rPr>
      </w:pPr>
      <w:r w:rsidRPr="00334073">
        <w:rPr>
          <w:rFonts w:ascii="Arial" w:hAnsi="Arial"/>
          <w:spacing w:val="-3"/>
          <w:sz w:val="20"/>
        </w:rPr>
        <w:tab/>
      </w:r>
    </w:p>
    <w:p w:rsidR="00264361" w:rsidRPr="00334073" w:rsidRDefault="00264361" w:rsidP="004D18B1">
      <w:pPr>
        <w:jc w:val="center"/>
        <w:rPr>
          <w:b/>
        </w:rPr>
      </w:pPr>
      <w:r w:rsidRPr="00334073">
        <w:rPr>
          <w:b/>
        </w:rPr>
        <w:t>FONDS POUR LA CONSOLIDATION DE LA PAIX (PBF)</w:t>
      </w:r>
    </w:p>
    <w:p w:rsidR="00264361" w:rsidRPr="00334073" w:rsidRDefault="00264361" w:rsidP="004D18B1">
      <w:pPr>
        <w:jc w:val="center"/>
        <w:rPr>
          <w:b/>
          <w:bCs/>
          <w:caps/>
        </w:rPr>
      </w:pPr>
      <w:r w:rsidRPr="00334073">
        <w:rPr>
          <w:b/>
          <w:bCs/>
          <w:caps/>
        </w:rPr>
        <w:t>RAPPORT D’ACTIVITE DESCRIPTIF SUR LE PROGRAMME ANNUEL</w:t>
      </w:r>
      <w:r w:rsidRPr="00334073">
        <w:rPr>
          <w:rStyle w:val="FootnoteReference"/>
          <w:b/>
          <w:bCs/>
          <w:caps/>
        </w:rPr>
        <w:footnoteReference w:id="1"/>
      </w:r>
      <w:r w:rsidRPr="00334073">
        <w:rPr>
          <w:b/>
          <w:bCs/>
          <w:caps/>
        </w:rPr>
        <w:t xml:space="preserve"> </w:t>
      </w:r>
    </w:p>
    <w:p w:rsidR="00264361" w:rsidRPr="00334073" w:rsidRDefault="00264361" w:rsidP="004D18B1">
      <w:pPr>
        <w:jc w:val="center"/>
        <w:rPr>
          <w:b/>
          <w:bCs/>
          <w:caps/>
          <w:sz w:val="22"/>
          <w:szCs w:val="22"/>
        </w:rPr>
      </w:pPr>
    </w:p>
    <w:p w:rsidR="00264361" w:rsidRPr="00334073" w:rsidRDefault="00264361" w:rsidP="004D18B1">
      <w:pPr>
        <w:jc w:val="center"/>
        <w:rPr>
          <w:b/>
          <w:bCs/>
          <w:caps/>
        </w:rPr>
      </w:pPr>
      <w:r w:rsidRPr="00334073">
        <w:rPr>
          <w:b/>
          <w:bCs/>
          <w:caps/>
        </w:rPr>
        <w:t>PERIODE COUVERTE PAR LE RAPPORT: 1</w:t>
      </w:r>
      <w:r w:rsidRPr="00334073">
        <w:rPr>
          <w:b/>
          <w:bCs/>
          <w:caps/>
          <w:vertAlign w:val="superscript"/>
        </w:rPr>
        <w:t>er</w:t>
      </w:r>
      <w:r w:rsidR="00765F9A">
        <w:rPr>
          <w:b/>
          <w:bCs/>
          <w:caps/>
        </w:rPr>
        <w:t xml:space="preserve"> JANVIER - 31 DecembRE 2013</w:t>
      </w:r>
    </w:p>
    <w:p w:rsidR="00264361" w:rsidRPr="00334073" w:rsidRDefault="00264361" w:rsidP="004D18B1">
      <w:pPr>
        <w:jc w:val="center"/>
        <w:rPr>
          <w:b/>
          <w:bCs/>
          <w:caps/>
          <w:sz w:val="22"/>
          <w:szCs w:val="22"/>
        </w:rPr>
      </w:pPr>
    </w:p>
    <w:tbl>
      <w:tblPr>
        <w:tblW w:w="10386" w:type="dxa"/>
        <w:tblInd w:w="-72" w:type="dxa"/>
        <w:tblLayout w:type="fixed"/>
        <w:tblLook w:val="01E0" w:firstRow="1" w:lastRow="1" w:firstColumn="1" w:lastColumn="1" w:noHBand="0" w:noVBand="0"/>
      </w:tblPr>
      <w:tblGrid>
        <w:gridCol w:w="5142"/>
        <w:gridCol w:w="258"/>
        <w:gridCol w:w="4986"/>
      </w:tblGrid>
      <w:tr w:rsidR="00264361" w:rsidRPr="00334073">
        <w:trPr>
          <w:trHeight w:val="206"/>
        </w:trPr>
        <w:tc>
          <w:tcPr>
            <w:tcW w:w="5142" w:type="dxa"/>
            <w:tcBorders>
              <w:top w:val="single" w:sz="4" w:space="0" w:color="auto"/>
              <w:left w:val="single" w:sz="4" w:space="0" w:color="auto"/>
              <w:right w:val="single" w:sz="4" w:space="0" w:color="auto"/>
            </w:tcBorders>
            <w:shd w:val="clear" w:color="auto" w:fill="F3F3F3"/>
            <w:vAlign w:val="center"/>
          </w:tcPr>
          <w:p w:rsidR="00264361" w:rsidRPr="00334073" w:rsidRDefault="00264361" w:rsidP="00AD6103">
            <w:pPr>
              <w:pStyle w:val="H1"/>
              <w:jc w:val="center"/>
              <w:rPr>
                <w:rFonts w:cs="Times New Roman"/>
                <w:sz w:val="22"/>
                <w:szCs w:val="22"/>
                <w:lang w:val="fr-FR"/>
              </w:rPr>
            </w:pPr>
            <w:r w:rsidRPr="00334073">
              <w:rPr>
                <w:rFonts w:cs="Times New Roman"/>
                <w:sz w:val="22"/>
                <w:szCs w:val="22"/>
                <w:lang w:val="fr-FR"/>
              </w:rPr>
              <w:t>Intitulé du programme &amp; Numéro du projet</w:t>
            </w:r>
          </w:p>
        </w:tc>
        <w:tc>
          <w:tcPr>
            <w:tcW w:w="258" w:type="dxa"/>
            <w:vMerge w:val="restart"/>
            <w:tcBorders>
              <w:left w:val="single" w:sz="4" w:space="0" w:color="auto"/>
              <w:right w:val="single" w:sz="4" w:space="0" w:color="auto"/>
            </w:tcBorders>
            <w:vAlign w:val="center"/>
          </w:tcPr>
          <w:p w:rsidR="00264361" w:rsidRPr="00334073" w:rsidRDefault="00264361" w:rsidP="00595EB4">
            <w:pPr>
              <w:jc w:val="center"/>
            </w:pPr>
          </w:p>
        </w:tc>
        <w:tc>
          <w:tcPr>
            <w:tcW w:w="4986" w:type="dxa"/>
            <w:tcBorders>
              <w:top w:val="single" w:sz="4" w:space="0" w:color="auto"/>
              <w:left w:val="single" w:sz="4" w:space="0" w:color="auto"/>
              <w:right w:val="single" w:sz="4" w:space="0" w:color="auto"/>
            </w:tcBorders>
            <w:shd w:val="clear" w:color="auto" w:fill="F3F3F3"/>
            <w:vAlign w:val="center"/>
          </w:tcPr>
          <w:p w:rsidR="00264361" w:rsidRPr="00334073" w:rsidRDefault="00264361" w:rsidP="00595EB4">
            <w:pPr>
              <w:pStyle w:val="H1"/>
              <w:jc w:val="center"/>
              <w:rPr>
                <w:rFonts w:cs="Times New Roman"/>
                <w:sz w:val="22"/>
                <w:szCs w:val="22"/>
                <w:lang w:val="fr-FR"/>
              </w:rPr>
            </w:pPr>
            <w:r w:rsidRPr="00334073">
              <w:rPr>
                <w:rFonts w:cs="Times New Roman"/>
                <w:sz w:val="22"/>
                <w:szCs w:val="22"/>
                <w:lang w:val="fr-FR"/>
              </w:rPr>
              <w:t>Pays, Localité(s), Secteur(s) prioritaire(s) / Résultats stratégiques</w:t>
            </w:r>
            <w:r w:rsidRPr="00334073">
              <w:rPr>
                <w:rStyle w:val="FootnoteReference"/>
                <w:sz w:val="22"/>
                <w:szCs w:val="22"/>
                <w:lang w:val="fr-FR"/>
              </w:rPr>
              <w:footnoteReference w:id="2"/>
            </w:r>
          </w:p>
        </w:tc>
      </w:tr>
      <w:tr w:rsidR="00264361" w:rsidRPr="00334073">
        <w:trPr>
          <w:trHeight w:val="300"/>
        </w:trPr>
        <w:tc>
          <w:tcPr>
            <w:tcW w:w="5142" w:type="dxa"/>
            <w:vMerge w:val="restart"/>
            <w:tcBorders>
              <w:left w:val="single" w:sz="4" w:space="0" w:color="auto"/>
              <w:right w:val="single" w:sz="4" w:space="0" w:color="auto"/>
            </w:tcBorders>
          </w:tcPr>
          <w:p w:rsidR="00264361" w:rsidRPr="00334073" w:rsidRDefault="00264361" w:rsidP="00E66B2F">
            <w:pPr>
              <w:pStyle w:val="BodyText"/>
              <w:numPr>
                <w:ilvl w:val="0"/>
                <w:numId w:val="6"/>
              </w:numPr>
              <w:spacing w:before="60" w:after="60"/>
              <w:jc w:val="both"/>
              <w:rPr>
                <w:rFonts w:ascii="Times New Roman" w:hAnsi="Times New Roman"/>
                <w:bCs/>
                <w:iCs/>
                <w:snapToGrid w:val="0"/>
                <w:lang w:val="fr-FR"/>
              </w:rPr>
            </w:pPr>
            <w:r w:rsidRPr="00334073">
              <w:rPr>
                <w:rFonts w:ascii="Times New Roman" w:hAnsi="Times New Roman"/>
                <w:bCs/>
                <w:iCs/>
                <w:snapToGrid w:val="0"/>
                <w:lang w:val="fr-FR"/>
              </w:rPr>
              <w:t>Intitulé du programme:</w:t>
            </w:r>
            <w:r w:rsidR="00E66B2F">
              <w:rPr>
                <w:rFonts w:ascii="Times New Roman" w:hAnsi="Times New Roman"/>
                <w:bCs/>
                <w:iCs/>
                <w:snapToGrid w:val="0"/>
                <w:lang w:val="fr-FR"/>
              </w:rPr>
              <w:t xml:space="preserve"> </w:t>
            </w:r>
            <w:r w:rsidR="002E1FAB">
              <w:rPr>
                <w:rFonts w:ascii="Times New Roman" w:hAnsi="Times New Roman"/>
                <w:b/>
                <w:bCs/>
                <w:iCs/>
                <w:snapToGrid w:val="0"/>
                <w:lang w:val="fr-FR"/>
              </w:rPr>
              <w:t>Réintégration des jeunes associés aux forces armées et jeunes vulnérables. Phase II</w:t>
            </w:r>
          </w:p>
          <w:p w:rsidR="00264361" w:rsidRPr="00334073" w:rsidRDefault="00264361" w:rsidP="004D18B1">
            <w:pPr>
              <w:pStyle w:val="BodyText"/>
              <w:numPr>
                <w:ilvl w:val="0"/>
                <w:numId w:val="6"/>
              </w:numPr>
              <w:spacing w:before="60" w:after="60"/>
              <w:ind w:left="342"/>
              <w:jc w:val="both"/>
              <w:rPr>
                <w:rFonts w:ascii="Times New Roman" w:hAnsi="Times New Roman" w:cs="Times New Roman"/>
                <w:bCs/>
                <w:i/>
                <w:iCs/>
                <w:snapToGrid w:val="0"/>
                <w:lang w:val="fr-FR"/>
              </w:rPr>
            </w:pPr>
            <w:r w:rsidRPr="00334073">
              <w:rPr>
                <w:rFonts w:ascii="Times New Roman" w:hAnsi="Times New Roman"/>
                <w:bCs/>
                <w:iCs/>
                <w:snapToGrid w:val="0"/>
                <w:lang w:val="fr-FR"/>
              </w:rPr>
              <w:t>Numéro du programme (</w:t>
            </w:r>
            <w:r w:rsidRPr="00334073">
              <w:rPr>
                <w:rFonts w:ascii="Times New Roman" w:hAnsi="Times New Roman"/>
                <w:bCs/>
                <w:i/>
                <w:iCs/>
                <w:snapToGrid w:val="0"/>
                <w:lang w:val="fr-FR"/>
              </w:rPr>
              <w:t>le cas échéant):</w:t>
            </w:r>
            <w:r w:rsidRPr="00334073">
              <w:rPr>
                <w:rFonts w:ascii="Times New Roman" w:hAnsi="Times New Roman" w:cs="Times New Roman"/>
                <w:bCs/>
                <w:i/>
                <w:iCs/>
                <w:snapToGrid w:val="0"/>
                <w:lang w:val="fr-FR"/>
              </w:rPr>
              <w:t xml:space="preserve"> </w:t>
            </w:r>
            <w:r w:rsidR="002E1FAB" w:rsidRPr="002E1FAB">
              <w:rPr>
                <w:rFonts w:ascii="Times New Roman" w:hAnsi="Times New Roman" w:cs="Times New Roman"/>
                <w:bCs/>
                <w:iCs/>
                <w:snapToGrid w:val="0"/>
                <w:lang w:val="fr-FR"/>
              </w:rPr>
              <w:t>PBF/GIN/D-3&amp;PBC</w:t>
            </w:r>
            <w:r w:rsidR="002E1FAB">
              <w:rPr>
                <w:rFonts w:ascii="Times New Roman" w:hAnsi="Times New Roman" w:cs="Times New Roman"/>
                <w:bCs/>
                <w:i/>
                <w:iCs/>
                <w:snapToGrid w:val="0"/>
                <w:lang w:val="fr-FR"/>
              </w:rPr>
              <w:t xml:space="preserve"> </w:t>
            </w:r>
          </w:p>
          <w:p w:rsidR="00426461" w:rsidRPr="00334073" w:rsidRDefault="00264361" w:rsidP="002E1FAB">
            <w:pPr>
              <w:pStyle w:val="BodyText"/>
              <w:numPr>
                <w:ilvl w:val="0"/>
                <w:numId w:val="6"/>
              </w:numPr>
              <w:spacing w:before="60" w:after="60"/>
              <w:ind w:left="342"/>
              <w:jc w:val="both"/>
              <w:rPr>
                <w:rFonts w:ascii="Times New Roman" w:hAnsi="Times New Roman"/>
                <w:i/>
                <w:lang w:val="fr-FR"/>
              </w:rPr>
            </w:pPr>
            <w:r w:rsidRPr="00334073">
              <w:rPr>
                <w:rFonts w:ascii="Times New Roman" w:hAnsi="Times New Roman"/>
                <w:bCs/>
                <w:iCs/>
                <w:snapToGrid w:val="0"/>
                <w:lang w:val="fr-FR"/>
              </w:rPr>
              <w:t xml:space="preserve">Numéro de référence du projet au MPTF (Bureau des Fonds d’affectation spéciale </w:t>
            </w:r>
            <w:proofErr w:type="spellStart"/>
            <w:r w:rsidRPr="00334073">
              <w:rPr>
                <w:rFonts w:ascii="Times New Roman" w:hAnsi="Times New Roman"/>
                <w:bCs/>
                <w:iCs/>
                <w:snapToGrid w:val="0"/>
                <w:lang w:val="fr-FR"/>
              </w:rPr>
              <w:t>pluripartenaires</w:t>
            </w:r>
            <w:proofErr w:type="spellEnd"/>
            <w:r w:rsidRPr="00334073">
              <w:rPr>
                <w:rFonts w:ascii="Times New Roman" w:hAnsi="Times New Roman"/>
                <w:bCs/>
                <w:iCs/>
                <w:snapToGrid w:val="0"/>
                <w:lang w:val="fr-FR"/>
              </w:rPr>
              <w:t>):</w:t>
            </w:r>
            <w:r w:rsidRPr="00334073">
              <w:rPr>
                <w:rStyle w:val="FootnoteReference"/>
                <w:rFonts w:ascii="Times New Roman" w:hAnsi="Times New Roman" w:cs="Arial"/>
                <w:bCs/>
                <w:iCs/>
                <w:snapToGrid w:val="0"/>
                <w:lang w:val="fr-FR"/>
              </w:rPr>
              <w:footnoteReference w:id="3"/>
            </w:r>
            <w:r w:rsidR="002E1FAB">
              <w:rPr>
                <w:rFonts w:ascii="Times New Roman" w:hAnsi="Times New Roman"/>
                <w:i/>
                <w:lang w:val="fr-FR"/>
              </w:rPr>
              <w:t xml:space="preserve"> </w:t>
            </w:r>
            <w:r w:rsidR="00B15707">
              <w:rPr>
                <w:rFonts w:ascii="Times New Roman" w:hAnsi="Times New Roman"/>
                <w:i/>
                <w:lang w:val="fr-FR"/>
              </w:rPr>
              <w:t>00</w:t>
            </w:r>
            <w:r w:rsidR="002E1FAB" w:rsidRPr="002E1FAB">
              <w:rPr>
                <w:rFonts w:ascii="Times New Roman" w:hAnsi="Times New Roman" w:cs="Times New Roman"/>
                <w:b/>
                <w:bCs/>
                <w:i/>
                <w:iCs/>
                <w:snapToGrid w:val="0"/>
                <w:lang w:val="fr-FR"/>
              </w:rPr>
              <w:t>87116</w:t>
            </w:r>
          </w:p>
        </w:tc>
        <w:tc>
          <w:tcPr>
            <w:tcW w:w="258" w:type="dxa"/>
            <w:vMerge/>
            <w:tcBorders>
              <w:left w:val="single" w:sz="4" w:space="0" w:color="auto"/>
              <w:right w:val="single" w:sz="4" w:space="0" w:color="auto"/>
            </w:tcBorders>
          </w:tcPr>
          <w:p w:rsidR="00264361" w:rsidRPr="00334073" w:rsidRDefault="00264361" w:rsidP="00595EB4">
            <w:pPr>
              <w:pStyle w:val="BodyText"/>
              <w:rPr>
                <w:rFonts w:ascii="Times New Roman" w:hAnsi="Times New Roman"/>
                <w:lang w:val="fr-FR"/>
              </w:rPr>
            </w:pPr>
          </w:p>
        </w:tc>
        <w:tc>
          <w:tcPr>
            <w:tcW w:w="4986" w:type="dxa"/>
            <w:tcBorders>
              <w:left w:val="single" w:sz="4" w:space="0" w:color="auto"/>
              <w:bottom w:val="single" w:sz="4" w:space="0" w:color="auto"/>
              <w:right w:val="single" w:sz="4" w:space="0" w:color="auto"/>
            </w:tcBorders>
          </w:tcPr>
          <w:p w:rsidR="00264361" w:rsidRPr="00334073" w:rsidRDefault="00264361" w:rsidP="00595EB4">
            <w:pPr>
              <w:pStyle w:val="BodyText"/>
              <w:rPr>
                <w:rFonts w:ascii="Times New Roman" w:hAnsi="Times New Roman"/>
                <w:bCs/>
                <w:i/>
                <w:iCs/>
                <w:snapToGrid w:val="0"/>
                <w:lang w:val="fr-FR"/>
              </w:rPr>
            </w:pPr>
            <w:r w:rsidRPr="00334073">
              <w:rPr>
                <w:rFonts w:ascii="Times New Roman" w:hAnsi="Times New Roman"/>
                <w:bCs/>
                <w:i/>
                <w:iCs/>
                <w:snapToGrid w:val="0"/>
                <w:lang w:val="fr-FR"/>
              </w:rPr>
              <w:t>(le cas échéant)</w:t>
            </w:r>
          </w:p>
          <w:p w:rsidR="00264361" w:rsidRPr="00E66B2F" w:rsidRDefault="00264361" w:rsidP="00595EB4">
            <w:pPr>
              <w:pStyle w:val="BodyText"/>
              <w:rPr>
                <w:rFonts w:ascii="Times New Roman" w:hAnsi="Times New Roman"/>
                <w:b/>
                <w:bCs/>
                <w:i/>
                <w:iCs/>
                <w:snapToGrid w:val="0"/>
                <w:lang w:val="fr-FR"/>
              </w:rPr>
            </w:pPr>
            <w:r w:rsidRPr="00334073">
              <w:rPr>
                <w:rFonts w:ascii="Times New Roman" w:hAnsi="Times New Roman"/>
                <w:bCs/>
                <w:i/>
                <w:iCs/>
                <w:snapToGrid w:val="0"/>
                <w:lang w:val="fr-FR"/>
              </w:rPr>
              <w:t>Pays/Région</w:t>
            </w:r>
            <w:r w:rsidR="00E66B2F">
              <w:rPr>
                <w:rFonts w:ascii="Times New Roman" w:hAnsi="Times New Roman"/>
                <w:bCs/>
                <w:i/>
                <w:iCs/>
                <w:snapToGrid w:val="0"/>
                <w:lang w:val="fr-FR"/>
              </w:rPr>
              <w:t xml:space="preserve">. </w:t>
            </w:r>
            <w:r w:rsidR="00E66B2F" w:rsidRPr="00E66B2F">
              <w:rPr>
                <w:rFonts w:ascii="Times New Roman" w:hAnsi="Times New Roman" w:cs="Times New Roman"/>
                <w:b/>
                <w:bCs/>
                <w:i/>
                <w:iCs/>
                <w:snapToGrid w:val="0"/>
                <w:sz w:val="24"/>
                <w:szCs w:val="24"/>
                <w:lang w:val="fr-FR" w:eastAsia="fr-FR"/>
              </w:rPr>
              <w:t>République de Guinée / Conakry</w:t>
            </w:r>
          </w:p>
          <w:p w:rsidR="00264361" w:rsidRPr="00334073" w:rsidRDefault="00264361" w:rsidP="00595EB4">
            <w:pPr>
              <w:pStyle w:val="BodyText"/>
              <w:rPr>
                <w:rFonts w:ascii="Times New Roman" w:hAnsi="Times New Roman"/>
                <w:lang w:val="fr-FR"/>
              </w:rPr>
            </w:pPr>
          </w:p>
        </w:tc>
      </w:tr>
      <w:tr w:rsidR="00264361" w:rsidRPr="00334073">
        <w:trPr>
          <w:trHeight w:val="426"/>
        </w:trPr>
        <w:tc>
          <w:tcPr>
            <w:tcW w:w="5142" w:type="dxa"/>
            <w:vMerge/>
            <w:tcBorders>
              <w:left w:val="single" w:sz="4" w:space="0" w:color="auto"/>
              <w:bottom w:val="single" w:sz="4" w:space="0" w:color="auto"/>
              <w:right w:val="single" w:sz="4" w:space="0" w:color="auto"/>
            </w:tcBorders>
          </w:tcPr>
          <w:p w:rsidR="00264361" w:rsidRPr="00334073" w:rsidRDefault="00264361" w:rsidP="004D18B1">
            <w:pPr>
              <w:pStyle w:val="BodyText"/>
              <w:numPr>
                <w:ilvl w:val="0"/>
                <w:numId w:val="6"/>
              </w:numPr>
              <w:spacing w:before="60" w:after="60"/>
              <w:ind w:left="342"/>
              <w:jc w:val="both"/>
              <w:rPr>
                <w:rFonts w:ascii="Times New Roman" w:hAnsi="Times New Roman"/>
                <w:bCs/>
                <w:iCs/>
                <w:snapToGrid w:val="0"/>
                <w:lang w:val="fr-FR"/>
              </w:rPr>
            </w:pPr>
          </w:p>
        </w:tc>
        <w:tc>
          <w:tcPr>
            <w:tcW w:w="258" w:type="dxa"/>
            <w:vMerge/>
            <w:tcBorders>
              <w:left w:val="single" w:sz="4" w:space="0" w:color="auto"/>
              <w:right w:val="single" w:sz="4" w:space="0" w:color="auto"/>
            </w:tcBorders>
          </w:tcPr>
          <w:p w:rsidR="00264361" w:rsidRPr="00334073" w:rsidRDefault="00264361" w:rsidP="00595EB4">
            <w:pPr>
              <w:pStyle w:val="BodyText"/>
              <w:rPr>
                <w:rFonts w:ascii="Times New Roman" w:hAnsi="Times New Roman"/>
                <w:lang w:val="fr-FR"/>
              </w:rPr>
            </w:pPr>
          </w:p>
        </w:tc>
        <w:tc>
          <w:tcPr>
            <w:tcW w:w="4986" w:type="dxa"/>
            <w:tcBorders>
              <w:top w:val="single" w:sz="4" w:space="0" w:color="auto"/>
              <w:left w:val="single" w:sz="4" w:space="0" w:color="auto"/>
              <w:bottom w:val="single" w:sz="4" w:space="0" w:color="auto"/>
              <w:right w:val="single" w:sz="4" w:space="0" w:color="auto"/>
            </w:tcBorders>
          </w:tcPr>
          <w:p w:rsidR="00264361" w:rsidRDefault="00264361" w:rsidP="00595EB4">
            <w:pPr>
              <w:pStyle w:val="BodyText"/>
              <w:rPr>
                <w:rFonts w:ascii="Times New Roman" w:hAnsi="Times New Roman"/>
                <w:bCs/>
                <w:i/>
                <w:iCs/>
                <w:snapToGrid w:val="0"/>
                <w:lang w:val="fr-FR"/>
              </w:rPr>
            </w:pPr>
            <w:r w:rsidRPr="00334073">
              <w:rPr>
                <w:rFonts w:ascii="Times New Roman" w:hAnsi="Times New Roman"/>
                <w:bCs/>
                <w:i/>
                <w:iCs/>
                <w:snapToGrid w:val="0"/>
                <w:lang w:val="fr-FR"/>
              </w:rPr>
              <w:t xml:space="preserve">Domaine prioritaire/ résultats stratégiques </w:t>
            </w:r>
          </w:p>
          <w:p w:rsidR="00E66B2F" w:rsidRPr="00E66B2F" w:rsidRDefault="00E66B2F" w:rsidP="00645DEF">
            <w:pPr>
              <w:pStyle w:val="BodyText"/>
              <w:rPr>
                <w:rFonts w:ascii="Times New Roman" w:hAnsi="Times New Roman"/>
                <w:b/>
                <w:bCs/>
                <w:iCs/>
                <w:snapToGrid w:val="0"/>
                <w:lang w:val="fr-FR"/>
              </w:rPr>
            </w:pPr>
            <w:r w:rsidRPr="00E66B2F">
              <w:rPr>
                <w:rFonts w:ascii="Times New Roman" w:hAnsi="Times New Roman"/>
                <w:b/>
                <w:bCs/>
                <w:iCs/>
                <w:snapToGrid w:val="0"/>
                <w:lang w:val="fr-FR"/>
              </w:rPr>
              <w:t xml:space="preserve">Domaine </w:t>
            </w:r>
            <w:r w:rsidR="00645DEF">
              <w:rPr>
                <w:rFonts w:ascii="Times New Roman" w:hAnsi="Times New Roman"/>
                <w:b/>
                <w:bCs/>
                <w:iCs/>
                <w:snapToGrid w:val="0"/>
                <w:lang w:val="fr-FR"/>
              </w:rPr>
              <w:t>3 du Plan P</w:t>
            </w:r>
            <w:r w:rsidR="007320CA">
              <w:rPr>
                <w:rFonts w:ascii="Times New Roman" w:hAnsi="Times New Roman"/>
                <w:b/>
                <w:bCs/>
                <w:iCs/>
                <w:snapToGrid w:val="0"/>
                <w:lang w:val="fr-FR"/>
              </w:rPr>
              <w:t xml:space="preserve">rioritaire </w:t>
            </w:r>
            <w:r w:rsidR="00645DEF">
              <w:rPr>
                <w:rFonts w:ascii="Times New Roman" w:hAnsi="Times New Roman"/>
                <w:b/>
                <w:bCs/>
                <w:iCs/>
                <w:snapToGrid w:val="0"/>
                <w:lang w:val="fr-FR"/>
              </w:rPr>
              <w:t>pour la</w:t>
            </w:r>
            <w:r w:rsidRPr="00E66B2F">
              <w:rPr>
                <w:rFonts w:ascii="Times New Roman" w:hAnsi="Times New Roman"/>
                <w:b/>
                <w:bCs/>
                <w:iCs/>
                <w:snapToGrid w:val="0"/>
                <w:lang w:val="fr-FR"/>
              </w:rPr>
              <w:t xml:space="preserve"> cons</w:t>
            </w:r>
            <w:r w:rsidR="00645DEF">
              <w:rPr>
                <w:rFonts w:ascii="Times New Roman" w:hAnsi="Times New Roman"/>
                <w:b/>
                <w:bCs/>
                <w:iCs/>
                <w:snapToGrid w:val="0"/>
                <w:lang w:val="fr-FR"/>
              </w:rPr>
              <w:t>olidation de la paix (PPCP). Emploi Jeunes et Femmes en Guinée</w:t>
            </w:r>
          </w:p>
        </w:tc>
      </w:tr>
    </w:tbl>
    <w:p w:rsidR="00264361" w:rsidRPr="00334073" w:rsidRDefault="00264361" w:rsidP="004D18B1">
      <w:pPr>
        <w:jc w:val="center"/>
        <w:rPr>
          <w:b/>
          <w:bCs/>
          <w:caps/>
          <w:sz w:val="18"/>
          <w:szCs w:val="18"/>
        </w:rPr>
      </w:pPr>
    </w:p>
    <w:tbl>
      <w:tblPr>
        <w:tblW w:w="10386" w:type="dxa"/>
        <w:tblInd w:w="-72" w:type="dxa"/>
        <w:tblLayout w:type="fixed"/>
        <w:tblLook w:val="01E0" w:firstRow="1" w:lastRow="1" w:firstColumn="1" w:lastColumn="1" w:noHBand="0" w:noVBand="0"/>
      </w:tblPr>
      <w:tblGrid>
        <w:gridCol w:w="5142"/>
        <w:gridCol w:w="258"/>
        <w:gridCol w:w="4986"/>
      </w:tblGrid>
      <w:tr w:rsidR="00264361" w:rsidRPr="00334073">
        <w:trPr>
          <w:trHeight w:val="206"/>
        </w:trPr>
        <w:tc>
          <w:tcPr>
            <w:tcW w:w="5142" w:type="dxa"/>
            <w:tcBorders>
              <w:top w:val="single" w:sz="4" w:space="0" w:color="auto"/>
              <w:left w:val="single" w:sz="4" w:space="0" w:color="auto"/>
              <w:right w:val="single" w:sz="4" w:space="0" w:color="auto"/>
            </w:tcBorders>
            <w:shd w:val="clear" w:color="auto" w:fill="F3F3F3"/>
            <w:vAlign w:val="center"/>
          </w:tcPr>
          <w:p w:rsidR="00264361" w:rsidRPr="00334073" w:rsidRDefault="00264361" w:rsidP="00595EB4">
            <w:pPr>
              <w:pStyle w:val="H1"/>
              <w:jc w:val="center"/>
              <w:rPr>
                <w:rFonts w:cs="Times New Roman"/>
                <w:sz w:val="22"/>
                <w:szCs w:val="22"/>
                <w:lang w:val="fr-FR"/>
              </w:rPr>
            </w:pPr>
            <w:r w:rsidRPr="00334073">
              <w:rPr>
                <w:rFonts w:cs="Times New Roman"/>
                <w:sz w:val="22"/>
                <w:szCs w:val="22"/>
                <w:lang w:val="fr-FR"/>
              </w:rPr>
              <w:t>Organisation(s) participante(s)</w:t>
            </w:r>
          </w:p>
        </w:tc>
        <w:tc>
          <w:tcPr>
            <w:tcW w:w="258" w:type="dxa"/>
            <w:vMerge w:val="restart"/>
            <w:tcBorders>
              <w:left w:val="single" w:sz="4" w:space="0" w:color="auto"/>
              <w:right w:val="single" w:sz="4" w:space="0" w:color="auto"/>
            </w:tcBorders>
            <w:vAlign w:val="center"/>
          </w:tcPr>
          <w:p w:rsidR="00264361" w:rsidRPr="00334073" w:rsidRDefault="00264361" w:rsidP="00595EB4">
            <w:pPr>
              <w:jc w:val="center"/>
            </w:pPr>
          </w:p>
        </w:tc>
        <w:tc>
          <w:tcPr>
            <w:tcW w:w="4986" w:type="dxa"/>
            <w:tcBorders>
              <w:top w:val="single" w:sz="4" w:space="0" w:color="auto"/>
              <w:left w:val="single" w:sz="4" w:space="0" w:color="auto"/>
              <w:right w:val="single" w:sz="4" w:space="0" w:color="auto"/>
            </w:tcBorders>
            <w:shd w:val="clear" w:color="auto" w:fill="F3F3F3"/>
            <w:vAlign w:val="center"/>
          </w:tcPr>
          <w:p w:rsidR="00264361" w:rsidRPr="00334073" w:rsidRDefault="00264361" w:rsidP="00595EB4">
            <w:pPr>
              <w:pStyle w:val="H1"/>
              <w:jc w:val="center"/>
              <w:rPr>
                <w:rFonts w:cs="Times New Roman"/>
                <w:sz w:val="22"/>
                <w:szCs w:val="22"/>
                <w:lang w:val="fr-FR"/>
              </w:rPr>
            </w:pPr>
            <w:r w:rsidRPr="00334073">
              <w:rPr>
                <w:rFonts w:cs="Times New Roman"/>
                <w:sz w:val="22"/>
                <w:szCs w:val="22"/>
                <w:lang w:val="fr-FR"/>
              </w:rPr>
              <w:t>Partenaires d’exécution</w:t>
            </w:r>
          </w:p>
        </w:tc>
      </w:tr>
      <w:tr w:rsidR="00264361" w:rsidRPr="00334073">
        <w:trPr>
          <w:trHeight w:val="495"/>
        </w:trPr>
        <w:tc>
          <w:tcPr>
            <w:tcW w:w="5142" w:type="dxa"/>
            <w:tcBorders>
              <w:left w:val="single" w:sz="4" w:space="0" w:color="auto"/>
              <w:bottom w:val="single" w:sz="4" w:space="0" w:color="auto"/>
              <w:right w:val="single" w:sz="4" w:space="0" w:color="auto"/>
            </w:tcBorders>
          </w:tcPr>
          <w:p w:rsidR="00264361" w:rsidRPr="00426461" w:rsidRDefault="00264361" w:rsidP="00645DEF">
            <w:pPr>
              <w:pStyle w:val="BodyText"/>
              <w:rPr>
                <w:rFonts w:ascii="Times New Roman" w:hAnsi="Times New Roman"/>
                <w:i/>
                <w:sz w:val="24"/>
                <w:lang w:val="fr-FR"/>
              </w:rPr>
            </w:pPr>
            <w:r w:rsidRPr="00334073">
              <w:rPr>
                <w:rFonts w:ascii="Times New Roman" w:hAnsi="Times New Roman"/>
                <w:lang w:val="fr-FR"/>
              </w:rPr>
              <w:t>Organisations ayant perçu directement des fonds de la part du MPTF, dans le cadre de ce programme</w:t>
            </w:r>
            <w:r w:rsidR="00E66B2F">
              <w:rPr>
                <w:rFonts w:ascii="Times New Roman" w:hAnsi="Times New Roman"/>
                <w:lang w:val="fr-FR"/>
              </w:rPr>
              <w:t xml:space="preserve"> </w:t>
            </w:r>
          </w:p>
          <w:p w:rsidR="00426461" w:rsidRPr="00426461" w:rsidRDefault="00426461" w:rsidP="00426461">
            <w:pPr>
              <w:pStyle w:val="BodyText"/>
              <w:numPr>
                <w:ilvl w:val="0"/>
                <w:numId w:val="11"/>
              </w:numPr>
              <w:rPr>
                <w:rFonts w:ascii="Times New Roman" w:hAnsi="Times New Roman"/>
                <w:i/>
                <w:sz w:val="24"/>
                <w:lang w:val="fr-FR"/>
              </w:rPr>
            </w:pPr>
            <w:r w:rsidRPr="00426461">
              <w:rPr>
                <w:rFonts w:ascii="Times New Roman" w:hAnsi="Times New Roman"/>
                <w:i/>
                <w:sz w:val="24"/>
                <w:lang w:val="fr-FR"/>
              </w:rPr>
              <w:t>UNICEF</w:t>
            </w:r>
          </w:p>
          <w:p w:rsidR="00426461" w:rsidRPr="00334073" w:rsidRDefault="00426461" w:rsidP="00645DEF">
            <w:pPr>
              <w:pStyle w:val="BodyText"/>
              <w:ind w:left="720"/>
              <w:rPr>
                <w:rFonts w:ascii="Times New Roman" w:hAnsi="Times New Roman"/>
                <w:i/>
                <w:sz w:val="24"/>
                <w:lang w:val="fr-FR"/>
              </w:rPr>
            </w:pPr>
          </w:p>
        </w:tc>
        <w:tc>
          <w:tcPr>
            <w:tcW w:w="258" w:type="dxa"/>
            <w:vMerge/>
            <w:tcBorders>
              <w:left w:val="single" w:sz="4" w:space="0" w:color="auto"/>
              <w:right w:val="single" w:sz="4" w:space="0" w:color="auto"/>
            </w:tcBorders>
          </w:tcPr>
          <w:p w:rsidR="00264361" w:rsidRPr="00334073" w:rsidRDefault="00264361" w:rsidP="00595EB4">
            <w:pPr>
              <w:pStyle w:val="BodyText"/>
              <w:rPr>
                <w:rFonts w:ascii="Times New Roman" w:hAnsi="Times New Roman"/>
                <w:lang w:val="fr-FR"/>
              </w:rPr>
            </w:pPr>
          </w:p>
        </w:tc>
        <w:tc>
          <w:tcPr>
            <w:tcW w:w="4986" w:type="dxa"/>
            <w:tcBorders>
              <w:left w:val="single" w:sz="4" w:space="0" w:color="auto"/>
              <w:bottom w:val="single" w:sz="4" w:space="0" w:color="auto"/>
              <w:right w:val="single" w:sz="4" w:space="0" w:color="auto"/>
            </w:tcBorders>
          </w:tcPr>
          <w:p w:rsidR="0086531F" w:rsidRPr="00F6133E" w:rsidRDefault="0086531F" w:rsidP="0086531F">
            <w:pPr>
              <w:numPr>
                <w:ilvl w:val="0"/>
                <w:numId w:val="40"/>
              </w:numPr>
              <w:rPr>
                <w:color w:val="000000"/>
              </w:rPr>
            </w:pPr>
            <w:r w:rsidRPr="00F6133E">
              <w:rPr>
                <w:color w:val="000000"/>
              </w:rPr>
              <w:t>Ministère de la Jeunesse et de l’Emploi des Jeunes</w:t>
            </w:r>
          </w:p>
          <w:p w:rsidR="0086531F" w:rsidRPr="0086531F" w:rsidRDefault="0086531F" w:rsidP="0086531F">
            <w:pPr>
              <w:numPr>
                <w:ilvl w:val="0"/>
                <w:numId w:val="40"/>
              </w:numPr>
              <w:rPr>
                <w:color w:val="000000"/>
              </w:rPr>
            </w:pPr>
            <w:r w:rsidRPr="00F6133E">
              <w:rPr>
                <w:bCs/>
              </w:rPr>
              <w:t>Ministère de l’Emploi, de l’Enseignement Technique et de la Formation Professionnelle</w:t>
            </w:r>
          </w:p>
          <w:p w:rsidR="0086531F" w:rsidRPr="0086531F" w:rsidRDefault="0086531F" w:rsidP="0086531F">
            <w:pPr>
              <w:numPr>
                <w:ilvl w:val="0"/>
                <w:numId w:val="40"/>
              </w:numPr>
              <w:rPr>
                <w:color w:val="000000"/>
              </w:rPr>
            </w:pPr>
            <w:proofErr w:type="spellStart"/>
            <w:r>
              <w:rPr>
                <w:bCs/>
              </w:rPr>
              <w:t>Danish</w:t>
            </w:r>
            <w:proofErr w:type="spellEnd"/>
            <w:r>
              <w:rPr>
                <w:bCs/>
              </w:rPr>
              <w:t xml:space="preserve"> </w:t>
            </w:r>
            <w:proofErr w:type="spellStart"/>
            <w:r>
              <w:rPr>
                <w:bCs/>
              </w:rPr>
              <w:t>Refugee</w:t>
            </w:r>
            <w:proofErr w:type="spellEnd"/>
            <w:r>
              <w:rPr>
                <w:bCs/>
              </w:rPr>
              <w:t xml:space="preserve"> Council (DRC)</w:t>
            </w:r>
          </w:p>
          <w:p w:rsidR="0086531F" w:rsidRPr="0086531F" w:rsidRDefault="0086531F" w:rsidP="0086531F">
            <w:pPr>
              <w:numPr>
                <w:ilvl w:val="0"/>
                <w:numId w:val="40"/>
              </w:numPr>
              <w:rPr>
                <w:color w:val="000000"/>
              </w:rPr>
            </w:pPr>
            <w:r>
              <w:rPr>
                <w:bCs/>
              </w:rPr>
              <w:t>Monde des Enfants</w:t>
            </w:r>
          </w:p>
          <w:p w:rsidR="00426461" w:rsidRPr="00334073" w:rsidRDefault="0086531F" w:rsidP="0086531F">
            <w:pPr>
              <w:numPr>
                <w:ilvl w:val="0"/>
                <w:numId w:val="40"/>
              </w:numPr>
              <w:rPr>
                <w:bCs/>
                <w:iCs/>
                <w:snapToGrid w:val="0"/>
                <w:color w:val="000000"/>
                <w:szCs w:val="28"/>
              </w:rPr>
            </w:pPr>
            <w:r>
              <w:rPr>
                <w:bCs/>
              </w:rPr>
              <w:t>Enfants du Globe</w:t>
            </w:r>
            <w:r w:rsidR="00426461">
              <w:rPr>
                <w:bCs/>
                <w:iCs/>
                <w:snapToGrid w:val="0"/>
                <w:color w:val="000000"/>
                <w:szCs w:val="28"/>
              </w:rPr>
              <w:t xml:space="preserve"> </w:t>
            </w:r>
          </w:p>
        </w:tc>
      </w:tr>
    </w:tbl>
    <w:p w:rsidR="00264361" w:rsidRPr="00334073" w:rsidRDefault="00264361" w:rsidP="004D18B1">
      <w:pPr>
        <w:jc w:val="center"/>
        <w:rPr>
          <w:b/>
          <w:bCs/>
          <w:caps/>
          <w:sz w:val="18"/>
          <w:szCs w:val="18"/>
        </w:rPr>
      </w:pP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6"/>
        <w:gridCol w:w="1956"/>
        <w:gridCol w:w="258"/>
        <w:gridCol w:w="3314"/>
        <w:gridCol w:w="1672"/>
      </w:tblGrid>
      <w:tr w:rsidR="00264361" w:rsidRPr="00334073">
        <w:trPr>
          <w:trHeight w:val="440"/>
        </w:trPr>
        <w:tc>
          <w:tcPr>
            <w:tcW w:w="5142" w:type="dxa"/>
            <w:gridSpan w:val="2"/>
            <w:tcBorders>
              <w:bottom w:val="nil"/>
            </w:tcBorders>
            <w:shd w:val="clear" w:color="auto" w:fill="F2F2F2"/>
            <w:vAlign w:val="center"/>
          </w:tcPr>
          <w:p w:rsidR="00264361" w:rsidRPr="00334073" w:rsidRDefault="00264361" w:rsidP="00AD6103">
            <w:pPr>
              <w:pStyle w:val="H1"/>
              <w:jc w:val="center"/>
              <w:rPr>
                <w:rFonts w:cs="Times New Roman"/>
                <w:sz w:val="22"/>
                <w:szCs w:val="22"/>
                <w:lang w:val="fr-FR"/>
              </w:rPr>
            </w:pPr>
            <w:r w:rsidRPr="00334073">
              <w:rPr>
                <w:rFonts w:cs="Times New Roman"/>
                <w:sz w:val="22"/>
                <w:szCs w:val="22"/>
                <w:lang w:val="fr-FR"/>
              </w:rPr>
              <w:t>Coût du programme/du projet (en dollars)</w:t>
            </w:r>
          </w:p>
        </w:tc>
        <w:tc>
          <w:tcPr>
            <w:tcW w:w="258" w:type="dxa"/>
            <w:tcBorders>
              <w:top w:val="nil"/>
              <w:bottom w:val="nil"/>
            </w:tcBorders>
            <w:vAlign w:val="center"/>
          </w:tcPr>
          <w:p w:rsidR="00264361" w:rsidRPr="00334073" w:rsidRDefault="00264361" w:rsidP="00595EB4">
            <w:pPr>
              <w:pStyle w:val="H1"/>
              <w:jc w:val="center"/>
              <w:rPr>
                <w:rFonts w:cs="Times New Roman"/>
                <w:sz w:val="22"/>
                <w:szCs w:val="22"/>
                <w:lang w:val="fr-FR"/>
              </w:rPr>
            </w:pPr>
          </w:p>
        </w:tc>
        <w:tc>
          <w:tcPr>
            <w:tcW w:w="4986" w:type="dxa"/>
            <w:gridSpan w:val="2"/>
            <w:tcBorders>
              <w:bottom w:val="nil"/>
            </w:tcBorders>
            <w:shd w:val="clear" w:color="auto" w:fill="F2F2F2"/>
            <w:vAlign w:val="center"/>
          </w:tcPr>
          <w:p w:rsidR="00E66B2F" w:rsidRDefault="00E66B2F" w:rsidP="00AD6103">
            <w:pPr>
              <w:pStyle w:val="H1"/>
              <w:jc w:val="center"/>
              <w:rPr>
                <w:rFonts w:cs="Times New Roman"/>
                <w:sz w:val="22"/>
                <w:szCs w:val="22"/>
                <w:lang w:val="fr-FR"/>
              </w:rPr>
            </w:pPr>
          </w:p>
          <w:p w:rsidR="00264361" w:rsidRPr="00334073" w:rsidRDefault="00264361" w:rsidP="00AD6103">
            <w:pPr>
              <w:pStyle w:val="H1"/>
              <w:jc w:val="center"/>
              <w:rPr>
                <w:rFonts w:cs="Times New Roman"/>
                <w:sz w:val="22"/>
                <w:szCs w:val="22"/>
                <w:lang w:val="fr-FR"/>
              </w:rPr>
            </w:pPr>
            <w:r w:rsidRPr="00334073">
              <w:rPr>
                <w:rFonts w:cs="Times New Roman"/>
                <w:sz w:val="22"/>
                <w:szCs w:val="22"/>
                <w:lang w:val="fr-FR"/>
              </w:rPr>
              <w:t>Durée du programme</w:t>
            </w:r>
          </w:p>
        </w:tc>
      </w:tr>
      <w:tr w:rsidR="00264361" w:rsidRPr="00334073" w:rsidTr="00A352D9">
        <w:trPr>
          <w:trHeight w:val="636"/>
        </w:trPr>
        <w:tc>
          <w:tcPr>
            <w:tcW w:w="3186" w:type="dxa"/>
            <w:tcBorders>
              <w:top w:val="nil"/>
              <w:bottom w:val="nil"/>
              <w:right w:val="nil"/>
            </w:tcBorders>
            <w:vAlign w:val="center"/>
          </w:tcPr>
          <w:p w:rsidR="00264361" w:rsidRPr="00334073" w:rsidRDefault="00264361" w:rsidP="00595EB4">
            <w:pPr>
              <w:pStyle w:val="H2"/>
              <w:rPr>
                <w:rFonts w:cs="Times New Roman"/>
                <w:b w:val="0"/>
                <w:sz w:val="20"/>
                <w:szCs w:val="20"/>
                <w:lang w:val="fr-FR"/>
              </w:rPr>
            </w:pPr>
            <w:r w:rsidRPr="00334073">
              <w:rPr>
                <w:rFonts w:cs="Times New Roman"/>
                <w:b w:val="0"/>
                <w:sz w:val="20"/>
                <w:szCs w:val="20"/>
                <w:lang w:val="fr-FR"/>
              </w:rPr>
              <w:t xml:space="preserve">Contribution MPTF/JP (JP= Programme conjoint): </w:t>
            </w:r>
          </w:p>
          <w:p w:rsidR="00264361" w:rsidRPr="00334073" w:rsidRDefault="00264361" w:rsidP="004D18B1">
            <w:pPr>
              <w:pStyle w:val="H2"/>
              <w:numPr>
                <w:ilvl w:val="0"/>
                <w:numId w:val="9"/>
              </w:numPr>
              <w:ind w:left="162" w:hanging="180"/>
              <w:rPr>
                <w:rFonts w:cs="Times New Roman"/>
                <w:i/>
                <w:sz w:val="20"/>
                <w:szCs w:val="20"/>
                <w:lang w:val="fr-FR"/>
              </w:rPr>
            </w:pPr>
            <w:r w:rsidRPr="00334073">
              <w:rPr>
                <w:rFonts w:cs="Times New Roman"/>
                <w:b w:val="0"/>
                <w:i/>
                <w:sz w:val="20"/>
                <w:szCs w:val="20"/>
                <w:lang w:val="fr-FR"/>
              </w:rPr>
              <w:t>Par institution (le cas échéant)</w:t>
            </w:r>
          </w:p>
        </w:tc>
        <w:tc>
          <w:tcPr>
            <w:tcW w:w="1956" w:type="dxa"/>
            <w:tcBorders>
              <w:top w:val="nil"/>
              <w:left w:val="nil"/>
              <w:bottom w:val="nil"/>
            </w:tcBorders>
            <w:vAlign w:val="center"/>
          </w:tcPr>
          <w:p w:rsidR="00264361" w:rsidRPr="00334073" w:rsidRDefault="00264361" w:rsidP="00595EB4">
            <w:pPr>
              <w:pStyle w:val="BodyText"/>
              <w:rPr>
                <w:rFonts w:ascii="Times New Roman" w:hAnsi="Times New Roman"/>
                <w:color w:val="000000"/>
                <w:lang w:val="fr-FR"/>
              </w:rPr>
            </w:pPr>
          </w:p>
        </w:tc>
        <w:tc>
          <w:tcPr>
            <w:tcW w:w="258" w:type="dxa"/>
            <w:tcBorders>
              <w:top w:val="nil"/>
              <w:bottom w:val="nil"/>
            </w:tcBorders>
            <w:vAlign w:val="center"/>
          </w:tcPr>
          <w:p w:rsidR="00264361" w:rsidRPr="00334073" w:rsidRDefault="00264361" w:rsidP="00595EB4">
            <w:pPr>
              <w:pStyle w:val="BodyText"/>
              <w:rPr>
                <w:rFonts w:ascii="Times New Roman" w:hAnsi="Times New Roman"/>
                <w:lang w:val="fr-FR"/>
              </w:rPr>
            </w:pPr>
          </w:p>
        </w:tc>
        <w:tc>
          <w:tcPr>
            <w:tcW w:w="3314" w:type="dxa"/>
            <w:tcBorders>
              <w:top w:val="nil"/>
              <w:bottom w:val="nil"/>
              <w:right w:val="nil"/>
            </w:tcBorders>
            <w:vAlign w:val="center"/>
          </w:tcPr>
          <w:p w:rsidR="00264361" w:rsidRPr="00334073" w:rsidRDefault="00264361" w:rsidP="00F1030B">
            <w:pPr>
              <w:pStyle w:val="BodyText"/>
              <w:rPr>
                <w:rFonts w:ascii="Times New Roman" w:hAnsi="Times New Roman"/>
                <w:lang w:val="fr-FR"/>
              </w:rPr>
            </w:pPr>
            <w:r w:rsidRPr="00334073">
              <w:rPr>
                <w:rFonts w:ascii="Times New Roman" w:hAnsi="Times New Roman"/>
                <w:lang w:val="fr-FR"/>
              </w:rPr>
              <w:t>Durée totale (</w:t>
            </w:r>
            <w:r w:rsidRPr="00334073">
              <w:rPr>
                <w:rFonts w:ascii="Times New Roman" w:hAnsi="Times New Roman"/>
                <w:i/>
                <w:lang w:val="fr-FR"/>
              </w:rPr>
              <w:t>en mois)</w:t>
            </w:r>
            <w:r w:rsidR="00F1030B">
              <w:rPr>
                <w:rFonts w:ascii="Times New Roman" w:hAnsi="Times New Roman"/>
                <w:i/>
                <w:lang w:val="fr-FR"/>
              </w:rPr>
              <w:t> : 1</w:t>
            </w:r>
            <w:r w:rsidR="00F1030B" w:rsidRPr="00F1030B">
              <w:rPr>
                <w:rFonts w:ascii="Times New Roman" w:hAnsi="Times New Roman"/>
                <w:i/>
                <w:vertAlign w:val="superscript"/>
                <w:lang w:val="fr-FR"/>
              </w:rPr>
              <w:t>er</w:t>
            </w:r>
            <w:r w:rsidR="00F1030B">
              <w:rPr>
                <w:rFonts w:ascii="Times New Roman" w:hAnsi="Times New Roman"/>
                <w:i/>
                <w:lang w:val="fr-FR"/>
              </w:rPr>
              <w:t xml:space="preserve"> janvier </w:t>
            </w:r>
            <w:r w:rsidR="00503995">
              <w:rPr>
                <w:rFonts w:ascii="Times New Roman" w:hAnsi="Times New Roman"/>
                <w:i/>
                <w:lang w:val="fr-FR"/>
              </w:rPr>
              <w:t xml:space="preserve"> au 31 octobre 2013</w:t>
            </w:r>
          </w:p>
        </w:tc>
        <w:tc>
          <w:tcPr>
            <w:tcW w:w="1672" w:type="dxa"/>
            <w:tcBorders>
              <w:top w:val="nil"/>
              <w:left w:val="nil"/>
              <w:bottom w:val="nil"/>
            </w:tcBorders>
            <w:vAlign w:val="center"/>
          </w:tcPr>
          <w:p w:rsidR="00264361" w:rsidRPr="00334073" w:rsidRDefault="00264361" w:rsidP="00595EB4">
            <w:pPr>
              <w:pStyle w:val="BodyText"/>
              <w:widowControl w:val="0"/>
              <w:rPr>
                <w:rFonts w:ascii="Times New Roman" w:hAnsi="Times New Roman"/>
                <w:lang w:val="fr-FR"/>
              </w:rPr>
            </w:pPr>
          </w:p>
        </w:tc>
      </w:tr>
      <w:tr w:rsidR="00264361" w:rsidRPr="00334073" w:rsidTr="00A352D9">
        <w:trPr>
          <w:trHeight w:val="350"/>
        </w:trPr>
        <w:tc>
          <w:tcPr>
            <w:tcW w:w="3186" w:type="dxa"/>
            <w:tcBorders>
              <w:top w:val="nil"/>
              <w:bottom w:val="nil"/>
              <w:right w:val="nil"/>
            </w:tcBorders>
            <w:vAlign w:val="center"/>
          </w:tcPr>
          <w:p w:rsidR="00264361" w:rsidRPr="00334073" w:rsidRDefault="00264361" w:rsidP="00595EB4">
            <w:pPr>
              <w:pStyle w:val="H2"/>
              <w:rPr>
                <w:rFonts w:cs="Times New Roman"/>
                <w:b w:val="0"/>
                <w:sz w:val="20"/>
                <w:szCs w:val="20"/>
                <w:lang w:val="fr-FR"/>
              </w:rPr>
            </w:pPr>
            <w:r w:rsidRPr="00334073">
              <w:rPr>
                <w:rFonts w:cs="Times New Roman"/>
                <w:b w:val="0"/>
                <w:sz w:val="20"/>
                <w:szCs w:val="20"/>
                <w:lang w:val="fr-FR"/>
              </w:rPr>
              <w:t>Contribution des institutions</w:t>
            </w:r>
          </w:p>
          <w:p w:rsidR="00264361" w:rsidRPr="00334073" w:rsidRDefault="00264361" w:rsidP="004D18B1">
            <w:pPr>
              <w:pStyle w:val="H2"/>
              <w:numPr>
                <w:ilvl w:val="0"/>
                <w:numId w:val="8"/>
              </w:numPr>
              <w:ind w:left="162" w:hanging="162"/>
              <w:rPr>
                <w:rFonts w:cs="Times New Roman"/>
                <w:sz w:val="20"/>
                <w:szCs w:val="20"/>
                <w:lang w:val="fr-FR"/>
              </w:rPr>
            </w:pPr>
            <w:r w:rsidRPr="00334073">
              <w:rPr>
                <w:rFonts w:cs="Times New Roman"/>
                <w:b w:val="0"/>
                <w:i/>
                <w:sz w:val="20"/>
                <w:szCs w:val="20"/>
                <w:lang w:val="fr-FR"/>
              </w:rPr>
              <w:t>Par institution (le cas échéant)</w:t>
            </w:r>
          </w:p>
        </w:tc>
        <w:tc>
          <w:tcPr>
            <w:tcW w:w="1956" w:type="dxa"/>
            <w:tcBorders>
              <w:top w:val="nil"/>
              <w:left w:val="nil"/>
              <w:bottom w:val="nil"/>
            </w:tcBorders>
            <w:vAlign w:val="center"/>
          </w:tcPr>
          <w:p w:rsidR="00264361" w:rsidRPr="00334073" w:rsidRDefault="00264361" w:rsidP="00595EB4">
            <w:pPr>
              <w:pStyle w:val="BodyText"/>
              <w:rPr>
                <w:rFonts w:ascii="Times New Roman" w:hAnsi="Times New Roman"/>
                <w:color w:val="000000"/>
                <w:lang w:val="fr-FR"/>
              </w:rPr>
            </w:pPr>
          </w:p>
        </w:tc>
        <w:tc>
          <w:tcPr>
            <w:tcW w:w="258" w:type="dxa"/>
            <w:tcBorders>
              <w:top w:val="nil"/>
              <w:bottom w:val="nil"/>
            </w:tcBorders>
            <w:vAlign w:val="center"/>
          </w:tcPr>
          <w:p w:rsidR="00264361" w:rsidRPr="00334073" w:rsidRDefault="00264361" w:rsidP="00595EB4">
            <w:pPr>
              <w:pStyle w:val="BodyText"/>
              <w:rPr>
                <w:rFonts w:ascii="Times New Roman" w:hAnsi="Times New Roman"/>
                <w:lang w:val="fr-FR"/>
              </w:rPr>
            </w:pPr>
          </w:p>
        </w:tc>
        <w:tc>
          <w:tcPr>
            <w:tcW w:w="3314" w:type="dxa"/>
            <w:tcBorders>
              <w:top w:val="nil"/>
              <w:bottom w:val="nil"/>
              <w:right w:val="nil"/>
            </w:tcBorders>
            <w:vAlign w:val="center"/>
          </w:tcPr>
          <w:p w:rsidR="00264361" w:rsidRPr="00334073" w:rsidRDefault="00264361" w:rsidP="00AD6103">
            <w:pPr>
              <w:pStyle w:val="BodyText"/>
              <w:rPr>
                <w:rFonts w:ascii="Times New Roman" w:hAnsi="Times New Roman"/>
                <w:lang w:val="fr-FR"/>
              </w:rPr>
            </w:pPr>
            <w:r w:rsidRPr="00334073">
              <w:rPr>
                <w:rFonts w:ascii="Times New Roman" w:hAnsi="Times New Roman"/>
                <w:lang w:val="fr-FR"/>
              </w:rPr>
              <w:t>Date de démarrage</w:t>
            </w:r>
            <w:r w:rsidRPr="00334073">
              <w:rPr>
                <w:rStyle w:val="FootnoteReference"/>
                <w:rFonts w:ascii="Times New Roman" w:hAnsi="Times New Roman" w:cs="Arial"/>
                <w:lang w:val="fr-FR"/>
              </w:rPr>
              <w:footnoteReference w:id="4"/>
            </w:r>
            <w:r w:rsidRPr="00334073">
              <w:rPr>
                <w:rFonts w:ascii="Times New Roman" w:hAnsi="Times New Roman"/>
                <w:lang w:val="fr-FR"/>
              </w:rPr>
              <w:t xml:space="preserve"> </w:t>
            </w:r>
            <w:r w:rsidRPr="00334073">
              <w:rPr>
                <w:rFonts w:ascii="Times New Roman" w:hAnsi="Times New Roman"/>
                <w:i/>
                <w:lang w:val="fr-FR"/>
              </w:rPr>
              <w:t>(jour/mois/année)</w:t>
            </w:r>
          </w:p>
        </w:tc>
        <w:tc>
          <w:tcPr>
            <w:tcW w:w="1672" w:type="dxa"/>
            <w:tcBorders>
              <w:top w:val="nil"/>
              <w:left w:val="nil"/>
              <w:bottom w:val="nil"/>
            </w:tcBorders>
            <w:vAlign w:val="center"/>
          </w:tcPr>
          <w:p w:rsidR="00264361" w:rsidRPr="00334073" w:rsidRDefault="00F1030B" w:rsidP="00503995">
            <w:pPr>
              <w:pStyle w:val="BodyText"/>
              <w:rPr>
                <w:rFonts w:ascii="Times New Roman" w:hAnsi="Times New Roman"/>
                <w:lang w:val="fr-FR"/>
              </w:rPr>
            </w:pPr>
            <w:r>
              <w:rPr>
                <w:rFonts w:ascii="Times New Roman" w:hAnsi="Times New Roman"/>
                <w:lang w:val="fr-FR"/>
              </w:rPr>
              <w:t>O</w:t>
            </w:r>
            <w:r w:rsidR="00426461" w:rsidRPr="00426461">
              <w:rPr>
                <w:rFonts w:ascii="Times New Roman" w:hAnsi="Times New Roman"/>
                <w:lang w:val="fr-FR"/>
              </w:rPr>
              <w:t>ctobre 20</w:t>
            </w:r>
            <w:r w:rsidR="00503995">
              <w:rPr>
                <w:rFonts w:ascii="Times New Roman" w:hAnsi="Times New Roman"/>
                <w:lang w:val="fr-FR"/>
              </w:rPr>
              <w:t>13</w:t>
            </w:r>
          </w:p>
        </w:tc>
      </w:tr>
      <w:tr w:rsidR="00264361" w:rsidRPr="00334073" w:rsidTr="00A352D9">
        <w:trPr>
          <w:trHeight w:val="350"/>
        </w:trPr>
        <w:tc>
          <w:tcPr>
            <w:tcW w:w="3186" w:type="dxa"/>
            <w:tcBorders>
              <w:top w:val="nil"/>
              <w:bottom w:val="nil"/>
              <w:right w:val="nil"/>
            </w:tcBorders>
            <w:shd w:val="clear" w:color="auto" w:fill="D9D9D9"/>
            <w:vAlign w:val="center"/>
          </w:tcPr>
          <w:p w:rsidR="00264361" w:rsidRPr="00334073" w:rsidRDefault="00264361" w:rsidP="00595EB4">
            <w:pPr>
              <w:pStyle w:val="H2"/>
              <w:rPr>
                <w:rFonts w:cs="Times New Roman"/>
                <w:b w:val="0"/>
                <w:sz w:val="20"/>
                <w:szCs w:val="20"/>
                <w:lang w:val="fr-FR"/>
              </w:rPr>
            </w:pPr>
            <w:r w:rsidRPr="00334073">
              <w:rPr>
                <w:rFonts w:cs="Times New Roman"/>
                <w:b w:val="0"/>
                <w:sz w:val="20"/>
                <w:szCs w:val="20"/>
                <w:lang w:val="fr-FR"/>
              </w:rPr>
              <w:t>Contribution du gouvernement</w:t>
            </w:r>
          </w:p>
          <w:p w:rsidR="00264361" w:rsidRPr="00334073" w:rsidRDefault="00264361" w:rsidP="00595EB4">
            <w:pPr>
              <w:pStyle w:val="H2"/>
              <w:rPr>
                <w:rFonts w:cs="Times New Roman"/>
                <w:sz w:val="20"/>
                <w:szCs w:val="20"/>
                <w:lang w:val="fr-FR"/>
              </w:rPr>
            </w:pPr>
            <w:r w:rsidRPr="00334073">
              <w:rPr>
                <w:rFonts w:cs="Times New Roman"/>
                <w:b w:val="0"/>
                <w:i/>
                <w:sz w:val="20"/>
                <w:szCs w:val="20"/>
                <w:lang w:val="fr-FR"/>
              </w:rPr>
              <w:t>(le cas échéant)</w:t>
            </w:r>
          </w:p>
        </w:tc>
        <w:tc>
          <w:tcPr>
            <w:tcW w:w="1956" w:type="dxa"/>
            <w:tcBorders>
              <w:top w:val="nil"/>
              <w:left w:val="nil"/>
              <w:bottom w:val="nil"/>
            </w:tcBorders>
            <w:shd w:val="clear" w:color="auto" w:fill="D9D9D9"/>
            <w:vAlign w:val="center"/>
          </w:tcPr>
          <w:p w:rsidR="00264361" w:rsidRPr="00334073" w:rsidRDefault="00264361" w:rsidP="00595EB4">
            <w:pPr>
              <w:pStyle w:val="BodyText"/>
              <w:rPr>
                <w:rFonts w:ascii="Times New Roman" w:hAnsi="Times New Roman"/>
                <w:color w:val="000000"/>
                <w:lang w:val="fr-FR"/>
              </w:rPr>
            </w:pPr>
          </w:p>
        </w:tc>
        <w:tc>
          <w:tcPr>
            <w:tcW w:w="258" w:type="dxa"/>
            <w:tcBorders>
              <w:top w:val="nil"/>
              <w:bottom w:val="nil"/>
            </w:tcBorders>
            <w:vAlign w:val="center"/>
          </w:tcPr>
          <w:p w:rsidR="00264361" w:rsidRPr="00334073" w:rsidRDefault="00264361" w:rsidP="00595EB4">
            <w:pPr>
              <w:pStyle w:val="BodyText"/>
              <w:rPr>
                <w:rFonts w:ascii="Times New Roman" w:hAnsi="Times New Roman"/>
                <w:lang w:val="fr-FR"/>
              </w:rPr>
            </w:pPr>
          </w:p>
        </w:tc>
        <w:tc>
          <w:tcPr>
            <w:tcW w:w="3314" w:type="dxa"/>
            <w:tcBorders>
              <w:top w:val="nil"/>
              <w:bottom w:val="nil"/>
              <w:right w:val="nil"/>
            </w:tcBorders>
            <w:vAlign w:val="center"/>
          </w:tcPr>
          <w:p w:rsidR="00264361" w:rsidRPr="00334073" w:rsidRDefault="00264361" w:rsidP="00AD6103">
            <w:pPr>
              <w:pStyle w:val="BodyText"/>
              <w:rPr>
                <w:rFonts w:ascii="Times New Roman" w:hAnsi="Times New Roman"/>
                <w:lang w:val="fr-FR"/>
              </w:rPr>
            </w:pPr>
            <w:r w:rsidRPr="00334073">
              <w:rPr>
                <w:rFonts w:ascii="Times New Roman" w:hAnsi="Times New Roman"/>
                <w:lang w:val="fr-FR"/>
              </w:rPr>
              <w:t>Date de fin prévue à l’origine</w:t>
            </w:r>
            <w:r w:rsidRPr="00334073">
              <w:rPr>
                <w:rStyle w:val="FootnoteReference"/>
                <w:rFonts w:ascii="Times New Roman" w:hAnsi="Times New Roman" w:cs="Arial"/>
                <w:bCs/>
                <w:i/>
                <w:iCs/>
                <w:snapToGrid w:val="0"/>
                <w:lang w:val="fr-FR"/>
              </w:rPr>
              <w:footnoteReference w:id="5"/>
            </w:r>
            <w:r w:rsidRPr="00334073">
              <w:rPr>
                <w:rFonts w:ascii="Times New Roman" w:hAnsi="Times New Roman"/>
                <w:lang w:val="fr-FR"/>
              </w:rPr>
              <w:t xml:space="preserve"> </w:t>
            </w:r>
            <w:r w:rsidRPr="00334073">
              <w:rPr>
                <w:rFonts w:ascii="Times New Roman" w:hAnsi="Times New Roman"/>
                <w:i/>
                <w:lang w:val="fr-FR"/>
              </w:rPr>
              <w:t>(jour/mois/année)</w:t>
            </w:r>
          </w:p>
        </w:tc>
        <w:tc>
          <w:tcPr>
            <w:tcW w:w="1672" w:type="dxa"/>
            <w:tcBorders>
              <w:top w:val="nil"/>
              <w:left w:val="nil"/>
              <w:bottom w:val="nil"/>
            </w:tcBorders>
            <w:vAlign w:val="center"/>
          </w:tcPr>
          <w:p w:rsidR="00264361" w:rsidRPr="00334073" w:rsidRDefault="00F1030B" w:rsidP="00595EB4">
            <w:pPr>
              <w:pStyle w:val="BodyText"/>
              <w:rPr>
                <w:rFonts w:ascii="Times New Roman" w:hAnsi="Times New Roman"/>
                <w:lang w:val="fr-FR"/>
              </w:rPr>
            </w:pPr>
            <w:r>
              <w:rPr>
                <w:rFonts w:ascii="Times New Roman" w:hAnsi="Times New Roman"/>
                <w:lang w:val="fr-FR"/>
              </w:rPr>
              <w:t>31 octobre 2013</w:t>
            </w:r>
          </w:p>
        </w:tc>
      </w:tr>
      <w:tr w:rsidR="00264361" w:rsidRPr="00334073" w:rsidTr="00A352D9">
        <w:trPr>
          <w:trHeight w:val="350"/>
        </w:trPr>
        <w:tc>
          <w:tcPr>
            <w:tcW w:w="3186" w:type="dxa"/>
            <w:tcBorders>
              <w:top w:val="nil"/>
              <w:bottom w:val="nil"/>
              <w:right w:val="nil"/>
            </w:tcBorders>
            <w:shd w:val="clear" w:color="auto" w:fill="D9D9D9"/>
            <w:vAlign w:val="center"/>
          </w:tcPr>
          <w:p w:rsidR="00264361" w:rsidRPr="00334073" w:rsidRDefault="00264361" w:rsidP="00595EB4">
            <w:pPr>
              <w:pStyle w:val="H2"/>
              <w:rPr>
                <w:rFonts w:cs="Times New Roman"/>
                <w:b w:val="0"/>
                <w:sz w:val="20"/>
                <w:szCs w:val="20"/>
                <w:lang w:val="fr-FR"/>
              </w:rPr>
            </w:pPr>
            <w:r w:rsidRPr="00334073">
              <w:rPr>
                <w:rFonts w:cs="Times New Roman"/>
                <w:b w:val="0"/>
                <w:sz w:val="20"/>
                <w:szCs w:val="20"/>
                <w:lang w:val="fr-FR"/>
              </w:rPr>
              <w:lastRenderedPageBreak/>
              <w:t>Autres contributions (donateurs)</w:t>
            </w:r>
          </w:p>
          <w:p w:rsidR="00264361" w:rsidRPr="00334073" w:rsidRDefault="00264361" w:rsidP="00595EB4">
            <w:pPr>
              <w:pStyle w:val="H2"/>
              <w:rPr>
                <w:rFonts w:cs="Times New Roman"/>
                <w:sz w:val="20"/>
                <w:szCs w:val="20"/>
                <w:lang w:val="fr-FR"/>
              </w:rPr>
            </w:pPr>
            <w:r w:rsidRPr="00334073">
              <w:rPr>
                <w:rFonts w:cs="Times New Roman"/>
                <w:b w:val="0"/>
                <w:i/>
                <w:sz w:val="20"/>
                <w:szCs w:val="20"/>
                <w:lang w:val="fr-FR"/>
              </w:rPr>
              <w:t>(le cas échéant)</w:t>
            </w:r>
          </w:p>
        </w:tc>
        <w:tc>
          <w:tcPr>
            <w:tcW w:w="1956" w:type="dxa"/>
            <w:tcBorders>
              <w:top w:val="nil"/>
              <w:left w:val="nil"/>
              <w:bottom w:val="nil"/>
            </w:tcBorders>
            <w:shd w:val="clear" w:color="auto" w:fill="D9D9D9"/>
            <w:vAlign w:val="center"/>
          </w:tcPr>
          <w:p w:rsidR="00264361" w:rsidRPr="00334073" w:rsidRDefault="00264361" w:rsidP="00595EB4">
            <w:pPr>
              <w:pStyle w:val="BodyText"/>
              <w:rPr>
                <w:rFonts w:ascii="Times New Roman" w:hAnsi="Times New Roman"/>
                <w:color w:val="000000"/>
                <w:lang w:val="fr-FR"/>
              </w:rPr>
            </w:pPr>
          </w:p>
        </w:tc>
        <w:tc>
          <w:tcPr>
            <w:tcW w:w="258" w:type="dxa"/>
            <w:tcBorders>
              <w:top w:val="nil"/>
              <w:bottom w:val="nil"/>
            </w:tcBorders>
            <w:vAlign w:val="center"/>
          </w:tcPr>
          <w:p w:rsidR="00264361" w:rsidRPr="00334073" w:rsidRDefault="00264361" w:rsidP="00595EB4">
            <w:pPr>
              <w:pStyle w:val="BodyText"/>
              <w:rPr>
                <w:rFonts w:ascii="Times New Roman" w:hAnsi="Times New Roman"/>
                <w:lang w:val="fr-FR"/>
              </w:rPr>
            </w:pPr>
          </w:p>
        </w:tc>
        <w:tc>
          <w:tcPr>
            <w:tcW w:w="3314" w:type="dxa"/>
            <w:tcBorders>
              <w:top w:val="nil"/>
              <w:bottom w:val="nil"/>
              <w:right w:val="nil"/>
            </w:tcBorders>
            <w:vAlign w:val="center"/>
          </w:tcPr>
          <w:p w:rsidR="00264361" w:rsidRPr="00334073" w:rsidRDefault="00264361" w:rsidP="00595EB4">
            <w:pPr>
              <w:pStyle w:val="BodyText"/>
              <w:rPr>
                <w:rFonts w:ascii="Times New Roman" w:hAnsi="Times New Roman"/>
                <w:lang w:val="fr-FR"/>
              </w:rPr>
            </w:pPr>
            <w:r w:rsidRPr="00334073">
              <w:rPr>
                <w:rFonts w:ascii="Times New Roman" w:hAnsi="Times New Roman"/>
                <w:lang w:val="fr-FR"/>
              </w:rPr>
              <w:t>Date de fin réelle</w:t>
            </w:r>
            <w:r w:rsidRPr="00334073">
              <w:rPr>
                <w:rStyle w:val="FootnoteReference"/>
                <w:rFonts w:ascii="Times New Roman" w:hAnsi="Times New Roman" w:cs="Arial"/>
                <w:lang w:val="fr-FR"/>
              </w:rPr>
              <w:footnoteReference w:id="6"/>
            </w:r>
            <w:r w:rsidRPr="00334073">
              <w:rPr>
                <w:rFonts w:ascii="Times New Roman" w:hAnsi="Times New Roman"/>
                <w:lang w:val="fr-FR"/>
              </w:rPr>
              <w:t xml:space="preserve"> </w:t>
            </w:r>
            <w:r w:rsidRPr="00334073">
              <w:rPr>
                <w:rFonts w:ascii="Times New Roman" w:hAnsi="Times New Roman"/>
                <w:i/>
                <w:lang w:val="fr-FR"/>
              </w:rPr>
              <w:t>(jour/mois/année)</w:t>
            </w:r>
          </w:p>
        </w:tc>
        <w:tc>
          <w:tcPr>
            <w:tcW w:w="1672" w:type="dxa"/>
            <w:tcBorders>
              <w:top w:val="nil"/>
              <w:left w:val="nil"/>
              <w:bottom w:val="nil"/>
            </w:tcBorders>
            <w:vAlign w:val="center"/>
          </w:tcPr>
          <w:p w:rsidR="00264361" w:rsidRPr="00334073" w:rsidRDefault="004D1A5D" w:rsidP="00595EB4">
            <w:pPr>
              <w:pStyle w:val="BodyText"/>
              <w:rPr>
                <w:rFonts w:ascii="Times New Roman" w:hAnsi="Times New Roman"/>
                <w:lang w:val="fr-FR"/>
              </w:rPr>
            </w:pPr>
            <w:r>
              <w:rPr>
                <w:rFonts w:ascii="Times New Roman" w:hAnsi="Times New Roman"/>
                <w:lang w:val="fr-FR"/>
              </w:rPr>
              <w:t>31 juillet</w:t>
            </w:r>
            <w:r w:rsidR="00771E3F" w:rsidRPr="00771E3F">
              <w:rPr>
                <w:rFonts w:ascii="Times New Roman" w:hAnsi="Times New Roman"/>
                <w:lang w:val="fr-FR"/>
              </w:rPr>
              <w:t xml:space="preserve"> 201</w:t>
            </w:r>
            <w:r>
              <w:rPr>
                <w:rFonts w:ascii="Times New Roman" w:hAnsi="Times New Roman"/>
                <w:lang w:val="fr-FR"/>
              </w:rPr>
              <w:t>4</w:t>
            </w:r>
          </w:p>
        </w:tc>
      </w:tr>
      <w:tr w:rsidR="00264361" w:rsidRPr="00334073" w:rsidTr="00A352D9">
        <w:trPr>
          <w:trHeight w:val="350"/>
        </w:trPr>
        <w:tc>
          <w:tcPr>
            <w:tcW w:w="3186" w:type="dxa"/>
            <w:tcBorders>
              <w:top w:val="nil"/>
              <w:right w:val="nil"/>
            </w:tcBorders>
            <w:vAlign w:val="center"/>
          </w:tcPr>
          <w:p w:rsidR="00264361" w:rsidRPr="00334073" w:rsidRDefault="00264361" w:rsidP="002E1FAB">
            <w:pPr>
              <w:pStyle w:val="H2"/>
              <w:rPr>
                <w:rFonts w:cs="Times New Roman"/>
                <w:szCs w:val="22"/>
                <w:lang w:val="fr-FR"/>
              </w:rPr>
            </w:pPr>
            <w:r w:rsidRPr="00334073">
              <w:rPr>
                <w:rFonts w:cs="Times New Roman"/>
                <w:szCs w:val="22"/>
                <w:lang w:val="fr-FR"/>
              </w:rPr>
              <w:t>TOTAL:</w:t>
            </w:r>
            <w:r w:rsidR="00771E3F" w:rsidRPr="00771E3F">
              <w:rPr>
                <w:rFonts w:cs="Times New Roman"/>
                <w:szCs w:val="22"/>
                <w:lang w:val="fr-FR"/>
              </w:rPr>
              <w:t xml:space="preserve"> </w:t>
            </w:r>
            <w:r w:rsidR="002E1FAB">
              <w:rPr>
                <w:rFonts w:cs="Times New Roman"/>
                <w:szCs w:val="22"/>
                <w:lang w:val="fr-FR"/>
              </w:rPr>
              <w:t>893,562</w:t>
            </w:r>
            <w:r w:rsidR="00771E3F" w:rsidRPr="00771E3F">
              <w:rPr>
                <w:rFonts w:cs="Times New Roman"/>
                <w:szCs w:val="22"/>
                <w:lang w:val="fr-FR"/>
              </w:rPr>
              <w:t xml:space="preserve"> USD</w:t>
            </w:r>
          </w:p>
        </w:tc>
        <w:tc>
          <w:tcPr>
            <w:tcW w:w="1956" w:type="dxa"/>
            <w:tcBorders>
              <w:top w:val="nil"/>
              <w:left w:val="nil"/>
            </w:tcBorders>
            <w:vAlign w:val="center"/>
          </w:tcPr>
          <w:p w:rsidR="00264361" w:rsidRPr="00334073" w:rsidRDefault="00264361" w:rsidP="00595EB4">
            <w:pPr>
              <w:pStyle w:val="BodyText"/>
              <w:rPr>
                <w:rFonts w:ascii="Times New Roman" w:hAnsi="Times New Roman"/>
                <w:color w:val="000000"/>
                <w:sz w:val="22"/>
                <w:szCs w:val="22"/>
                <w:lang w:val="fr-FR"/>
              </w:rPr>
            </w:pPr>
          </w:p>
        </w:tc>
        <w:tc>
          <w:tcPr>
            <w:tcW w:w="258" w:type="dxa"/>
            <w:tcBorders>
              <w:top w:val="nil"/>
              <w:bottom w:val="nil"/>
            </w:tcBorders>
            <w:vAlign w:val="center"/>
          </w:tcPr>
          <w:p w:rsidR="00264361" w:rsidRPr="00334073" w:rsidRDefault="00264361" w:rsidP="00595EB4">
            <w:pPr>
              <w:pStyle w:val="BodyText"/>
              <w:rPr>
                <w:rFonts w:ascii="Times New Roman" w:hAnsi="Times New Roman"/>
                <w:sz w:val="22"/>
                <w:szCs w:val="22"/>
                <w:lang w:val="fr-FR"/>
              </w:rPr>
            </w:pPr>
          </w:p>
        </w:tc>
        <w:tc>
          <w:tcPr>
            <w:tcW w:w="3314" w:type="dxa"/>
            <w:tcBorders>
              <w:top w:val="nil"/>
              <w:right w:val="nil"/>
            </w:tcBorders>
            <w:vAlign w:val="center"/>
          </w:tcPr>
          <w:p w:rsidR="00264361" w:rsidRPr="00334073" w:rsidRDefault="00264361" w:rsidP="00595EB4">
            <w:pPr>
              <w:pStyle w:val="BodyText"/>
              <w:rPr>
                <w:rFonts w:ascii="Times New Roman" w:hAnsi="Times New Roman"/>
                <w:color w:val="000000"/>
                <w:sz w:val="22"/>
                <w:szCs w:val="22"/>
                <w:lang w:val="fr-FR"/>
              </w:rPr>
            </w:pPr>
          </w:p>
        </w:tc>
        <w:tc>
          <w:tcPr>
            <w:tcW w:w="1672" w:type="dxa"/>
            <w:tcBorders>
              <w:top w:val="nil"/>
              <w:left w:val="nil"/>
            </w:tcBorders>
            <w:vAlign w:val="center"/>
          </w:tcPr>
          <w:p w:rsidR="00264361" w:rsidRPr="00334073" w:rsidRDefault="00264361" w:rsidP="00595EB4">
            <w:pPr>
              <w:pStyle w:val="BodyText"/>
              <w:rPr>
                <w:rFonts w:ascii="Times New Roman" w:hAnsi="Times New Roman"/>
                <w:sz w:val="22"/>
                <w:szCs w:val="22"/>
                <w:lang w:val="fr-FR"/>
              </w:rPr>
            </w:pPr>
          </w:p>
        </w:tc>
      </w:tr>
    </w:tbl>
    <w:p w:rsidR="00264361" w:rsidRPr="00334073" w:rsidRDefault="00264361" w:rsidP="004D18B1">
      <w:pPr>
        <w:jc w:val="center"/>
        <w:rPr>
          <w:b/>
          <w:bCs/>
          <w:caps/>
          <w:sz w:val="18"/>
          <w:szCs w:val="18"/>
        </w:rPr>
      </w:pPr>
    </w:p>
    <w:tbl>
      <w:tblPr>
        <w:tblW w:w="10386" w:type="dxa"/>
        <w:tblInd w:w="-72" w:type="dxa"/>
        <w:tblLayout w:type="fixed"/>
        <w:tblLook w:val="01E0" w:firstRow="1" w:lastRow="1" w:firstColumn="1" w:lastColumn="1" w:noHBand="0" w:noVBand="0"/>
      </w:tblPr>
      <w:tblGrid>
        <w:gridCol w:w="5142"/>
        <w:gridCol w:w="258"/>
        <w:gridCol w:w="4986"/>
      </w:tblGrid>
      <w:tr w:rsidR="00264361" w:rsidRPr="00334073">
        <w:trPr>
          <w:trHeight w:val="206"/>
        </w:trPr>
        <w:tc>
          <w:tcPr>
            <w:tcW w:w="5142" w:type="dxa"/>
            <w:tcBorders>
              <w:top w:val="single" w:sz="4" w:space="0" w:color="auto"/>
              <w:left w:val="single" w:sz="4" w:space="0" w:color="auto"/>
              <w:right w:val="single" w:sz="4" w:space="0" w:color="auto"/>
            </w:tcBorders>
            <w:shd w:val="clear" w:color="auto" w:fill="F3F3F3"/>
          </w:tcPr>
          <w:p w:rsidR="00264361" w:rsidRPr="00334073" w:rsidRDefault="00264361" w:rsidP="00E260DA">
            <w:pPr>
              <w:pStyle w:val="H1"/>
              <w:keepNext/>
              <w:keepLines/>
              <w:ind w:right="-120" w:hanging="70"/>
              <w:jc w:val="center"/>
              <w:rPr>
                <w:rFonts w:cs="Times New Roman"/>
                <w:sz w:val="22"/>
                <w:szCs w:val="22"/>
                <w:lang w:val="fr-FR"/>
              </w:rPr>
            </w:pPr>
            <w:r w:rsidRPr="00334073">
              <w:rPr>
                <w:rFonts w:cs="Times New Roman"/>
                <w:sz w:val="22"/>
                <w:szCs w:val="22"/>
                <w:lang w:val="fr-FR"/>
              </w:rPr>
              <w:t>Évaluation du programme /examen/évaluation à mi-parcours</w:t>
            </w:r>
          </w:p>
        </w:tc>
        <w:tc>
          <w:tcPr>
            <w:tcW w:w="258" w:type="dxa"/>
            <w:vMerge w:val="restart"/>
            <w:tcBorders>
              <w:left w:val="single" w:sz="4" w:space="0" w:color="auto"/>
              <w:right w:val="single" w:sz="4" w:space="0" w:color="auto"/>
            </w:tcBorders>
          </w:tcPr>
          <w:p w:rsidR="00264361" w:rsidRPr="00334073" w:rsidRDefault="00264361" w:rsidP="00E260DA">
            <w:pPr>
              <w:keepNext/>
              <w:keepLines/>
            </w:pPr>
          </w:p>
        </w:tc>
        <w:tc>
          <w:tcPr>
            <w:tcW w:w="4986" w:type="dxa"/>
            <w:tcBorders>
              <w:top w:val="single" w:sz="4" w:space="0" w:color="auto"/>
              <w:left w:val="single" w:sz="4" w:space="0" w:color="auto"/>
              <w:right w:val="single" w:sz="4" w:space="0" w:color="auto"/>
            </w:tcBorders>
            <w:shd w:val="clear" w:color="auto" w:fill="F3F3F3"/>
          </w:tcPr>
          <w:p w:rsidR="00264361" w:rsidRPr="00334073" w:rsidRDefault="00264361" w:rsidP="00E260DA">
            <w:pPr>
              <w:pStyle w:val="H1"/>
              <w:keepNext/>
              <w:keepLines/>
              <w:jc w:val="center"/>
              <w:rPr>
                <w:rFonts w:cs="Times New Roman"/>
                <w:sz w:val="22"/>
                <w:szCs w:val="22"/>
                <w:lang w:val="fr-FR"/>
              </w:rPr>
            </w:pPr>
            <w:r w:rsidRPr="00334073">
              <w:rPr>
                <w:bCs w:val="0"/>
                <w:sz w:val="22"/>
                <w:szCs w:val="22"/>
                <w:lang w:val="fr-FR"/>
              </w:rPr>
              <w:t>Rapport soumis par</w:t>
            </w:r>
          </w:p>
        </w:tc>
      </w:tr>
      <w:tr w:rsidR="00264361" w:rsidRPr="00334073">
        <w:trPr>
          <w:trHeight w:val="285"/>
        </w:trPr>
        <w:tc>
          <w:tcPr>
            <w:tcW w:w="5142" w:type="dxa"/>
            <w:tcBorders>
              <w:left w:val="single" w:sz="4" w:space="0" w:color="auto"/>
              <w:bottom w:val="single" w:sz="4" w:space="0" w:color="auto"/>
              <w:right w:val="single" w:sz="4" w:space="0" w:color="auto"/>
            </w:tcBorders>
          </w:tcPr>
          <w:p w:rsidR="00264361" w:rsidRPr="00334073" w:rsidRDefault="00264361" w:rsidP="00A352D9">
            <w:pPr>
              <w:pStyle w:val="BodyText"/>
              <w:rPr>
                <w:rFonts w:ascii="Times New Roman" w:hAnsi="Times New Roman" w:cs="Times New Roman"/>
                <w:bCs/>
                <w:i/>
                <w:iCs/>
                <w:snapToGrid w:val="0"/>
                <w:lang w:val="fr-FR"/>
              </w:rPr>
            </w:pPr>
            <w:r w:rsidRPr="00334073">
              <w:rPr>
                <w:rFonts w:ascii="Times New Roman" w:hAnsi="Times New Roman"/>
                <w:lang w:val="fr-FR"/>
              </w:rPr>
              <w:t xml:space="preserve">Évaluation/Examen - le cas échéant, </w:t>
            </w:r>
            <w:r w:rsidRPr="00334073">
              <w:rPr>
                <w:rFonts w:ascii="Times New Roman" w:hAnsi="Times New Roman"/>
                <w:i/>
                <w:lang w:val="fr-FR"/>
              </w:rPr>
              <w:t>veuillez joindre</w:t>
            </w:r>
            <w:r w:rsidRPr="00334073">
              <w:rPr>
                <w:rFonts w:ascii="Times New Roman" w:hAnsi="Times New Roman"/>
                <w:lang w:val="fr-FR"/>
              </w:rPr>
              <w:t xml:space="preserve"> le document en question.</w:t>
            </w:r>
          </w:p>
          <w:p w:rsidR="00264361" w:rsidRPr="00334073" w:rsidRDefault="00E66B2F" w:rsidP="00A352D9">
            <w:pPr>
              <w:pStyle w:val="BodyText"/>
              <w:rPr>
                <w:rFonts w:ascii="Times New Roman" w:hAnsi="Times New Roman"/>
                <w:lang w:val="fr-FR"/>
              </w:rPr>
            </w:pPr>
            <w:r>
              <w:rPr>
                <w:noProof/>
              </w:rPr>
              <mc:AlternateContent>
                <mc:Choice Requires="wps">
                  <w:drawing>
                    <wp:anchor distT="0" distB="0" distL="114300" distR="114300" simplePos="0" relativeHeight="251655680" behindDoc="0" locked="0" layoutInCell="1" allowOverlap="1">
                      <wp:simplePos x="0" y="0"/>
                      <wp:positionH relativeFrom="column">
                        <wp:posOffset>524510</wp:posOffset>
                      </wp:positionH>
                      <wp:positionV relativeFrom="paragraph">
                        <wp:posOffset>17145</wp:posOffset>
                      </wp:positionV>
                      <wp:extent cx="90805" cy="90805"/>
                      <wp:effectExtent l="0" t="0" r="23495" b="2349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6A136C" id="Rectangle 2" o:spid="_x0000_s1026" style="position:absolute;margin-left:41.3pt;margin-top:1.35pt;width:7.15pt;height: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"/>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-8890</wp:posOffset>
                      </wp:positionH>
                      <wp:positionV relativeFrom="paragraph">
                        <wp:posOffset>17145</wp:posOffset>
                      </wp:positionV>
                      <wp:extent cx="90805" cy="90805"/>
                      <wp:effectExtent l="0" t="0" r="23495" b="2349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E3B2B3" id="Rectangle 5" o:spid="_x0000_s1026" style="position:absolute;margin-left:-.7pt;margin-top:1.35pt;width:7.15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"/>
                  </w:pict>
                </mc:Fallback>
              </mc:AlternateContent>
            </w:r>
            <w:r w:rsidR="00264361" w:rsidRPr="00334073">
              <w:rPr>
                <w:rFonts w:ascii="Times New Roman" w:hAnsi="Times New Roman"/>
                <w:lang w:val="fr-FR"/>
              </w:rPr>
              <w:t xml:space="preserve"> </w:t>
            </w:r>
            <w:r w:rsidR="00264361">
              <w:rPr>
                <w:rFonts w:ascii="Times New Roman" w:hAnsi="Times New Roman"/>
                <w:lang w:val="fr-FR"/>
              </w:rPr>
              <w:t xml:space="preserve">   </w:t>
            </w:r>
            <w:r w:rsidR="00264361" w:rsidRPr="00334073">
              <w:rPr>
                <w:rFonts w:ascii="Times New Roman" w:hAnsi="Times New Roman"/>
                <w:lang w:val="fr-FR"/>
              </w:rPr>
              <w:t xml:space="preserve">Oui </w:t>
            </w:r>
            <w:r w:rsidR="00264361">
              <w:rPr>
                <w:rFonts w:ascii="Times New Roman" w:hAnsi="Times New Roman"/>
                <w:lang w:val="fr-FR"/>
              </w:rPr>
              <w:t xml:space="preserve">          </w:t>
            </w:r>
            <w:r w:rsidR="00264361" w:rsidRPr="00334073">
              <w:rPr>
                <w:rFonts w:ascii="Times New Roman" w:hAnsi="Times New Roman"/>
                <w:lang w:val="fr-FR"/>
              </w:rPr>
              <w:t xml:space="preserve">Non </w:t>
            </w:r>
            <w:r w:rsidR="00264361">
              <w:rPr>
                <w:rFonts w:ascii="Times New Roman" w:hAnsi="Times New Roman"/>
                <w:lang w:val="fr-FR"/>
              </w:rPr>
              <w:t xml:space="preserve">   </w:t>
            </w:r>
            <w:r w:rsidR="00264361" w:rsidRPr="00334073">
              <w:rPr>
                <w:rFonts w:ascii="Times New Roman" w:hAnsi="Times New Roman"/>
                <w:lang w:val="fr-FR"/>
              </w:rPr>
              <w:t xml:space="preserve">Date: </w:t>
            </w:r>
            <w:r w:rsidR="00264361" w:rsidRPr="00334073">
              <w:rPr>
                <w:rFonts w:ascii="Times New Roman" w:hAnsi="Times New Roman"/>
                <w:i/>
                <w:lang w:val="fr-FR"/>
              </w:rPr>
              <w:t>jour/mois/année</w:t>
            </w:r>
          </w:p>
          <w:p w:rsidR="00264361" w:rsidRPr="00334073" w:rsidRDefault="00264361" w:rsidP="00A352D9">
            <w:pPr>
              <w:pStyle w:val="BodyText"/>
              <w:rPr>
                <w:rFonts w:ascii="Times New Roman" w:hAnsi="Times New Roman"/>
                <w:lang w:val="fr-FR"/>
              </w:rPr>
            </w:pPr>
            <w:r w:rsidRPr="00334073">
              <w:rPr>
                <w:rFonts w:ascii="Times New Roman" w:hAnsi="Times New Roman"/>
                <w:lang w:val="fr-FR"/>
              </w:rPr>
              <w:t xml:space="preserve">Rapport d’évaluation à mi-parcours </w:t>
            </w:r>
            <w:r w:rsidRPr="00334073">
              <w:rPr>
                <w:rFonts w:ascii="Times New Roman" w:hAnsi="Times New Roman" w:cs="Times New Roman"/>
                <w:bCs/>
                <w:i/>
                <w:iCs/>
                <w:snapToGrid w:val="0"/>
                <w:lang w:val="fr-FR"/>
              </w:rPr>
              <w:t>– veuillez joindre le document, le cas échéant.</w:t>
            </w:r>
            <w:r w:rsidRPr="00334073">
              <w:rPr>
                <w:rFonts w:ascii="Times New Roman" w:hAnsi="Times New Roman"/>
                <w:b/>
                <w:lang w:val="fr-FR"/>
              </w:rPr>
              <w:t xml:space="preserve"> </w:t>
            </w:r>
          </w:p>
          <w:p w:rsidR="00264361" w:rsidRPr="00334073" w:rsidRDefault="00E66B2F" w:rsidP="0061117C">
            <w:pPr>
              <w:pStyle w:val="BodyText"/>
              <w:rPr>
                <w:rFonts w:ascii="Times New Roman" w:hAnsi="Times New Roman"/>
                <w:lang w:val="fr-FR"/>
              </w:rPr>
            </w:pPr>
            <w:r>
              <w:rPr>
                <w:noProof/>
              </w:rPr>
              <mc:AlternateContent>
                <mc:Choice Requires="wps">
                  <w:drawing>
                    <wp:anchor distT="0" distB="0" distL="114300" distR="114300" simplePos="0" relativeHeight="251657728" behindDoc="0" locked="0" layoutInCell="1" allowOverlap="1">
                      <wp:simplePos x="0" y="0"/>
                      <wp:positionH relativeFrom="column">
                        <wp:posOffset>519430</wp:posOffset>
                      </wp:positionH>
                      <wp:positionV relativeFrom="paragraph">
                        <wp:posOffset>20320</wp:posOffset>
                      </wp:positionV>
                      <wp:extent cx="90805" cy="90805"/>
                      <wp:effectExtent l="0" t="0" r="23495" b="2349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2C68388" id="Rectangle 4" o:spid="_x0000_s1026" style="position:absolute;margin-left:40.9pt;margin-top:1.6pt;width:7.1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jouGg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"/>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-8890</wp:posOffset>
                      </wp:positionH>
                      <wp:positionV relativeFrom="paragraph">
                        <wp:posOffset>20955</wp:posOffset>
                      </wp:positionV>
                      <wp:extent cx="90805" cy="90805"/>
                      <wp:effectExtent l="0" t="0" r="23495" b="2349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33DABD3" id="Rectangle 3" o:spid="_x0000_s1026" style="position:absolute;margin-left:-.7pt;margin-top:1.65pt;width:7.15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WB4GwIAADk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"/>
                  </w:pict>
                </mc:Fallback>
              </mc:AlternateContent>
            </w:r>
            <w:r w:rsidR="00264361" w:rsidRPr="00334073">
              <w:rPr>
                <w:rFonts w:ascii="Times New Roman" w:hAnsi="Times New Roman"/>
                <w:lang w:val="fr-FR"/>
              </w:rPr>
              <w:t xml:space="preserve"> </w:t>
            </w:r>
            <w:r w:rsidR="00264361">
              <w:rPr>
                <w:rFonts w:ascii="Times New Roman" w:hAnsi="Times New Roman"/>
                <w:lang w:val="fr-FR"/>
              </w:rPr>
              <w:t xml:space="preserve">   </w:t>
            </w:r>
            <w:r w:rsidR="00264361" w:rsidRPr="00334073">
              <w:rPr>
                <w:rFonts w:ascii="Times New Roman" w:hAnsi="Times New Roman"/>
                <w:lang w:val="fr-FR"/>
              </w:rPr>
              <w:t xml:space="preserve">Oui </w:t>
            </w:r>
            <w:r w:rsidR="00264361">
              <w:rPr>
                <w:rFonts w:ascii="Times New Roman" w:hAnsi="Times New Roman"/>
                <w:lang w:val="fr-FR"/>
              </w:rPr>
              <w:t xml:space="preserve">         </w:t>
            </w:r>
            <w:r w:rsidR="00264361" w:rsidRPr="00334073">
              <w:rPr>
                <w:rFonts w:ascii="Times New Roman" w:hAnsi="Times New Roman"/>
                <w:lang w:val="fr-FR"/>
              </w:rPr>
              <w:t xml:space="preserve">Non </w:t>
            </w:r>
            <w:r w:rsidR="00264361">
              <w:rPr>
                <w:rFonts w:ascii="Times New Roman" w:hAnsi="Times New Roman"/>
                <w:lang w:val="fr-FR"/>
              </w:rPr>
              <w:t xml:space="preserve">    </w:t>
            </w:r>
            <w:r w:rsidR="00264361" w:rsidRPr="00334073">
              <w:rPr>
                <w:rFonts w:ascii="Times New Roman" w:hAnsi="Times New Roman"/>
                <w:lang w:val="fr-FR"/>
              </w:rPr>
              <w:t xml:space="preserve">Date: </w:t>
            </w:r>
            <w:r w:rsidR="00264361" w:rsidRPr="00334073">
              <w:rPr>
                <w:rFonts w:ascii="Times New Roman" w:hAnsi="Times New Roman"/>
                <w:i/>
                <w:lang w:val="fr-FR"/>
              </w:rPr>
              <w:t>jour/mois/année</w:t>
            </w:r>
          </w:p>
        </w:tc>
        <w:tc>
          <w:tcPr>
            <w:tcW w:w="258" w:type="dxa"/>
            <w:vMerge/>
            <w:tcBorders>
              <w:left w:val="single" w:sz="4" w:space="0" w:color="auto"/>
              <w:right w:val="single" w:sz="4" w:space="0" w:color="auto"/>
            </w:tcBorders>
          </w:tcPr>
          <w:p w:rsidR="00264361" w:rsidRPr="00334073" w:rsidRDefault="00264361" w:rsidP="00A352D9">
            <w:pPr>
              <w:pStyle w:val="BodyText"/>
              <w:rPr>
                <w:rFonts w:ascii="Times New Roman" w:hAnsi="Times New Roman"/>
                <w:lang w:val="fr-FR"/>
              </w:rPr>
            </w:pPr>
          </w:p>
        </w:tc>
        <w:tc>
          <w:tcPr>
            <w:tcW w:w="4986" w:type="dxa"/>
            <w:tcBorders>
              <w:left w:val="single" w:sz="4" w:space="0" w:color="auto"/>
              <w:bottom w:val="single" w:sz="4" w:space="0" w:color="auto"/>
              <w:right w:val="single" w:sz="4" w:space="0" w:color="auto"/>
            </w:tcBorders>
          </w:tcPr>
          <w:p w:rsidR="000F3EF9" w:rsidRPr="000F3EF9" w:rsidRDefault="00264361" w:rsidP="000F3EF9">
            <w:pPr>
              <w:numPr>
                <w:ilvl w:val="0"/>
                <w:numId w:val="10"/>
              </w:numPr>
              <w:ind w:left="342"/>
            </w:pPr>
            <w:r w:rsidRPr="00334073">
              <w:rPr>
                <w:sz w:val="20"/>
                <w:szCs w:val="20"/>
              </w:rPr>
              <w:t>Nom:</w:t>
            </w:r>
            <w:r w:rsidR="000F3EF9">
              <w:rPr>
                <w:sz w:val="20"/>
                <w:szCs w:val="20"/>
              </w:rPr>
              <w:t xml:space="preserve"> </w:t>
            </w:r>
            <w:r w:rsidR="000F3EF9" w:rsidRPr="000F3EF9">
              <w:t xml:space="preserve">Mme </w:t>
            </w:r>
            <w:proofErr w:type="spellStart"/>
            <w:r w:rsidR="000F3EF9" w:rsidRPr="000F3EF9">
              <w:t>Guirlene</w:t>
            </w:r>
            <w:proofErr w:type="spellEnd"/>
            <w:r w:rsidR="000F3EF9" w:rsidRPr="000F3EF9">
              <w:t xml:space="preserve"> Fréderic</w:t>
            </w:r>
          </w:p>
          <w:p w:rsidR="000F3EF9" w:rsidRPr="000F3EF9" w:rsidRDefault="000F3EF9" w:rsidP="000F3EF9">
            <w:pPr>
              <w:numPr>
                <w:ilvl w:val="0"/>
                <w:numId w:val="10"/>
              </w:numPr>
              <w:ind w:left="342"/>
            </w:pPr>
            <w:r w:rsidRPr="000F3EF9">
              <w:t>Titre: Chef section Protection</w:t>
            </w:r>
          </w:p>
          <w:p w:rsidR="000F3EF9" w:rsidRPr="000F3EF9" w:rsidRDefault="000F3EF9" w:rsidP="000F3EF9">
            <w:pPr>
              <w:numPr>
                <w:ilvl w:val="0"/>
                <w:numId w:val="10"/>
              </w:numPr>
              <w:ind w:left="342"/>
            </w:pPr>
            <w:r w:rsidRPr="000F3EF9">
              <w:t>Organisation participante (principale):</w:t>
            </w:r>
            <w:r w:rsidR="004D1A5D">
              <w:t>UNICEF</w:t>
            </w:r>
          </w:p>
          <w:p w:rsidR="00264361" w:rsidRPr="000F3EF9" w:rsidRDefault="000F3EF9" w:rsidP="000F3EF9">
            <w:pPr>
              <w:numPr>
                <w:ilvl w:val="0"/>
                <w:numId w:val="10"/>
              </w:numPr>
              <w:ind w:left="342"/>
              <w:rPr>
                <w:sz w:val="20"/>
                <w:szCs w:val="20"/>
              </w:rPr>
            </w:pPr>
            <w:r w:rsidRPr="000F3EF9">
              <w:t xml:space="preserve">Adresse e-mail: </w:t>
            </w:r>
            <w:hyperlink r:id="rId12" w:history="1">
              <w:r w:rsidRPr="000F3EF9">
                <w:rPr>
                  <w:color w:val="0000FF"/>
                  <w:u w:val="single"/>
                </w:rPr>
                <w:t>gfrederic@unicef.org</w:t>
              </w:r>
            </w:hyperlink>
          </w:p>
        </w:tc>
      </w:tr>
    </w:tbl>
    <w:p w:rsidR="00264361" w:rsidRPr="00334073" w:rsidRDefault="00264361" w:rsidP="004D18B1"/>
    <w:p w:rsidR="00264361" w:rsidRDefault="00264361" w:rsidP="004D18B1">
      <w:pPr>
        <w:pStyle w:val="Heading1"/>
        <w:tabs>
          <w:tab w:val="left" w:pos="360"/>
        </w:tabs>
        <w:ind w:left="0"/>
        <w:jc w:val="center"/>
      </w:pPr>
      <w:bookmarkStart w:id="1" w:name="_Toc249364482"/>
    </w:p>
    <w:p w:rsidR="007500D6" w:rsidRDefault="007500D6" w:rsidP="007500D6"/>
    <w:p w:rsidR="007500D6" w:rsidRDefault="007500D6" w:rsidP="007500D6"/>
    <w:p w:rsidR="007500D6" w:rsidRDefault="007500D6" w:rsidP="007500D6"/>
    <w:p w:rsidR="007500D6" w:rsidRDefault="007500D6" w:rsidP="007500D6"/>
    <w:p w:rsidR="007500D6" w:rsidRDefault="007500D6" w:rsidP="007500D6"/>
    <w:p w:rsidR="007500D6" w:rsidRDefault="007500D6" w:rsidP="007500D6"/>
    <w:p w:rsidR="007500D6" w:rsidRDefault="007500D6" w:rsidP="007500D6"/>
    <w:p w:rsidR="007500D6" w:rsidRDefault="007500D6" w:rsidP="007500D6"/>
    <w:p w:rsidR="007500D6" w:rsidRDefault="007500D6" w:rsidP="007500D6"/>
    <w:p w:rsidR="007500D6" w:rsidRDefault="007500D6" w:rsidP="007500D6"/>
    <w:p w:rsidR="007500D6" w:rsidRDefault="007500D6" w:rsidP="007500D6"/>
    <w:p w:rsidR="007500D6" w:rsidRDefault="007500D6" w:rsidP="007500D6"/>
    <w:p w:rsidR="007500D6" w:rsidRDefault="007500D6" w:rsidP="007500D6"/>
    <w:p w:rsidR="007500D6" w:rsidRDefault="007500D6" w:rsidP="007500D6"/>
    <w:p w:rsidR="007500D6" w:rsidRDefault="007500D6" w:rsidP="007500D6"/>
    <w:p w:rsidR="007500D6" w:rsidRDefault="007500D6" w:rsidP="007500D6"/>
    <w:p w:rsidR="007500D6" w:rsidRDefault="007500D6" w:rsidP="007500D6"/>
    <w:p w:rsidR="007500D6" w:rsidRDefault="007500D6" w:rsidP="007500D6"/>
    <w:p w:rsidR="007500D6" w:rsidRDefault="007500D6" w:rsidP="007500D6"/>
    <w:p w:rsidR="007500D6" w:rsidRDefault="007500D6" w:rsidP="007500D6"/>
    <w:p w:rsidR="007500D6" w:rsidRDefault="007500D6" w:rsidP="007500D6"/>
    <w:p w:rsidR="007500D6" w:rsidRDefault="007500D6" w:rsidP="007500D6"/>
    <w:p w:rsidR="007500D6" w:rsidRDefault="007500D6" w:rsidP="007500D6"/>
    <w:p w:rsidR="007500D6" w:rsidRDefault="007500D6" w:rsidP="007500D6"/>
    <w:p w:rsidR="007500D6" w:rsidRDefault="007500D6" w:rsidP="007500D6"/>
    <w:p w:rsidR="007500D6" w:rsidRDefault="007500D6" w:rsidP="007500D6"/>
    <w:p w:rsidR="007500D6" w:rsidRDefault="007500D6" w:rsidP="007500D6"/>
    <w:p w:rsidR="007500D6" w:rsidRDefault="007500D6" w:rsidP="007500D6"/>
    <w:p w:rsidR="007500D6" w:rsidRDefault="007500D6" w:rsidP="007500D6"/>
    <w:bookmarkEnd w:id="1"/>
    <w:p w:rsidR="000F3EF9" w:rsidRDefault="000F3EF9" w:rsidP="004D18B1">
      <w:pPr>
        <w:rPr>
          <w:rFonts w:cs="Arial"/>
          <w:b/>
          <w:bCs/>
          <w:u w:val="single"/>
        </w:rPr>
      </w:pPr>
    </w:p>
    <w:p w:rsidR="000F3EF9" w:rsidRDefault="000F3EF9" w:rsidP="004D18B1">
      <w:pPr>
        <w:rPr>
          <w:rFonts w:cs="Arial"/>
          <w:b/>
          <w:bCs/>
          <w:u w:val="single"/>
        </w:rPr>
      </w:pPr>
    </w:p>
    <w:sdt>
      <w:sdtPr>
        <w:rPr>
          <w:rFonts w:ascii="Times New Roman" w:eastAsia="Times New Roman" w:hAnsi="Times New Roman" w:cs="Times New Roman"/>
          <w:b w:val="0"/>
          <w:bCs w:val="0"/>
          <w:color w:val="auto"/>
          <w:sz w:val="24"/>
          <w:szCs w:val="24"/>
          <w:u w:val="none"/>
          <w:lang w:val="fr-FR" w:eastAsia="fr-FR"/>
        </w:rPr>
        <w:id w:val="-37052884"/>
        <w:docPartObj>
          <w:docPartGallery w:val="Table of Contents"/>
          <w:docPartUnique/>
        </w:docPartObj>
      </w:sdtPr>
      <w:sdtEndPr>
        <w:rPr>
          <w:noProof/>
        </w:rPr>
      </w:sdtEndPr>
      <w:sdtContent>
        <w:p w:rsidR="00AC08E7" w:rsidRDefault="00AC08E7">
          <w:pPr>
            <w:pStyle w:val="TOCHeading"/>
          </w:pPr>
          <w:r>
            <w:t>Contents</w:t>
          </w:r>
        </w:p>
        <w:p w:rsidR="00B36F6C" w:rsidRDefault="00AC08E7">
          <w:pPr>
            <w:pStyle w:val="TOC1"/>
            <w:tabs>
              <w:tab w:val="right" w:leader="dot" w:pos="10434"/>
            </w:tabs>
            <w:rPr>
              <w:rFonts w:asciiTheme="minorHAnsi" w:eastAsiaTheme="minorEastAsia" w:hAnsiTheme="minorHAnsi" w:cstheme="minorBidi"/>
              <w:noProof/>
              <w:sz w:val="22"/>
              <w:szCs w:val="22"/>
              <w:lang w:val="en-US" w:eastAsia="en-US"/>
            </w:rPr>
          </w:pPr>
          <w:r>
            <w:fldChar w:fldCharType="begin"/>
          </w:r>
          <w:r>
            <w:instrText xml:space="preserve"> TOC \o "1-3" \h \z \u </w:instrText>
          </w:r>
          <w:r>
            <w:fldChar w:fldCharType="separate"/>
          </w:r>
          <w:hyperlink w:anchor="_Toc381108743" w:history="1">
            <w:r w:rsidR="00B36F6C" w:rsidRPr="00782A3B">
              <w:rPr>
                <w:rStyle w:val="Hyperlink"/>
                <w:noProof/>
              </w:rPr>
              <w:t>LISTE DES SIGLES ET ACRONYMES</w:t>
            </w:r>
            <w:r w:rsidR="00B36F6C">
              <w:rPr>
                <w:noProof/>
                <w:webHidden/>
              </w:rPr>
              <w:tab/>
            </w:r>
            <w:r w:rsidR="00B36F6C">
              <w:rPr>
                <w:noProof/>
                <w:webHidden/>
              </w:rPr>
              <w:fldChar w:fldCharType="begin"/>
            </w:r>
            <w:r w:rsidR="00B36F6C">
              <w:rPr>
                <w:noProof/>
                <w:webHidden/>
              </w:rPr>
              <w:instrText xml:space="preserve"> PAGEREF _Toc381108743 \h </w:instrText>
            </w:r>
            <w:r w:rsidR="00B36F6C">
              <w:rPr>
                <w:noProof/>
                <w:webHidden/>
              </w:rPr>
            </w:r>
            <w:r w:rsidR="00B36F6C">
              <w:rPr>
                <w:noProof/>
                <w:webHidden/>
              </w:rPr>
              <w:fldChar w:fldCharType="separate"/>
            </w:r>
            <w:r w:rsidR="000D0696">
              <w:rPr>
                <w:noProof/>
                <w:webHidden/>
              </w:rPr>
              <w:t>4</w:t>
            </w:r>
            <w:r w:rsidR="00B36F6C">
              <w:rPr>
                <w:noProof/>
                <w:webHidden/>
              </w:rPr>
              <w:fldChar w:fldCharType="end"/>
            </w:r>
          </w:hyperlink>
        </w:p>
        <w:p w:rsidR="00B36F6C" w:rsidRDefault="004C6B3B">
          <w:pPr>
            <w:pStyle w:val="TOC1"/>
            <w:tabs>
              <w:tab w:val="right" w:leader="dot" w:pos="10434"/>
            </w:tabs>
            <w:rPr>
              <w:rFonts w:asciiTheme="minorHAnsi" w:eastAsiaTheme="minorEastAsia" w:hAnsiTheme="minorHAnsi" w:cstheme="minorBidi"/>
              <w:noProof/>
              <w:sz w:val="22"/>
              <w:szCs w:val="22"/>
              <w:lang w:val="en-US" w:eastAsia="en-US"/>
            </w:rPr>
          </w:pPr>
          <w:hyperlink w:anchor="_Toc381108744" w:history="1">
            <w:r w:rsidR="00B36F6C" w:rsidRPr="00782A3B">
              <w:rPr>
                <w:rStyle w:val="Hyperlink"/>
                <w:noProof/>
              </w:rPr>
              <w:t>RESUME ANALYTIQUE</w:t>
            </w:r>
            <w:r w:rsidR="00B36F6C">
              <w:rPr>
                <w:noProof/>
                <w:webHidden/>
              </w:rPr>
              <w:tab/>
            </w:r>
            <w:r w:rsidR="00B36F6C">
              <w:rPr>
                <w:noProof/>
                <w:webHidden/>
              </w:rPr>
              <w:fldChar w:fldCharType="begin"/>
            </w:r>
            <w:r w:rsidR="00B36F6C">
              <w:rPr>
                <w:noProof/>
                <w:webHidden/>
              </w:rPr>
              <w:instrText xml:space="preserve"> PAGEREF _Toc381108744 \h </w:instrText>
            </w:r>
            <w:r w:rsidR="00B36F6C">
              <w:rPr>
                <w:noProof/>
                <w:webHidden/>
              </w:rPr>
            </w:r>
            <w:r w:rsidR="00B36F6C">
              <w:rPr>
                <w:noProof/>
                <w:webHidden/>
              </w:rPr>
              <w:fldChar w:fldCharType="separate"/>
            </w:r>
            <w:r w:rsidR="000D0696">
              <w:rPr>
                <w:noProof/>
                <w:webHidden/>
              </w:rPr>
              <w:t>5</w:t>
            </w:r>
            <w:r w:rsidR="00B36F6C">
              <w:rPr>
                <w:noProof/>
                <w:webHidden/>
              </w:rPr>
              <w:fldChar w:fldCharType="end"/>
            </w:r>
          </w:hyperlink>
        </w:p>
        <w:p w:rsidR="00B36F6C" w:rsidRDefault="004C6B3B">
          <w:pPr>
            <w:pStyle w:val="TOC1"/>
            <w:tabs>
              <w:tab w:val="right" w:leader="dot" w:pos="10434"/>
            </w:tabs>
            <w:rPr>
              <w:rFonts w:asciiTheme="minorHAnsi" w:eastAsiaTheme="minorEastAsia" w:hAnsiTheme="minorHAnsi" w:cstheme="minorBidi"/>
              <w:noProof/>
              <w:sz w:val="22"/>
              <w:szCs w:val="22"/>
              <w:lang w:val="en-US" w:eastAsia="en-US"/>
            </w:rPr>
          </w:pPr>
          <w:hyperlink w:anchor="_Toc381108745" w:history="1">
            <w:r w:rsidR="00B36F6C" w:rsidRPr="00782A3B">
              <w:rPr>
                <w:rStyle w:val="Hyperlink"/>
                <w:noProof/>
              </w:rPr>
              <w:t>BUT</w:t>
            </w:r>
            <w:r w:rsidR="00B36F6C">
              <w:rPr>
                <w:noProof/>
                <w:webHidden/>
              </w:rPr>
              <w:tab/>
            </w:r>
            <w:r w:rsidR="00B36F6C">
              <w:rPr>
                <w:noProof/>
                <w:webHidden/>
              </w:rPr>
              <w:fldChar w:fldCharType="begin"/>
            </w:r>
            <w:r w:rsidR="00B36F6C">
              <w:rPr>
                <w:noProof/>
                <w:webHidden/>
              </w:rPr>
              <w:instrText xml:space="preserve"> PAGEREF _Toc381108745 \h </w:instrText>
            </w:r>
            <w:r w:rsidR="00B36F6C">
              <w:rPr>
                <w:noProof/>
                <w:webHidden/>
              </w:rPr>
            </w:r>
            <w:r w:rsidR="00B36F6C">
              <w:rPr>
                <w:noProof/>
                <w:webHidden/>
              </w:rPr>
              <w:fldChar w:fldCharType="separate"/>
            </w:r>
            <w:r w:rsidR="000D0696">
              <w:rPr>
                <w:noProof/>
                <w:webHidden/>
              </w:rPr>
              <w:t>5</w:t>
            </w:r>
            <w:r w:rsidR="00B36F6C">
              <w:rPr>
                <w:noProof/>
                <w:webHidden/>
              </w:rPr>
              <w:fldChar w:fldCharType="end"/>
            </w:r>
          </w:hyperlink>
        </w:p>
        <w:p w:rsidR="00B36F6C" w:rsidRDefault="004C6B3B">
          <w:pPr>
            <w:pStyle w:val="TOC1"/>
            <w:tabs>
              <w:tab w:val="right" w:leader="dot" w:pos="10434"/>
            </w:tabs>
            <w:rPr>
              <w:rFonts w:asciiTheme="minorHAnsi" w:eastAsiaTheme="minorEastAsia" w:hAnsiTheme="minorHAnsi" w:cstheme="minorBidi"/>
              <w:noProof/>
              <w:sz w:val="22"/>
              <w:szCs w:val="22"/>
              <w:lang w:val="en-US" w:eastAsia="en-US"/>
            </w:rPr>
          </w:pPr>
          <w:hyperlink w:anchor="_Toc381108746" w:history="1">
            <w:r w:rsidR="00B36F6C" w:rsidRPr="00782A3B">
              <w:rPr>
                <w:rStyle w:val="Hyperlink"/>
                <w:noProof/>
              </w:rPr>
              <w:t>PRINCIPAUX OBJECTIFS DU PROGRAMME ET LES RESULTATS ATTENDUS</w:t>
            </w:r>
            <w:r w:rsidR="00B36F6C">
              <w:rPr>
                <w:noProof/>
                <w:webHidden/>
              </w:rPr>
              <w:tab/>
            </w:r>
            <w:r w:rsidR="00B36F6C">
              <w:rPr>
                <w:noProof/>
                <w:webHidden/>
              </w:rPr>
              <w:fldChar w:fldCharType="begin"/>
            </w:r>
            <w:r w:rsidR="00B36F6C">
              <w:rPr>
                <w:noProof/>
                <w:webHidden/>
              </w:rPr>
              <w:instrText xml:space="preserve"> PAGEREF _Toc381108746 \h </w:instrText>
            </w:r>
            <w:r w:rsidR="00B36F6C">
              <w:rPr>
                <w:noProof/>
                <w:webHidden/>
              </w:rPr>
            </w:r>
            <w:r w:rsidR="00B36F6C">
              <w:rPr>
                <w:noProof/>
                <w:webHidden/>
              </w:rPr>
              <w:fldChar w:fldCharType="separate"/>
            </w:r>
            <w:r w:rsidR="000D0696">
              <w:rPr>
                <w:noProof/>
                <w:webHidden/>
              </w:rPr>
              <w:t>6</w:t>
            </w:r>
            <w:r w:rsidR="00B36F6C">
              <w:rPr>
                <w:noProof/>
                <w:webHidden/>
              </w:rPr>
              <w:fldChar w:fldCharType="end"/>
            </w:r>
          </w:hyperlink>
        </w:p>
        <w:p w:rsidR="00B36F6C" w:rsidRDefault="004C6B3B">
          <w:pPr>
            <w:pStyle w:val="TOC1"/>
            <w:tabs>
              <w:tab w:val="right" w:leader="dot" w:pos="10434"/>
            </w:tabs>
            <w:rPr>
              <w:rFonts w:asciiTheme="minorHAnsi" w:eastAsiaTheme="minorEastAsia" w:hAnsiTheme="minorHAnsi" w:cstheme="minorBidi"/>
              <w:noProof/>
              <w:sz w:val="22"/>
              <w:szCs w:val="22"/>
              <w:lang w:val="en-US" w:eastAsia="en-US"/>
            </w:rPr>
          </w:pPr>
          <w:hyperlink w:anchor="_Toc381108747" w:history="1">
            <w:r w:rsidR="00B36F6C" w:rsidRPr="00782A3B">
              <w:rPr>
                <w:rStyle w:val="Hyperlink"/>
                <w:noProof/>
              </w:rPr>
              <w:t>RESULTATS</w:t>
            </w:r>
            <w:r w:rsidR="00B36F6C">
              <w:rPr>
                <w:noProof/>
                <w:webHidden/>
              </w:rPr>
              <w:tab/>
            </w:r>
            <w:r w:rsidR="00B36F6C">
              <w:rPr>
                <w:noProof/>
                <w:webHidden/>
              </w:rPr>
              <w:fldChar w:fldCharType="begin"/>
            </w:r>
            <w:r w:rsidR="00B36F6C">
              <w:rPr>
                <w:noProof/>
                <w:webHidden/>
              </w:rPr>
              <w:instrText xml:space="preserve"> PAGEREF _Toc381108747 \h </w:instrText>
            </w:r>
            <w:r w:rsidR="00B36F6C">
              <w:rPr>
                <w:noProof/>
                <w:webHidden/>
              </w:rPr>
            </w:r>
            <w:r w:rsidR="00B36F6C">
              <w:rPr>
                <w:noProof/>
                <w:webHidden/>
              </w:rPr>
              <w:fldChar w:fldCharType="separate"/>
            </w:r>
            <w:r w:rsidR="000D0696">
              <w:rPr>
                <w:noProof/>
                <w:webHidden/>
              </w:rPr>
              <w:t>7</w:t>
            </w:r>
            <w:r w:rsidR="00B36F6C">
              <w:rPr>
                <w:noProof/>
                <w:webHidden/>
              </w:rPr>
              <w:fldChar w:fldCharType="end"/>
            </w:r>
          </w:hyperlink>
        </w:p>
        <w:p w:rsidR="00B36F6C" w:rsidRDefault="004C6B3B">
          <w:pPr>
            <w:pStyle w:val="TOC1"/>
            <w:tabs>
              <w:tab w:val="right" w:leader="dot" w:pos="10434"/>
            </w:tabs>
            <w:rPr>
              <w:rFonts w:asciiTheme="minorHAnsi" w:eastAsiaTheme="minorEastAsia" w:hAnsiTheme="minorHAnsi" w:cstheme="minorBidi"/>
              <w:noProof/>
              <w:sz w:val="22"/>
              <w:szCs w:val="22"/>
              <w:lang w:val="en-US" w:eastAsia="en-US"/>
            </w:rPr>
          </w:pPr>
          <w:hyperlink w:anchor="_Toc381108748" w:history="1">
            <w:r w:rsidR="00B36F6C" w:rsidRPr="00782A3B">
              <w:rPr>
                <w:rStyle w:val="Hyperlink"/>
                <w:noProof/>
              </w:rPr>
              <w:t>LECONS APPRISES</w:t>
            </w:r>
            <w:r w:rsidR="00B36F6C">
              <w:rPr>
                <w:noProof/>
                <w:webHidden/>
              </w:rPr>
              <w:tab/>
            </w:r>
            <w:r w:rsidR="00B36F6C">
              <w:rPr>
                <w:noProof/>
                <w:webHidden/>
              </w:rPr>
              <w:fldChar w:fldCharType="begin"/>
            </w:r>
            <w:r w:rsidR="00B36F6C">
              <w:rPr>
                <w:noProof/>
                <w:webHidden/>
              </w:rPr>
              <w:instrText xml:space="preserve"> PAGEREF _Toc381108748 \h </w:instrText>
            </w:r>
            <w:r w:rsidR="00B36F6C">
              <w:rPr>
                <w:noProof/>
                <w:webHidden/>
              </w:rPr>
            </w:r>
            <w:r w:rsidR="00B36F6C">
              <w:rPr>
                <w:noProof/>
                <w:webHidden/>
              </w:rPr>
              <w:fldChar w:fldCharType="separate"/>
            </w:r>
            <w:r w:rsidR="000D0696">
              <w:rPr>
                <w:noProof/>
                <w:webHidden/>
              </w:rPr>
              <w:t>12</w:t>
            </w:r>
            <w:r w:rsidR="00B36F6C">
              <w:rPr>
                <w:noProof/>
                <w:webHidden/>
              </w:rPr>
              <w:fldChar w:fldCharType="end"/>
            </w:r>
          </w:hyperlink>
        </w:p>
        <w:p w:rsidR="00B36F6C" w:rsidRDefault="004C6B3B">
          <w:pPr>
            <w:pStyle w:val="TOC1"/>
            <w:tabs>
              <w:tab w:val="right" w:leader="dot" w:pos="10434"/>
            </w:tabs>
            <w:rPr>
              <w:rFonts w:asciiTheme="minorHAnsi" w:eastAsiaTheme="minorEastAsia" w:hAnsiTheme="minorHAnsi" w:cstheme="minorBidi"/>
              <w:noProof/>
              <w:sz w:val="22"/>
              <w:szCs w:val="22"/>
              <w:lang w:val="en-US" w:eastAsia="en-US"/>
            </w:rPr>
          </w:pPr>
          <w:hyperlink w:anchor="_Toc381108749" w:history="1">
            <w:r w:rsidR="00B36F6C" w:rsidRPr="00782A3B">
              <w:rPr>
                <w:rStyle w:val="Hyperlink"/>
                <w:noProof/>
              </w:rPr>
              <w:t>DEFIS</w:t>
            </w:r>
            <w:r w:rsidR="00B36F6C">
              <w:rPr>
                <w:noProof/>
                <w:webHidden/>
              </w:rPr>
              <w:tab/>
            </w:r>
            <w:r w:rsidR="00B36F6C">
              <w:rPr>
                <w:noProof/>
                <w:webHidden/>
              </w:rPr>
              <w:fldChar w:fldCharType="begin"/>
            </w:r>
            <w:r w:rsidR="00B36F6C">
              <w:rPr>
                <w:noProof/>
                <w:webHidden/>
              </w:rPr>
              <w:instrText xml:space="preserve"> PAGEREF _Toc381108749 \h </w:instrText>
            </w:r>
            <w:r w:rsidR="00B36F6C">
              <w:rPr>
                <w:noProof/>
                <w:webHidden/>
              </w:rPr>
            </w:r>
            <w:r w:rsidR="00B36F6C">
              <w:rPr>
                <w:noProof/>
                <w:webHidden/>
              </w:rPr>
              <w:fldChar w:fldCharType="separate"/>
            </w:r>
            <w:r w:rsidR="000D0696">
              <w:rPr>
                <w:noProof/>
                <w:webHidden/>
              </w:rPr>
              <w:t>12</w:t>
            </w:r>
            <w:r w:rsidR="00B36F6C">
              <w:rPr>
                <w:noProof/>
                <w:webHidden/>
              </w:rPr>
              <w:fldChar w:fldCharType="end"/>
            </w:r>
          </w:hyperlink>
        </w:p>
        <w:p w:rsidR="00B36F6C" w:rsidRDefault="004C6B3B">
          <w:pPr>
            <w:pStyle w:val="TOC1"/>
            <w:tabs>
              <w:tab w:val="right" w:leader="dot" w:pos="10434"/>
            </w:tabs>
            <w:rPr>
              <w:rFonts w:asciiTheme="minorHAnsi" w:eastAsiaTheme="minorEastAsia" w:hAnsiTheme="minorHAnsi" w:cstheme="minorBidi"/>
              <w:noProof/>
              <w:sz w:val="22"/>
              <w:szCs w:val="22"/>
              <w:lang w:val="en-US" w:eastAsia="en-US"/>
            </w:rPr>
          </w:pPr>
          <w:hyperlink w:anchor="_Toc381108752" w:history="1">
            <w:r w:rsidR="00B36F6C" w:rsidRPr="00782A3B">
              <w:rPr>
                <w:rStyle w:val="Hyperlink"/>
                <w:noProof/>
                <w:lang w:eastAsia="en-US"/>
              </w:rPr>
              <w:t>PESPECTIVES</w:t>
            </w:r>
            <w:r w:rsidR="00B36F6C">
              <w:rPr>
                <w:noProof/>
                <w:webHidden/>
              </w:rPr>
              <w:tab/>
            </w:r>
            <w:r w:rsidR="00B36F6C">
              <w:rPr>
                <w:noProof/>
                <w:webHidden/>
              </w:rPr>
              <w:fldChar w:fldCharType="begin"/>
            </w:r>
            <w:r w:rsidR="00B36F6C">
              <w:rPr>
                <w:noProof/>
                <w:webHidden/>
              </w:rPr>
              <w:instrText xml:space="preserve"> PAGEREF _Toc381108752 \h </w:instrText>
            </w:r>
            <w:r w:rsidR="00B36F6C">
              <w:rPr>
                <w:noProof/>
                <w:webHidden/>
              </w:rPr>
            </w:r>
            <w:r w:rsidR="00B36F6C">
              <w:rPr>
                <w:noProof/>
                <w:webHidden/>
              </w:rPr>
              <w:fldChar w:fldCharType="separate"/>
            </w:r>
            <w:r w:rsidR="000D0696">
              <w:rPr>
                <w:noProof/>
                <w:webHidden/>
              </w:rPr>
              <w:t>13</w:t>
            </w:r>
            <w:r w:rsidR="00B36F6C">
              <w:rPr>
                <w:noProof/>
                <w:webHidden/>
              </w:rPr>
              <w:fldChar w:fldCharType="end"/>
            </w:r>
          </w:hyperlink>
        </w:p>
        <w:p w:rsidR="00B36F6C" w:rsidRDefault="004C6B3B">
          <w:pPr>
            <w:pStyle w:val="TOC1"/>
            <w:tabs>
              <w:tab w:val="right" w:leader="dot" w:pos="10434"/>
            </w:tabs>
            <w:rPr>
              <w:rFonts w:asciiTheme="minorHAnsi" w:eastAsiaTheme="minorEastAsia" w:hAnsiTheme="minorHAnsi" w:cstheme="minorBidi"/>
              <w:noProof/>
              <w:sz w:val="22"/>
              <w:szCs w:val="22"/>
              <w:lang w:val="en-US" w:eastAsia="en-US"/>
            </w:rPr>
          </w:pPr>
          <w:hyperlink r:id="rId13" w:anchor="_Toc381108753" w:history="1">
            <w:r w:rsidR="00B36F6C" w:rsidRPr="00782A3B">
              <w:rPr>
                <w:rStyle w:val="Hyperlink"/>
                <w:noProof/>
              </w:rPr>
              <w:t>EVALUATION DE LA PERFOMANCE A PARTIR D’INDICATEURS :</w:t>
            </w:r>
            <w:r w:rsidR="00B36F6C">
              <w:rPr>
                <w:noProof/>
                <w:webHidden/>
              </w:rPr>
              <w:tab/>
            </w:r>
            <w:r w:rsidR="00B36F6C">
              <w:rPr>
                <w:noProof/>
                <w:webHidden/>
              </w:rPr>
              <w:fldChar w:fldCharType="begin"/>
            </w:r>
            <w:r w:rsidR="00B36F6C">
              <w:rPr>
                <w:noProof/>
                <w:webHidden/>
              </w:rPr>
              <w:instrText xml:space="preserve"> PAGEREF _Toc381108753 \h </w:instrText>
            </w:r>
            <w:r w:rsidR="00B36F6C">
              <w:rPr>
                <w:noProof/>
                <w:webHidden/>
              </w:rPr>
            </w:r>
            <w:r w:rsidR="00B36F6C">
              <w:rPr>
                <w:noProof/>
                <w:webHidden/>
              </w:rPr>
              <w:fldChar w:fldCharType="separate"/>
            </w:r>
            <w:r w:rsidR="000D0696">
              <w:rPr>
                <w:noProof/>
                <w:webHidden/>
              </w:rPr>
              <w:t>14</w:t>
            </w:r>
            <w:r w:rsidR="00B36F6C">
              <w:rPr>
                <w:noProof/>
                <w:webHidden/>
              </w:rPr>
              <w:fldChar w:fldCharType="end"/>
            </w:r>
          </w:hyperlink>
        </w:p>
        <w:p w:rsidR="00B36F6C" w:rsidRDefault="004C6B3B">
          <w:pPr>
            <w:pStyle w:val="TOC1"/>
            <w:tabs>
              <w:tab w:val="right" w:leader="dot" w:pos="10434"/>
            </w:tabs>
            <w:rPr>
              <w:rFonts w:asciiTheme="minorHAnsi" w:eastAsiaTheme="minorEastAsia" w:hAnsiTheme="minorHAnsi" w:cstheme="minorBidi"/>
              <w:noProof/>
              <w:sz w:val="22"/>
              <w:szCs w:val="22"/>
              <w:lang w:val="en-US" w:eastAsia="en-US"/>
            </w:rPr>
          </w:pPr>
          <w:hyperlink w:anchor="_Toc381108754" w:history="1">
            <w:r w:rsidR="00B36F6C" w:rsidRPr="00782A3B">
              <w:rPr>
                <w:rStyle w:val="Hyperlink"/>
                <w:noProof/>
              </w:rPr>
              <w:t>HISTOIRE D’UNE REUSSITE PRECISE</w:t>
            </w:r>
            <w:r w:rsidR="00B36F6C">
              <w:rPr>
                <w:noProof/>
                <w:webHidden/>
              </w:rPr>
              <w:tab/>
            </w:r>
            <w:r w:rsidR="00B36F6C">
              <w:rPr>
                <w:noProof/>
                <w:webHidden/>
              </w:rPr>
              <w:fldChar w:fldCharType="begin"/>
            </w:r>
            <w:r w:rsidR="00B36F6C">
              <w:rPr>
                <w:noProof/>
                <w:webHidden/>
              </w:rPr>
              <w:instrText xml:space="preserve"> PAGEREF _Toc381108754 \h </w:instrText>
            </w:r>
            <w:r w:rsidR="00B36F6C">
              <w:rPr>
                <w:noProof/>
                <w:webHidden/>
              </w:rPr>
            </w:r>
            <w:r w:rsidR="00B36F6C">
              <w:rPr>
                <w:noProof/>
                <w:webHidden/>
              </w:rPr>
              <w:fldChar w:fldCharType="separate"/>
            </w:r>
            <w:r w:rsidR="000D0696">
              <w:rPr>
                <w:noProof/>
                <w:webHidden/>
              </w:rPr>
              <w:t>19</w:t>
            </w:r>
            <w:r w:rsidR="00B36F6C">
              <w:rPr>
                <w:noProof/>
                <w:webHidden/>
              </w:rPr>
              <w:fldChar w:fldCharType="end"/>
            </w:r>
          </w:hyperlink>
        </w:p>
        <w:p w:rsidR="00B36F6C" w:rsidRDefault="004C6B3B">
          <w:pPr>
            <w:pStyle w:val="TOC1"/>
            <w:tabs>
              <w:tab w:val="right" w:leader="dot" w:pos="10434"/>
            </w:tabs>
            <w:rPr>
              <w:rFonts w:asciiTheme="minorHAnsi" w:eastAsiaTheme="minorEastAsia" w:hAnsiTheme="minorHAnsi" w:cstheme="minorBidi"/>
              <w:noProof/>
              <w:sz w:val="22"/>
              <w:szCs w:val="22"/>
              <w:lang w:val="en-US" w:eastAsia="en-US"/>
            </w:rPr>
          </w:pPr>
          <w:hyperlink w:anchor="_Toc381108755" w:history="1">
            <w:r w:rsidR="00B36F6C" w:rsidRPr="00782A3B">
              <w:rPr>
                <w:rStyle w:val="Hyperlink"/>
                <w:noProof/>
              </w:rPr>
              <w:t>DISPOSITIONS DE SUIVI</w:t>
            </w:r>
            <w:r w:rsidR="00B36F6C">
              <w:rPr>
                <w:noProof/>
                <w:webHidden/>
              </w:rPr>
              <w:tab/>
            </w:r>
            <w:r w:rsidR="00B36F6C">
              <w:rPr>
                <w:noProof/>
                <w:webHidden/>
              </w:rPr>
              <w:fldChar w:fldCharType="begin"/>
            </w:r>
            <w:r w:rsidR="00B36F6C">
              <w:rPr>
                <w:noProof/>
                <w:webHidden/>
              </w:rPr>
              <w:instrText xml:space="preserve"> PAGEREF _Toc381108755 \h </w:instrText>
            </w:r>
            <w:r w:rsidR="00B36F6C">
              <w:rPr>
                <w:noProof/>
                <w:webHidden/>
              </w:rPr>
            </w:r>
            <w:r w:rsidR="00B36F6C">
              <w:rPr>
                <w:noProof/>
                <w:webHidden/>
              </w:rPr>
              <w:fldChar w:fldCharType="separate"/>
            </w:r>
            <w:r w:rsidR="000D0696">
              <w:rPr>
                <w:noProof/>
                <w:webHidden/>
              </w:rPr>
              <w:t>20</w:t>
            </w:r>
            <w:r w:rsidR="00B36F6C">
              <w:rPr>
                <w:noProof/>
                <w:webHidden/>
              </w:rPr>
              <w:fldChar w:fldCharType="end"/>
            </w:r>
          </w:hyperlink>
        </w:p>
        <w:p w:rsidR="00B36F6C" w:rsidRDefault="004C6B3B">
          <w:pPr>
            <w:pStyle w:val="TOC1"/>
            <w:tabs>
              <w:tab w:val="right" w:leader="dot" w:pos="10434"/>
            </w:tabs>
            <w:rPr>
              <w:rFonts w:asciiTheme="minorHAnsi" w:eastAsiaTheme="minorEastAsia" w:hAnsiTheme="minorHAnsi" w:cstheme="minorBidi"/>
              <w:noProof/>
              <w:sz w:val="22"/>
              <w:szCs w:val="22"/>
              <w:lang w:val="en-US" w:eastAsia="en-US"/>
            </w:rPr>
          </w:pPr>
          <w:hyperlink w:anchor="_Toc381108756" w:history="1">
            <w:r w:rsidR="00B36F6C" w:rsidRPr="00782A3B">
              <w:rPr>
                <w:rStyle w:val="Hyperlink"/>
                <w:noProof/>
              </w:rPr>
              <w:t>REVISIONS PROGRAMMATIQUES (le cas échéant)</w:t>
            </w:r>
            <w:r w:rsidR="00B36F6C">
              <w:rPr>
                <w:noProof/>
                <w:webHidden/>
              </w:rPr>
              <w:tab/>
            </w:r>
            <w:r w:rsidR="00B36F6C">
              <w:rPr>
                <w:noProof/>
                <w:webHidden/>
              </w:rPr>
              <w:fldChar w:fldCharType="begin"/>
            </w:r>
            <w:r w:rsidR="00B36F6C">
              <w:rPr>
                <w:noProof/>
                <w:webHidden/>
              </w:rPr>
              <w:instrText xml:space="preserve"> PAGEREF _Toc381108756 \h </w:instrText>
            </w:r>
            <w:r w:rsidR="00B36F6C">
              <w:rPr>
                <w:noProof/>
                <w:webHidden/>
              </w:rPr>
            </w:r>
            <w:r w:rsidR="00B36F6C">
              <w:rPr>
                <w:noProof/>
                <w:webHidden/>
              </w:rPr>
              <w:fldChar w:fldCharType="separate"/>
            </w:r>
            <w:r w:rsidR="000D0696">
              <w:rPr>
                <w:noProof/>
                <w:webHidden/>
              </w:rPr>
              <w:t>20</w:t>
            </w:r>
            <w:r w:rsidR="00B36F6C">
              <w:rPr>
                <w:noProof/>
                <w:webHidden/>
              </w:rPr>
              <w:fldChar w:fldCharType="end"/>
            </w:r>
          </w:hyperlink>
        </w:p>
        <w:p w:rsidR="00B36F6C" w:rsidRDefault="004C6B3B">
          <w:pPr>
            <w:pStyle w:val="TOC1"/>
            <w:tabs>
              <w:tab w:val="right" w:leader="dot" w:pos="10434"/>
            </w:tabs>
            <w:rPr>
              <w:rFonts w:asciiTheme="minorHAnsi" w:eastAsiaTheme="minorEastAsia" w:hAnsiTheme="minorHAnsi" w:cstheme="minorBidi"/>
              <w:noProof/>
              <w:sz w:val="22"/>
              <w:szCs w:val="22"/>
              <w:lang w:val="en-US" w:eastAsia="en-US"/>
            </w:rPr>
          </w:pPr>
          <w:hyperlink w:anchor="_Toc381108757" w:history="1">
            <w:r w:rsidR="00B36F6C" w:rsidRPr="00782A3B">
              <w:rPr>
                <w:rStyle w:val="Hyperlink"/>
                <w:noProof/>
              </w:rPr>
              <w:t>RESSOURCES (facultatif)</w:t>
            </w:r>
            <w:r w:rsidR="00B36F6C">
              <w:rPr>
                <w:noProof/>
                <w:webHidden/>
              </w:rPr>
              <w:tab/>
            </w:r>
            <w:r w:rsidR="00B36F6C">
              <w:rPr>
                <w:noProof/>
                <w:webHidden/>
              </w:rPr>
              <w:fldChar w:fldCharType="begin"/>
            </w:r>
            <w:r w:rsidR="00B36F6C">
              <w:rPr>
                <w:noProof/>
                <w:webHidden/>
              </w:rPr>
              <w:instrText xml:space="preserve"> PAGEREF _Toc381108757 \h </w:instrText>
            </w:r>
            <w:r w:rsidR="00B36F6C">
              <w:rPr>
                <w:noProof/>
                <w:webHidden/>
              </w:rPr>
            </w:r>
            <w:r w:rsidR="00B36F6C">
              <w:rPr>
                <w:noProof/>
                <w:webHidden/>
              </w:rPr>
              <w:fldChar w:fldCharType="separate"/>
            </w:r>
            <w:r w:rsidR="000D0696">
              <w:rPr>
                <w:noProof/>
                <w:webHidden/>
              </w:rPr>
              <w:t>21</w:t>
            </w:r>
            <w:r w:rsidR="00B36F6C">
              <w:rPr>
                <w:noProof/>
                <w:webHidden/>
              </w:rPr>
              <w:fldChar w:fldCharType="end"/>
            </w:r>
          </w:hyperlink>
        </w:p>
        <w:p w:rsidR="00AC08E7" w:rsidRDefault="00AC08E7">
          <w:r>
            <w:rPr>
              <w:b/>
              <w:bCs/>
              <w:noProof/>
            </w:rPr>
            <w:fldChar w:fldCharType="end"/>
          </w:r>
        </w:p>
      </w:sdtContent>
    </w:sdt>
    <w:p w:rsidR="000F3EF9" w:rsidRDefault="000F3EF9" w:rsidP="004D18B1">
      <w:pPr>
        <w:rPr>
          <w:rFonts w:cs="Arial"/>
          <w:b/>
          <w:bCs/>
          <w:u w:val="single"/>
        </w:rPr>
      </w:pPr>
    </w:p>
    <w:p w:rsidR="00EA7271" w:rsidRDefault="00EA7271">
      <w:pPr>
        <w:rPr>
          <w:b/>
          <w:bCs/>
          <w:color w:val="4F81BD" w:themeColor="accent1"/>
          <w:sz w:val="18"/>
          <w:szCs w:val="18"/>
          <w:lang w:val="en-US"/>
        </w:rPr>
      </w:pPr>
      <w:r>
        <w:rPr>
          <w:lang w:val="en-US"/>
        </w:rPr>
        <w:br w:type="page"/>
      </w:r>
    </w:p>
    <w:p w:rsidR="000F3EF9" w:rsidRPr="00AC08E7" w:rsidRDefault="000F3EF9" w:rsidP="00AC08E7">
      <w:pPr>
        <w:pStyle w:val="Caption"/>
        <w:rPr>
          <w:lang w:val="en-US"/>
        </w:rPr>
      </w:pPr>
    </w:p>
    <w:p w:rsidR="007500D6" w:rsidRPr="005D7155" w:rsidRDefault="007500D6" w:rsidP="007500D6">
      <w:pPr>
        <w:pStyle w:val="Heading1"/>
        <w:rPr>
          <w:lang w:val="en-US"/>
        </w:rPr>
      </w:pPr>
      <w:bookmarkStart w:id="2" w:name="_Toc381108743"/>
      <w:r w:rsidRPr="005D7155">
        <w:rPr>
          <w:lang w:val="en-US"/>
        </w:rPr>
        <w:t xml:space="preserve">LISTE DES SIGLES </w:t>
      </w:r>
      <w:bookmarkEnd w:id="2"/>
    </w:p>
    <w:p w:rsidR="007500D6" w:rsidRPr="005D7155" w:rsidRDefault="007500D6" w:rsidP="007500D6">
      <w:pPr>
        <w:rPr>
          <w:rFonts w:cs="Calibri"/>
          <w:lang w:val="en-US"/>
        </w:rPr>
      </w:pPr>
    </w:p>
    <w:p w:rsidR="007500D6" w:rsidRPr="005D7155" w:rsidRDefault="007500D6" w:rsidP="00D83CED">
      <w:pPr>
        <w:spacing w:line="360" w:lineRule="auto"/>
        <w:rPr>
          <w:rFonts w:cs="Calibri"/>
          <w:lang w:val="en-US"/>
        </w:rPr>
      </w:pPr>
      <w:r w:rsidRPr="005D7155">
        <w:rPr>
          <w:rFonts w:cs="Calibri"/>
          <w:lang w:val="en-US"/>
        </w:rPr>
        <w:t>ARCPN (At Risk Children Protection Network)</w:t>
      </w:r>
    </w:p>
    <w:p w:rsidR="007500D6" w:rsidRPr="00D73C50" w:rsidRDefault="007500D6" w:rsidP="00D83CED">
      <w:pPr>
        <w:spacing w:line="360" w:lineRule="auto"/>
        <w:jc w:val="both"/>
        <w:rPr>
          <w:rFonts w:cs="Calibri"/>
        </w:rPr>
      </w:pPr>
      <w:r w:rsidRPr="00D73C50">
        <w:rPr>
          <w:rFonts w:cs="Calibri"/>
        </w:rPr>
        <w:t>CEPERTAM (Centre de Perfectionnement Technique en Auto Mécanique)</w:t>
      </w:r>
    </w:p>
    <w:p w:rsidR="007500D6" w:rsidRPr="00D73C50" w:rsidRDefault="007500D6" w:rsidP="00D83CED">
      <w:pPr>
        <w:spacing w:line="360" w:lineRule="auto"/>
        <w:jc w:val="both"/>
        <w:rPr>
          <w:rFonts w:cs="Calibri"/>
        </w:rPr>
      </w:pPr>
      <w:r w:rsidRPr="00D73C50">
        <w:rPr>
          <w:rFonts w:cs="Calibri"/>
        </w:rPr>
        <w:t>CFP (Centre de Formation Professionnelle)</w:t>
      </w:r>
    </w:p>
    <w:p w:rsidR="007500D6" w:rsidRPr="00D73C50" w:rsidRDefault="007500D6" w:rsidP="00D83CED">
      <w:pPr>
        <w:spacing w:line="360" w:lineRule="auto"/>
        <w:jc w:val="both"/>
        <w:rPr>
          <w:rFonts w:cs="Calibri"/>
        </w:rPr>
      </w:pPr>
      <w:r w:rsidRPr="00D73C50">
        <w:rPr>
          <w:rFonts w:cs="Calibri"/>
        </w:rPr>
        <w:t>CFPPP (Centre de Formation Professionnelle Post Primaire)</w:t>
      </w:r>
    </w:p>
    <w:p w:rsidR="007500D6" w:rsidRPr="00D73C50" w:rsidRDefault="007500D6" w:rsidP="00D83CED">
      <w:pPr>
        <w:spacing w:line="360" w:lineRule="auto"/>
        <w:jc w:val="both"/>
        <w:rPr>
          <w:rFonts w:cs="Calibri"/>
        </w:rPr>
      </w:pPr>
      <w:r w:rsidRPr="00D73C50">
        <w:rPr>
          <w:rFonts w:cs="Calibri"/>
        </w:rPr>
        <w:t>DPJ (Direction Préfectorale de la Jeunesse)</w:t>
      </w:r>
    </w:p>
    <w:p w:rsidR="007500D6" w:rsidRPr="00D73C50" w:rsidRDefault="007500D6" w:rsidP="00D83CED">
      <w:pPr>
        <w:spacing w:line="360" w:lineRule="auto"/>
        <w:jc w:val="both"/>
        <w:rPr>
          <w:rFonts w:cs="Calibri"/>
        </w:rPr>
      </w:pPr>
      <w:r w:rsidRPr="00D73C50">
        <w:rPr>
          <w:rFonts w:cs="Calibri"/>
        </w:rPr>
        <w:t>DRC (Conseil Danois pour les Réfugiés)</w:t>
      </w:r>
    </w:p>
    <w:p w:rsidR="007500D6" w:rsidRPr="00D73C50" w:rsidRDefault="007500D6" w:rsidP="00D83CED">
      <w:pPr>
        <w:spacing w:line="360" w:lineRule="auto"/>
        <w:jc w:val="both"/>
        <w:rPr>
          <w:rFonts w:cs="Calibri"/>
        </w:rPr>
      </w:pPr>
      <w:r w:rsidRPr="00D73C50">
        <w:rPr>
          <w:rFonts w:cs="Calibri"/>
        </w:rPr>
        <w:t>ENAE (Ecole Nationale d’Agriculture et d’Elevage</w:t>
      </w:r>
    </w:p>
    <w:p w:rsidR="007500D6" w:rsidRPr="00D73C50" w:rsidRDefault="007500D6" w:rsidP="00D83CED">
      <w:pPr>
        <w:spacing w:line="360" w:lineRule="auto"/>
        <w:jc w:val="both"/>
        <w:rPr>
          <w:rFonts w:cs="Calibri"/>
        </w:rPr>
      </w:pPr>
      <w:r w:rsidRPr="00D73C50">
        <w:rPr>
          <w:rFonts w:cs="Calibri"/>
        </w:rPr>
        <w:t>ESSC (Ecole des Soins de Santé Communautaire)</w:t>
      </w:r>
    </w:p>
    <w:p w:rsidR="007500D6" w:rsidRPr="00D73C50" w:rsidRDefault="007500D6" w:rsidP="00D83CED">
      <w:pPr>
        <w:spacing w:line="360" w:lineRule="auto"/>
        <w:jc w:val="both"/>
        <w:rPr>
          <w:rFonts w:cs="Calibri"/>
        </w:rPr>
      </w:pPr>
      <w:r w:rsidRPr="00D73C50">
        <w:rPr>
          <w:rFonts w:cs="Calibri"/>
        </w:rPr>
        <w:t>ITS (</w:t>
      </w:r>
      <w:proofErr w:type="spellStart"/>
      <w:r w:rsidRPr="00D73C50">
        <w:rPr>
          <w:rFonts w:cs="Calibri"/>
        </w:rPr>
        <w:t>Industrial</w:t>
      </w:r>
      <w:proofErr w:type="spellEnd"/>
      <w:r w:rsidRPr="00D73C50">
        <w:rPr>
          <w:rFonts w:cs="Calibri"/>
        </w:rPr>
        <w:t xml:space="preserve"> </w:t>
      </w:r>
      <w:proofErr w:type="spellStart"/>
      <w:r w:rsidRPr="00D73C50">
        <w:rPr>
          <w:rFonts w:cs="Calibri"/>
        </w:rPr>
        <w:t>Technical</w:t>
      </w:r>
      <w:proofErr w:type="spellEnd"/>
      <w:r w:rsidRPr="00D73C50">
        <w:rPr>
          <w:rFonts w:cs="Calibri"/>
        </w:rPr>
        <w:t xml:space="preserve"> Service)</w:t>
      </w:r>
    </w:p>
    <w:p w:rsidR="007500D6" w:rsidRPr="00D73C50" w:rsidRDefault="007500D6" w:rsidP="00D83CED">
      <w:pPr>
        <w:spacing w:line="360" w:lineRule="auto"/>
        <w:jc w:val="both"/>
        <w:rPr>
          <w:rFonts w:cs="Calibri"/>
        </w:rPr>
      </w:pPr>
      <w:r w:rsidRPr="00D73C50">
        <w:rPr>
          <w:rFonts w:cs="Calibri"/>
        </w:rPr>
        <w:t>MEET/FP (Ministère de l’Emploi, Enseignement Technique et Formation Professionnelle)</w:t>
      </w:r>
    </w:p>
    <w:p w:rsidR="007500D6" w:rsidRPr="00D73C50" w:rsidRDefault="007500D6" w:rsidP="00D83CED">
      <w:pPr>
        <w:spacing w:line="360" w:lineRule="auto"/>
        <w:jc w:val="both"/>
        <w:rPr>
          <w:rFonts w:cs="Calibri"/>
        </w:rPr>
      </w:pPr>
      <w:r w:rsidRPr="00D73C50">
        <w:rPr>
          <w:rFonts w:cs="Calibri"/>
        </w:rPr>
        <w:t xml:space="preserve">MJEJ (Ministère de la Jeunesse et Emploi Jeune) </w:t>
      </w:r>
    </w:p>
    <w:p w:rsidR="007500D6" w:rsidRPr="00D73C50" w:rsidRDefault="007500D6" w:rsidP="00D83CED">
      <w:pPr>
        <w:spacing w:line="360" w:lineRule="auto"/>
        <w:jc w:val="both"/>
        <w:rPr>
          <w:rFonts w:cs="Calibri"/>
        </w:rPr>
      </w:pPr>
      <w:r w:rsidRPr="00D73C50">
        <w:rPr>
          <w:rFonts w:cs="Calibri"/>
        </w:rPr>
        <w:t>MDE (Monde des Enfants)</w:t>
      </w:r>
    </w:p>
    <w:p w:rsidR="007500D6" w:rsidRPr="00D73C50" w:rsidRDefault="007500D6" w:rsidP="00D83CED">
      <w:pPr>
        <w:spacing w:line="360" w:lineRule="auto"/>
        <w:jc w:val="both"/>
        <w:rPr>
          <w:rFonts w:cs="Calibri"/>
        </w:rPr>
      </w:pPr>
      <w:r w:rsidRPr="00D73C50">
        <w:rPr>
          <w:rFonts w:cs="Calibri"/>
        </w:rPr>
        <w:t>ONG (Organisation Non Gouvernementale)</w:t>
      </w:r>
    </w:p>
    <w:p w:rsidR="007500D6" w:rsidRPr="00D73C50" w:rsidRDefault="007500D6" w:rsidP="00D83CED">
      <w:pPr>
        <w:spacing w:line="360" w:lineRule="auto"/>
        <w:jc w:val="both"/>
        <w:rPr>
          <w:rFonts w:cs="Calibri"/>
          <w:lang w:val="en-US"/>
        </w:rPr>
      </w:pPr>
      <w:r w:rsidRPr="00D73C50">
        <w:rPr>
          <w:rFonts w:cs="Calibri"/>
          <w:lang w:val="en-US"/>
        </w:rPr>
        <w:t>PAM (</w:t>
      </w:r>
      <w:proofErr w:type="spellStart"/>
      <w:r w:rsidRPr="00D73C50">
        <w:rPr>
          <w:rFonts w:cs="Calibri"/>
          <w:lang w:val="en-US"/>
        </w:rPr>
        <w:t>Programme</w:t>
      </w:r>
      <w:proofErr w:type="spellEnd"/>
      <w:r w:rsidRPr="00D73C50">
        <w:rPr>
          <w:rFonts w:cs="Calibri"/>
          <w:lang w:val="en-US"/>
        </w:rPr>
        <w:t xml:space="preserve"> </w:t>
      </w:r>
      <w:proofErr w:type="spellStart"/>
      <w:r w:rsidRPr="00D73C50">
        <w:rPr>
          <w:rFonts w:cs="Calibri"/>
          <w:lang w:val="en-US"/>
        </w:rPr>
        <w:t>Alimentaire</w:t>
      </w:r>
      <w:proofErr w:type="spellEnd"/>
      <w:r w:rsidRPr="00D73C50">
        <w:rPr>
          <w:rFonts w:cs="Calibri"/>
          <w:lang w:val="en-US"/>
        </w:rPr>
        <w:t xml:space="preserve"> </w:t>
      </w:r>
      <w:proofErr w:type="spellStart"/>
      <w:r w:rsidRPr="00D73C50">
        <w:rPr>
          <w:rFonts w:cs="Calibri"/>
          <w:lang w:val="en-US"/>
        </w:rPr>
        <w:t>Mondial</w:t>
      </w:r>
      <w:proofErr w:type="spellEnd"/>
      <w:r w:rsidRPr="00D73C50">
        <w:rPr>
          <w:rFonts w:cs="Calibri"/>
          <w:lang w:val="en-US"/>
        </w:rPr>
        <w:t>)</w:t>
      </w:r>
    </w:p>
    <w:p w:rsidR="007500D6" w:rsidRPr="00D73C50" w:rsidRDefault="007500D6" w:rsidP="00D83CED">
      <w:pPr>
        <w:spacing w:line="360" w:lineRule="auto"/>
        <w:jc w:val="both"/>
        <w:rPr>
          <w:rFonts w:cs="Calibri"/>
          <w:lang w:val="en-US"/>
        </w:rPr>
      </w:pPr>
      <w:r w:rsidRPr="00D73C50">
        <w:rPr>
          <w:rFonts w:cs="Calibri"/>
          <w:lang w:val="en-US"/>
        </w:rPr>
        <w:t>PBF (Peace Building Fund)</w:t>
      </w:r>
    </w:p>
    <w:p w:rsidR="007500D6" w:rsidRPr="00D73C50" w:rsidRDefault="007500D6" w:rsidP="00D83CED">
      <w:pPr>
        <w:spacing w:line="360" w:lineRule="auto"/>
        <w:jc w:val="both"/>
        <w:rPr>
          <w:rFonts w:cs="Calibri"/>
        </w:rPr>
      </w:pPr>
      <w:r w:rsidRPr="00D73C50">
        <w:rPr>
          <w:rFonts w:cs="Calibri"/>
        </w:rPr>
        <w:t>UNICEF (Fond des Nations Unies pour l’Enfance)</w:t>
      </w:r>
    </w:p>
    <w:p w:rsidR="000F3EF9" w:rsidRPr="007500D6" w:rsidRDefault="000F3EF9" w:rsidP="004D18B1">
      <w:pPr>
        <w:rPr>
          <w:rFonts w:cs="Arial"/>
          <w:b/>
          <w:bCs/>
          <w:u w:val="single"/>
        </w:rPr>
      </w:pPr>
    </w:p>
    <w:p w:rsidR="000F3EF9" w:rsidRPr="007500D6" w:rsidRDefault="000F3EF9" w:rsidP="004D18B1">
      <w:pPr>
        <w:rPr>
          <w:sz w:val="16"/>
        </w:rPr>
      </w:pPr>
    </w:p>
    <w:p w:rsidR="00EA7271" w:rsidRDefault="00EA7271">
      <w:pPr>
        <w:rPr>
          <w:sz w:val="16"/>
        </w:rPr>
      </w:pPr>
      <w:r>
        <w:rPr>
          <w:sz w:val="16"/>
        </w:rPr>
        <w:br w:type="page"/>
      </w:r>
    </w:p>
    <w:p w:rsidR="00264361" w:rsidRPr="007500D6" w:rsidRDefault="00264361" w:rsidP="004D18B1">
      <w:pPr>
        <w:rPr>
          <w:sz w:val="16"/>
        </w:rPr>
      </w:pPr>
    </w:p>
    <w:p w:rsidR="00264361" w:rsidRPr="00334073" w:rsidRDefault="00264361" w:rsidP="00AC08E7">
      <w:pPr>
        <w:pStyle w:val="Heading1"/>
      </w:pPr>
      <w:bookmarkStart w:id="3" w:name="_Toc381080780"/>
      <w:bookmarkStart w:id="4" w:name="_Toc381108744"/>
      <w:r w:rsidRPr="00334073">
        <w:t>RESUME ANALYTIQUE</w:t>
      </w:r>
      <w:bookmarkEnd w:id="3"/>
      <w:bookmarkEnd w:id="4"/>
      <w:r w:rsidRPr="00334073">
        <w:t xml:space="preserve"> </w:t>
      </w:r>
    </w:p>
    <w:p w:rsidR="00426461" w:rsidRDefault="00426461" w:rsidP="00426461">
      <w:pPr>
        <w:jc w:val="both"/>
      </w:pPr>
    </w:p>
    <w:p w:rsidR="0038208B" w:rsidRDefault="00946707" w:rsidP="00946707">
      <w:pPr>
        <w:pStyle w:val="ListParagraph"/>
        <w:ind w:left="0"/>
        <w:jc w:val="both"/>
        <w:rPr>
          <w:lang w:val="fr-FR"/>
        </w:rPr>
      </w:pPr>
      <w:r>
        <w:rPr>
          <w:lang w:val="fr-FR"/>
        </w:rPr>
        <w:t xml:space="preserve">Durant l’année 2013, les principales réalisations du «Projet </w:t>
      </w:r>
      <w:r w:rsidRPr="00E61083">
        <w:rPr>
          <w:lang w:val="fr-FR"/>
        </w:rPr>
        <w:t xml:space="preserve">de </w:t>
      </w:r>
      <w:r>
        <w:rPr>
          <w:lang w:val="fr-FR"/>
        </w:rPr>
        <w:t>r</w:t>
      </w:r>
      <w:r w:rsidRPr="00E61083">
        <w:rPr>
          <w:lang w:val="fr-FR"/>
        </w:rPr>
        <w:t>éintégration des jeunes associés aux forces armées et de jeunes vulnérables</w:t>
      </w:r>
      <w:r>
        <w:rPr>
          <w:lang w:val="fr-FR"/>
        </w:rPr>
        <w:t> » ont été l’accompagnement éducatif et/ou psychosocial et socio-économique</w:t>
      </w:r>
      <w:r w:rsidR="00835C70">
        <w:rPr>
          <w:lang w:val="fr-FR"/>
        </w:rPr>
        <w:t xml:space="preserve"> d’environ 1809 jeunes</w:t>
      </w:r>
      <w:r w:rsidR="0038208B">
        <w:rPr>
          <w:lang w:val="fr-FR"/>
        </w:rPr>
        <w:t>.</w:t>
      </w:r>
    </w:p>
    <w:p w:rsidR="0038208B" w:rsidRDefault="0038208B" w:rsidP="00946707">
      <w:pPr>
        <w:pStyle w:val="ListParagraph"/>
        <w:ind w:left="0"/>
        <w:jc w:val="both"/>
        <w:rPr>
          <w:lang w:val="fr-FR"/>
        </w:rPr>
      </w:pPr>
    </w:p>
    <w:p w:rsidR="0038208B" w:rsidRDefault="00946707" w:rsidP="00946707">
      <w:pPr>
        <w:pStyle w:val="ListParagraph"/>
        <w:ind w:left="0"/>
        <w:jc w:val="both"/>
        <w:rPr>
          <w:lang w:val="fr-FR"/>
        </w:rPr>
      </w:pPr>
      <w:r>
        <w:rPr>
          <w:lang w:val="fr-FR"/>
        </w:rPr>
        <w:t>De cet effec</w:t>
      </w:r>
      <w:r w:rsidR="00087A5F">
        <w:rPr>
          <w:lang w:val="fr-FR"/>
        </w:rPr>
        <w:t>tif, il convient de compter 179 jeunes</w:t>
      </w:r>
      <w:r>
        <w:rPr>
          <w:lang w:val="fr-FR"/>
        </w:rPr>
        <w:t xml:space="preserve"> ayant décroché leur diplôme en 2012 </w:t>
      </w:r>
      <w:r w:rsidR="00646390">
        <w:rPr>
          <w:lang w:val="fr-FR"/>
        </w:rPr>
        <w:t xml:space="preserve">qui ont pu bénéficier après leur diplôme de l’accompagnement psychosocial et socio-économique </w:t>
      </w:r>
      <w:r>
        <w:rPr>
          <w:lang w:val="fr-FR"/>
        </w:rPr>
        <w:t xml:space="preserve">et </w:t>
      </w:r>
      <w:r w:rsidR="00110257">
        <w:rPr>
          <w:lang w:val="fr-FR"/>
        </w:rPr>
        <w:t>1650</w:t>
      </w:r>
      <w:r>
        <w:rPr>
          <w:lang w:val="fr-FR"/>
        </w:rPr>
        <w:t xml:space="preserve"> jeunes</w:t>
      </w:r>
      <w:r w:rsidR="0067663C">
        <w:rPr>
          <w:lang w:val="fr-FR"/>
        </w:rPr>
        <w:t>,</w:t>
      </w:r>
      <w:r>
        <w:rPr>
          <w:lang w:val="fr-FR"/>
        </w:rPr>
        <w:t xml:space="preserve"> </w:t>
      </w:r>
      <w:r w:rsidR="007C658C">
        <w:rPr>
          <w:lang w:val="fr-FR"/>
        </w:rPr>
        <w:t xml:space="preserve">qui ont </w:t>
      </w:r>
      <w:r>
        <w:rPr>
          <w:lang w:val="fr-FR"/>
        </w:rPr>
        <w:t>démarré une nouvelle année académique en novembre 2012</w:t>
      </w:r>
      <w:r w:rsidR="007C658C">
        <w:rPr>
          <w:lang w:val="fr-FR"/>
        </w:rPr>
        <w:t>.</w:t>
      </w:r>
      <w:r w:rsidR="00646390">
        <w:rPr>
          <w:lang w:val="fr-FR"/>
        </w:rPr>
        <w:t xml:space="preserve"> </w:t>
      </w:r>
      <w:r w:rsidR="007C658C">
        <w:rPr>
          <w:lang w:val="fr-FR"/>
        </w:rPr>
        <w:t xml:space="preserve">Il faut signaler, à l’heure actuelle, </w:t>
      </w:r>
      <w:r w:rsidR="00835C70">
        <w:rPr>
          <w:lang w:val="fr-FR"/>
        </w:rPr>
        <w:t>17</w:t>
      </w:r>
      <w:r w:rsidR="00646390">
        <w:rPr>
          <w:lang w:val="fr-FR"/>
        </w:rPr>
        <w:t xml:space="preserve"> </w:t>
      </w:r>
      <w:r w:rsidR="007C658C">
        <w:rPr>
          <w:lang w:val="fr-FR"/>
        </w:rPr>
        <w:t>cas d’abandon scolaire</w:t>
      </w:r>
      <w:r w:rsidR="00646390">
        <w:rPr>
          <w:lang w:val="fr-FR"/>
        </w:rPr>
        <w:t xml:space="preserve"> et 4 </w:t>
      </w:r>
      <w:r w:rsidR="007C658C">
        <w:rPr>
          <w:lang w:val="fr-FR"/>
        </w:rPr>
        <w:t xml:space="preserve">jeunes </w:t>
      </w:r>
      <w:r w:rsidR="00646390">
        <w:rPr>
          <w:lang w:val="fr-FR"/>
        </w:rPr>
        <w:t xml:space="preserve">qui </w:t>
      </w:r>
      <w:r w:rsidR="000A0D87">
        <w:rPr>
          <w:lang w:val="fr-FR"/>
        </w:rPr>
        <w:t>sont</w:t>
      </w:r>
      <w:r w:rsidR="00646390">
        <w:rPr>
          <w:lang w:val="fr-FR"/>
        </w:rPr>
        <w:t xml:space="preserve"> malheureusement décédé</w:t>
      </w:r>
      <w:r w:rsidR="0067663C">
        <w:rPr>
          <w:lang w:val="fr-FR"/>
        </w:rPr>
        <w:t>s</w:t>
      </w:r>
      <w:r w:rsidR="007C658C">
        <w:rPr>
          <w:lang w:val="fr-FR"/>
        </w:rPr>
        <w:t>, dans des circonstances normales</w:t>
      </w:r>
      <w:r>
        <w:rPr>
          <w:lang w:val="fr-FR"/>
        </w:rPr>
        <w:t xml:space="preserve">. En juin 2013, un nouveau groupe de </w:t>
      </w:r>
      <w:r w:rsidR="0067663C">
        <w:rPr>
          <w:lang w:val="fr-FR"/>
        </w:rPr>
        <w:t>612</w:t>
      </w:r>
      <w:r w:rsidR="00982847">
        <w:rPr>
          <w:lang w:val="fr-FR"/>
        </w:rPr>
        <w:t xml:space="preserve"> </w:t>
      </w:r>
      <w:r w:rsidR="0067663C">
        <w:rPr>
          <w:lang w:val="fr-FR"/>
        </w:rPr>
        <w:t>ont</w:t>
      </w:r>
      <w:r>
        <w:rPr>
          <w:lang w:val="fr-FR"/>
        </w:rPr>
        <w:t xml:space="preserve"> pu aussi obtenir leur diplôme</w:t>
      </w:r>
      <w:r w:rsidR="00646390">
        <w:rPr>
          <w:lang w:val="fr-FR"/>
        </w:rPr>
        <w:t xml:space="preserve"> faisant passer l’effectif total de diplômés à 7</w:t>
      </w:r>
      <w:r w:rsidR="0067663C">
        <w:rPr>
          <w:lang w:val="fr-FR"/>
        </w:rPr>
        <w:t>91</w:t>
      </w:r>
      <w:r>
        <w:rPr>
          <w:lang w:val="fr-FR"/>
        </w:rPr>
        <w:t xml:space="preserve">. </w:t>
      </w:r>
      <w:r w:rsidR="00AD676E">
        <w:rPr>
          <w:lang w:val="fr-FR"/>
        </w:rPr>
        <w:t>De plus</w:t>
      </w:r>
      <w:r>
        <w:rPr>
          <w:lang w:val="fr-FR"/>
        </w:rPr>
        <w:t>, grâce à une 2</w:t>
      </w:r>
      <w:r w:rsidRPr="005B2FB1">
        <w:rPr>
          <w:vertAlign w:val="superscript"/>
          <w:lang w:val="fr-FR"/>
        </w:rPr>
        <w:t>ème</w:t>
      </w:r>
      <w:r>
        <w:rPr>
          <w:lang w:val="fr-FR"/>
        </w:rPr>
        <w:t xml:space="preserve"> phase de financement du projet </w:t>
      </w:r>
      <w:r w:rsidR="00646390">
        <w:rPr>
          <w:lang w:val="fr-FR"/>
        </w:rPr>
        <w:t>ayant démarré au 2</w:t>
      </w:r>
      <w:r w:rsidR="00646390" w:rsidRPr="00646390">
        <w:rPr>
          <w:vertAlign w:val="superscript"/>
          <w:lang w:val="fr-FR"/>
        </w:rPr>
        <w:t>ème</w:t>
      </w:r>
      <w:r w:rsidR="00646390">
        <w:rPr>
          <w:lang w:val="fr-FR"/>
        </w:rPr>
        <w:t xml:space="preserve"> semestre 2013</w:t>
      </w:r>
      <w:r>
        <w:rPr>
          <w:lang w:val="fr-FR"/>
        </w:rPr>
        <w:t>, 10</w:t>
      </w:r>
      <w:r w:rsidR="0067663C">
        <w:rPr>
          <w:lang w:val="fr-FR"/>
        </w:rPr>
        <w:t>18</w:t>
      </w:r>
      <w:r>
        <w:rPr>
          <w:lang w:val="fr-FR"/>
        </w:rPr>
        <w:t xml:space="preserve"> jeunes </w:t>
      </w:r>
      <w:r w:rsidR="000B0D45">
        <w:rPr>
          <w:lang w:val="fr-FR"/>
        </w:rPr>
        <w:t>sont encadrés pour la poursuite de</w:t>
      </w:r>
      <w:r w:rsidR="00835C70">
        <w:rPr>
          <w:lang w:val="fr-FR"/>
        </w:rPr>
        <w:t xml:space="preserve"> </w:t>
      </w:r>
      <w:r>
        <w:rPr>
          <w:lang w:val="fr-FR"/>
        </w:rPr>
        <w:t>leur formation professionnelle en bénéficiant du paquet de services d’accompagnement</w:t>
      </w:r>
      <w:r w:rsidR="0038208B">
        <w:rPr>
          <w:lang w:val="fr-FR"/>
        </w:rPr>
        <w:t>.</w:t>
      </w:r>
    </w:p>
    <w:p w:rsidR="0038208B" w:rsidRDefault="0038208B" w:rsidP="00946707">
      <w:pPr>
        <w:pStyle w:val="ListParagraph"/>
        <w:ind w:left="0"/>
        <w:jc w:val="both"/>
        <w:rPr>
          <w:lang w:val="fr-FR"/>
        </w:rPr>
      </w:pPr>
    </w:p>
    <w:p w:rsidR="00153319" w:rsidRDefault="00F50A54" w:rsidP="00946707">
      <w:pPr>
        <w:pStyle w:val="ListParagraph"/>
        <w:ind w:left="0"/>
        <w:jc w:val="both"/>
        <w:rPr>
          <w:lang w:val="fr-FR"/>
        </w:rPr>
      </w:pPr>
      <w:r>
        <w:rPr>
          <w:lang w:val="fr-FR"/>
        </w:rPr>
        <w:t>E</w:t>
      </w:r>
      <w:r w:rsidR="00946707">
        <w:rPr>
          <w:lang w:val="fr-FR"/>
        </w:rPr>
        <w:t xml:space="preserve">n termes de performance scolaire, les partenaires </w:t>
      </w:r>
      <w:proofErr w:type="spellStart"/>
      <w:r w:rsidR="00946707">
        <w:rPr>
          <w:lang w:val="fr-FR"/>
        </w:rPr>
        <w:t>ONGs</w:t>
      </w:r>
      <w:proofErr w:type="spellEnd"/>
      <w:r w:rsidR="00946707">
        <w:rPr>
          <w:lang w:val="fr-FR"/>
        </w:rPr>
        <w:t xml:space="preserve"> de mise en œuvre ont rapporté </w:t>
      </w:r>
      <w:r w:rsidR="00646390">
        <w:rPr>
          <w:lang w:val="fr-FR"/>
        </w:rPr>
        <w:t xml:space="preserve">en juin 2013 un taux de réussite </w:t>
      </w:r>
      <w:r w:rsidR="00946707">
        <w:rPr>
          <w:lang w:val="fr-FR"/>
        </w:rPr>
        <w:t xml:space="preserve">scolaire de </w:t>
      </w:r>
      <w:r w:rsidR="0038208B">
        <w:rPr>
          <w:lang w:val="fr-FR"/>
        </w:rPr>
        <w:t>89%</w:t>
      </w:r>
      <w:r w:rsidR="00946707">
        <w:rPr>
          <w:lang w:val="fr-FR"/>
        </w:rPr>
        <w:t xml:space="preserve">. Il convient de signaler toutefois </w:t>
      </w:r>
      <w:r w:rsidR="0067663C">
        <w:rPr>
          <w:lang w:val="fr-FR"/>
        </w:rPr>
        <w:t>204</w:t>
      </w:r>
      <w:r w:rsidR="00946707">
        <w:rPr>
          <w:lang w:val="fr-FR"/>
        </w:rPr>
        <w:t xml:space="preserve"> cas de redoublement</w:t>
      </w:r>
      <w:r w:rsidR="0038208B">
        <w:rPr>
          <w:lang w:val="fr-FR"/>
        </w:rPr>
        <w:t xml:space="preserve"> entre la 1ère et la 2</w:t>
      </w:r>
      <w:r w:rsidR="0038208B" w:rsidRPr="0067663C">
        <w:rPr>
          <w:vertAlign w:val="superscript"/>
          <w:lang w:val="fr-FR"/>
        </w:rPr>
        <w:t>ème</w:t>
      </w:r>
      <w:r w:rsidR="0067663C">
        <w:rPr>
          <w:lang w:val="fr-FR"/>
        </w:rPr>
        <w:t xml:space="preserve"> phase</w:t>
      </w:r>
      <w:r w:rsidR="00946707">
        <w:rPr>
          <w:lang w:val="fr-FR"/>
        </w:rPr>
        <w:t xml:space="preserve">, soit un taux </w:t>
      </w:r>
      <w:r w:rsidR="0038208B">
        <w:rPr>
          <w:lang w:val="fr-FR"/>
        </w:rPr>
        <w:t xml:space="preserve">de </w:t>
      </w:r>
      <w:r w:rsidR="00835C70">
        <w:rPr>
          <w:lang w:val="fr-FR"/>
        </w:rPr>
        <w:t>11,27</w:t>
      </w:r>
      <w:r w:rsidR="0038208B">
        <w:rPr>
          <w:lang w:val="fr-FR"/>
        </w:rPr>
        <w:t>%</w:t>
      </w:r>
      <w:r w:rsidR="00946707">
        <w:rPr>
          <w:lang w:val="fr-FR"/>
        </w:rPr>
        <w:t xml:space="preserve">. </w:t>
      </w:r>
      <w:r w:rsidR="00835C70">
        <w:rPr>
          <w:lang w:val="fr-FR"/>
        </w:rPr>
        <w:t>Selon le rapport de DRC, i</w:t>
      </w:r>
      <w:r w:rsidR="00946707">
        <w:rPr>
          <w:lang w:val="fr-FR"/>
        </w:rPr>
        <w:t xml:space="preserve">l est attendu </w:t>
      </w:r>
      <w:r w:rsidR="00835C70">
        <w:rPr>
          <w:lang w:val="fr-FR"/>
        </w:rPr>
        <w:t xml:space="preserve">que </w:t>
      </w:r>
      <w:r w:rsidR="00946707">
        <w:rPr>
          <w:lang w:val="fr-FR"/>
        </w:rPr>
        <w:t xml:space="preserve">d’ici </w:t>
      </w:r>
      <w:r w:rsidR="0038208B">
        <w:rPr>
          <w:lang w:val="fr-FR"/>
        </w:rPr>
        <w:t xml:space="preserve">la fin du projet en décembre </w:t>
      </w:r>
      <w:r w:rsidR="00946707">
        <w:rPr>
          <w:lang w:val="fr-FR"/>
        </w:rPr>
        <w:t xml:space="preserve">2014, </w:t>
      </w:r>
      <w:r w:rsidR="0038208B">
        <w:rPr>
          <w:lang w:val="fr-FR"/>
        </w:rPr>
        <w:t>793</w:t>
      </w:r>
      <w:r w:rsidR="00946707">
        <w:rPr>
          <w:lang w:val="fr-FR"/>
        </w:rPr>
        <w:t xml:space="preserve"> </w:t>
      </w:r>
      <w:r w:rsidR="00153319">
        <w:rPr>
          <w:lang w:val="fr-FR"/>
        </w:rPr>
        <w:t>autres j</w:t>
      </w:r>
      <w:r w:rsidR="00946707">
        <w:rPr>
          <w:lang w:val="fr-FR"/>
        </w:rPr>
        <w:t xml:space="preserve">eunes </w:t>
      </w:r>
      <w:r w:rsidR="00153319">
        <w:rPr>
          <w:lang w:val="fr-FR"/>
        </w:rPr>
        <w:t xml:space="preserve">obtiennent </w:t>
      </w:r>
      <w:r w:rsidR="00835C70">
        <w:rPr>
          <w:lang w:val="fr-FR"/>
        </w:rPr>
        <w:t>à leur tour leur diplôme, soit 87.56</w:t>
      </w:r>
      <w:r w:rsidR="00153319">
        <w:rPr>
          <w:lang w:val="fr-FR"/>
        </w:rPr>
        <w:t xml:space="preserve">% de l’effectif total des jeunes </w:t>
      </w:r>
      <w:r w:rsidR="00835C70">
        <w:rPr>
          <w:lang w:val="fr-FR"/>
        </w:rPr>
        <w:t>ayant participé au projet</w:t>
      </w:r>
      <w:r w:rsidR="00153319">
        <w:rPr>
          <w:lang w:val="fr-FR"/>
        </w:rPr>
        <w:t>.</w:t>
      </w:r>
    </w:p>
    <w:p w:rsidR="00153319" w:rsidRDefault="00153319" w:rsidP="00946707">
      <w:pPr>
        <w:pStyle w:val="ListParagraph"/>
        <w:ind w:left="0"/>
        <w:jc w:val="both"/>
        <w:rPr>
          <w:lang w:val="fr-FR"/>
        </w:rPr>
      </w:pPr>
    </w:p>
    <w:p w:rsidR="005555B2" w:rsidRDefault="00946707" w:rsidP="00946707">
      <w:pPr>
        <w:pStyle w:val="ListParagraph"/>
        <w:ind w:left="0"/>
        <w:jc w:val="both"/>
        <w:rPr>
          <w:lang w:val="fr-FR"/>
        </w:rPr>
      </w:pPr>
      <w:r>
        <w:rPr>
          <w:lang w:val="fr-FR"/>
        </w:rPr>
        <w:t>En termes d’insertion à l’emploi, une enquête de terrain d</w:t>
      </w:r>
      <w:r w:rsidR="005605CC">
        <w:rPr>
          <w:lang w:val="fr-FR"/>
        </w:rPr>
        <w:t>e 2013 a rapporté 59</w:t>
      </w:r>
      <w:r w:rsidR="00153319">
        <w:rPr>
          <w:lang w:val="fr-FR"/>
        </w:rPr>
        <w:t>% de l’effectif total des jeunes</w:t>
      </w:r>
      <w:r>
        <w:rPr>
          <w:lang w:val="fr-FR"/>
        </w:rPr>
        <w:t xml:space="preserve"> en emploi dont 41% dans leur </w:t>
      </w:r>
      <w:r w:rsidR="0038208B">
        <w:rPr>
          <w:lang w:val="fr-FR"/>
        </w:rPr>
        <w:t>domaine</w:t>
      </w:r>
      <w:r>
        <w:rPr>
          <w:lang w:val="fr-FR"/>
        </w:rPr>
        <w:t xml:space="preserve"> de formation et 18% employés dans une filière différente</w:t>
      </w:r>
      <w:r w:rsidR="0038208B">
        <w:rPr>
          <w:lang w:val="fr-FR"/>
        </w:rPr>
        <w:t xml:space="preserve"> de celles de leur formation</w:t>
      </w:r>
      <w:r>
        <w:rPr>
          <w:lang w:val="fr-FR"/>
        </w:rPr>
        <w:t>. En outre, en 2013</w:t>
      </w:r>
      <w:r w:rsidR="00F254D1">
        <w:rPr>
          <w:lang w:val="fr-FR"/>
        </w:rPr>
        <w:t>,</w:t>
      </w:r>
      <w:r>
        <w:rPr>
          <w:lang w:val="fr-FR"/>
        </w:rPr>
        <w:t xml:space="preserve"> </w:t>
      </w:r>
      <w:r w:rsidR="00F254D1">
        <w:rPr>
          <w:lang w:val="fr-FR"/>
        </w:rPr>
        <w:t>742</w:t>
      </w:r>
      <w:r>
        <w:rPr>
          <w:lang w:val="fr-FR"/>
        </w:rPr>
        <w:t xml:space="preserve"> </w:t>
      </w:r>
      <w:r w:rsidR="00F019F5">
        <w:rPr>
          <w:lang w:val="fr-FR"/>
        </w:rPr>
        <w:t>avaient</w:t>
      </w:r>
      <w:r>
        <w:rPr>
          <w:lang w:val="fr-FR"/>
        </w:rPr>
        <w:t xml:space="preserve"> pu bénéficier d’un stage en entreprises. En termes </w:t>
      </w:r>
      <w:r w:rsidR="005555B2">
        <w:rPr>
          <w:lang w:val="fr-FR"/>
        </w:rPr>
        <w:t>d’adoption</w:t>
      </w:r>
      <w:r>
        <w:rPr>
          <w:lang w:val="fr-FR"/>
        </w:rPr>
        <w:t xml:space="preserve"> </w:t>
      </w:r>
      <w:r w:rsidR="005555B2">
        <w:rPr>
          <w:lang w:val="fr-FR"/>
        </w:rPr>
        <w:t xml:space="preserve">de </w:t>
      </w:r>
      <w:r>
        <w:rPr>
          <w:lang w:val="fr-FR"/>
        </w:rPr>
        <w:t xml:space="preserve">comportement en faveur de la non-violence et la paix, il a été rapporté </w:t>
      </w:r>
      <w:r w:rsidR="000B0D45">
        <w:rPr>
          <w:lang w:val="fr-FR"/>
        </w:rPr>
        <w:t>16</w:t>
      </w:r>
      <w:r w:rsidR="00F019F5">
        <w:rPr>
          <w:lang w:val="fr-FR"/>
        </w:rPr>
        <w:t xml:space="preserve"> cas de jeunes ayant eu en 2013 un comportement répréhensible, soit moins d’1% de la cible</w:t>
      </w:r>
      <w:r w:rsidR="000B0D45">
        <w:rPr>
          <w:lang w:val="fr-FR"/>
        </w:rPr>
        <w:t xml:space="preserve"> totale et 2,24% des jeunes en formation pour la période</w:t>
      </w:r>
      <w:r w:rsidR="00F019F5">
        <w:rPr>
          <w:lang w:val="fr-FR"/>
        </w:rPr>
        <w:t xml:space="preserve">. Ainsi, </w:t>
      </w:r>
      <w:r w:rsidR="00D935A5">
        <w:rPr>
          <w:lang w:val="fr-FR"/>
        </w:rPr>
        <w:t xml:space="preserve">durant l’année 2013, </w:t>
      </w:r>
      <w:r w:rsidR="00F019F5">
        <w:rPr>
          <w:lang w:val="fr-FR"/>
        </w:rPr>
        <w:t xml:space="preserve">la </w:t>
      </w:r>
      <w:r w:rsidR="00D935A5">
        <w:rPr>
          <w:lang w:val="fr-FR"/>
        </w:rPr>
        <w:t xml:space="preserve">grande majorité </w:t>
      </w:r>
      <w:r w:rsidR="00CC79FA" w:rsidRPr="00D935A5">
        <w:rPr>
          <w:lang w:val="fr-FR"/>
        </w:rPr>
        <w:t xml:space="preserve">des jeunes </w:t>
      </w:r>
      <w:r w:rsidR="005555B2">
        <w:rPr>
          <w:lang w:val="fr-FR"/>
        </w:rPr>
        <w:t>ont effectué un parcours scolaire sans histoire, à l’instar des autres jeunes en formation dans les centres</w:t>
      </w:r>
      <w:r w:rsidR="00D935A5">
        <w:rPr>
          <w:lang w:val="fr-FR"/>
        </w:rPr>
        <w:t>.</w:t>
      </w:r>
    </w:p>
    <w:p w:rsidR="005555B2" w:rsidRDefault="005555B2" w:rsidP="00946707">
      <w:pPr>
        <w:pStyle w:val="ListParagraph"/>
        <w:ind w:left="0"/>
        <w:jc w:val="both"/>
        <w:rPr>
          <w:lang w:val="fr-FR"/>
        </w:rPr>
      </w:pPr>
    </w:p>
    <w:p w:rsidR="005555B2" w:rsidRPr="005555B2" w:rsidRDefault="005555B2" w:rsidP="00946707">
      <w:pPr>
        <w:pStyle w:val="ListParagraph"/>
        <w:ind w:left="0"/>
        <w:jc w:val="both"/>
        <w:rPr>
          <w:lang w:val="fr-FR"/>
        </w:rPr>
      </w:pPr>
      <w:r w:rsidRPr="005555B2">
        <w:rPr>
          <w:lang w:val="fr-FR"/>
        </w:rPr>
        <w:t xml:space="preserve">Ces résultats ont été obtenus grâce </w:t>
      </w:r>
      <w:r>
        <w:rPr>
          <w:lang w:val="fr-FR"/>
        </w:rPr>
        <w:t>à l’efficacité du dispositif d’</w:t>
      </w:r>
      <w:r w:rsidRPr="005555B2">
        <w:rPr>
          <w:lang w:val="fr-FR"/>
        </w:rPr>
        <w:t>appuis apportés de façon intégrée à travers</w:t>
      </w:r>
      <w:r w:rsidR="00F50A54">
        <w:rPr>
          <w:lang w:val="fr-FR"/>
        </w:rPr>
        <w:t> :</w:t>
      </w:r>
      <w:r w:rsidRPr="005555B2">
        <w:rPr>
          <w:lang w:val="fr-FR"/>
        </w:rPr>
        <w:t xml:space="preserve"> a) </w:t>
      </w:r>
      <w:r>
        <w:rPr>
          <w:lang w:val="fr-FR"/>
        </w:rPr>
        <w:t>la prise en charge des frais scolaires, la mise à disposition des</w:t>
      </w:r>
      <w:r w:rsidRPr="005555B2">
        <w:rPr>
          <w:lang w:val="fr-FR"/>
        </w:rPr>
        <w:t xml:space="preserve"> fournitures et tenues scolaires, b) </w:t>
      </w:r>
      <w:r>
        <w:rPr>
          <w:lang w:val="fr-FR"/>
        </w:rPr>
        <w:t>les équipements,</w:t>
      </w:r>
      <w:r w:rsidRPr="005555B2">
        <w:rPr>
          <w:lang w:val="fr-FR"/>
        </w:rPr>
        <w:t xml:space="preserve"> matériels </w:t>
      </w:r>
      <w:r>
        <w:rPr>
          <w:lang w:val="fr-FR"/>
        </w:rPr>
        <w:t xml:space="preserve">et matière d’œuvre </w:t>
      </w:r>
      <w:r w:rsidRPr="005555B2">
        <w:rPr>
          <w:lang w:val="fr-FR"/>
        </w:rPr>
        <w:t xml:space="preserve">livrés aux centres de formation, c) l’appui alimentaire </w:t>
      </w:r>
      <w:r>
        <w:rPr>
          <w:lang w:val="fr-FR"/>
        </w:rPr>
        <w:t xml:space="preserve">(jusqu’en juin 2013) puis en cash transfert (à partir de novembre 2013) </w:t>
      </w:r>
      <w:r w:rsidRPr="005555B2">
        <w:rPr>
          <w:lang w:val="fr-FR"/>
        </w:rPr>
        <w:t xml:space="preserve">fourni </w:t>
      </w:r>
      <w:r>
        <w:rPr>
          <w:lang w:val="fr-FR"/>
        </w:rPr>
        <w:t>aux jeunes</w:t>
      </w:r>
      <w:r w:rsidRPr="005555B2">
        <w:rPr>
          <w:lang w:val="fr-FR"/>
        </w:rPr>
        <w:t xml:space="preserve"> pour leur maintien dans les zones de formation et d) </w:t>
      </w:r>
      <w:r>
        <w:rPr>
          <w:lang w:val="fr-FR"/>
        </w:rPr>
        <w:t>le plus important de tout,</w:t>
      </w:r>
      <w:r w:rsidRPr="005555B2">
        <w:rPr>
          <w:lang w:val="fr-FR"/>
        </w:rPr>
        <w:t xml:space="preserve"> l’accompagnement psychosocial </w:t>
      </w:r>
      <w:r>
        <w:rPr>
          <w:lang w:val="fr-FR"/>
        </w:rPr>
        <w:t xml:space="preserve">individuel </w:t>
      </w:r>
      <w:r w:rsidRPr="005555B2">
        <w:rPr>
          <w:lang w:val="fr-FR"/>
        </w:rPr>
        <w:t>guidé par les animateurs sociaux.</w:t>
      </w:r>
    </w:p>
    <w:p w:rsidR="005555B2" w:rsidRDefault="005555B2" w:rsidP="00946707">
      <w:pPr>
        <w:pStyle w:val="ListParagraph"/>
        <w:ind w:left="0"/>
        <w:jc w:val="both"/>
        <w:rPr>
          <w:lang w:val="fr-FR"/>
        </w:rPr>
      </w:pPr>
    </w:p>
    <w:p w:rsidR="00CC79FA" w:rsidRPr="00CC79FA" w:rsidRDefault="00F828E6" w:rsidP="00CC79FA">
      <w:pPr>
        <w:pStyle w:val="ListParagraph"/>
        <w:ind w:left="0"/>
        <w:jc w:val="both"/>
        <w:rPr>
          <w:lang w:val="fr-FR"/>
        </w:rPr>
      </w:pPr>
      <w:r>
        <w:rPr>
          <w:lang w:val="fr-FR"/>
        </w:rPr>
        <w:t xml:space="preserve">Durant la première phase du projet de 2011 à juin 2013, sa mise en œuvre a été effectuée </w:t>
      </w:r>
      <w:r w:rsidR="00CC79FA" w:rsidRPr="00CC79FA">
        <w:rPr>
          <w:lang w:val="fr-FR"/>
        </w:rPr>
        <w:t xml:space="preserve">par </w:t>
      </w:r>
      <w:r>
        <w:rPr>
          <w:lang w:val="fr-FR"/>
        </w:rPr>
        <w:t xml:space="preserve">l’ONG international </w:t>
      </w:r>
      <w:proofErr w:type="spellStart"/>
      <w:r w:rsidR="00CC79FA" w:rsidRPr="00CC79FA">
        <w:rPr>
          <w:lang w:val="fr-FR"/>
        </w:rPr>
        <w:t>Danish</w:t>
      </w:r>
      <w:proofErr w:type="spellEnd"/>
      <w:r w:rsidR="00CC79FA" w:rsidRPr="00CC79FA">
        <w:rPr>
          <w:lang w:val="fr-FR"/>
        </w:rPr>
        <w:t xml:space="preserve"> </w:t>
      </w:r>
      <w:proofErr w:type="spellStart"/>
      <w:r w:rsidR="00CC79FA" w:rsidRPr="00CC79FA">
        <w:rPr>
          <w:lang w:val="fr-FR"/>
        </w:rPr>
        <w:t>Refugee</w:t>
      </w:r>
      <w:proofErr w:type="spellEnd"/>
      <w:r w:rsidR="00CC79FA" w:rsidRPr="00CC79FA">
        <w:rPr>
          <w:lang w:val="fr-FR"/>
        </w:rPr>
        <w:t xml:space="preserve"> Council</w:t>
      </w:r>
      <w:r>
        <w:rPr>
          <w:lang w:val="fr-FR"/>
        </w:rPr>
        <w:t xml:space="preserve"> (DRC)</w:t>
      </w:r>
      <w:r w:rsidR="007C0290">
        <w:rPr>
          <w:lang w:val="fr-FR"/>
        </w:rPr>
        <w:t>,</w:t>
      </w:r>
      <w:r>
        <w:rPr>
          <w:lang w:val="fr-FR"/>
        </w:rPr>
        <w:t xml:space="preserve"> en partenariat avec deux </w:t>
      </w:r>
      <w:proofErr w:type="spellStart"/>
      <w:r>
        <w:rPr>
          <w:lang w:val="fr-FR"/>
        </w:rPr>
        <w:t>ONGs</w:t>
      </w:r>
      <w:proofErr w:type="spellEnd"/>
      <w:r>
        <w:rPr>
          <w:lang w:val="fr-FR"/>
        </w:rPr>
        <w:t xml:space="preserve"> nationales, ARCPN et Monde Des Enfants (MDE). A partir de l’année scolaire</w:t>
      </w:r>
      <w:r w:rsidR="00CC79FA" w:rsidRPr="00CC79FA">
        <w:rPr>
          <w:lang w:val="fr-FR"/>
        </w:rPr>
        <w:t xml:space="preserve"> 2013</w:t>
      </w:r>
      <w:r>
        <w:rPr>
          <w:lang w:val="fr-FR"/>
        </w:rPr>
        <w:t>-2014, l’exécution de la 2</w:t>
      </w:r>
      <w:r w:rsidRPr="00F828E6">
        <w:rPr>
          <w:vertAlign w:val="superscript"/>
          <w:lang w:val="fr-FR"/>
        </w:rPr>
        <w:t>ème</w:t>
      </w:r>
      <w:r>
        <w:rPr>
          <w:lang w:val="fr-FR"/>
        </w:rPr>
        <w:t xml:space="preserve"> phase </w:t>
      </w:r>
      <w:r w:rsidR="007C0290">
        <w:rPr>
          <w:lang w:val="fr-FR"/>
        </w:rPr>
        <w:t>a été</w:t>
      </w:r>
      <w:r>
        <w:rPr>
          <w:lang w:val="fr-FR"/>
        </w:rPr>
        <w:t xml:space="preserve"> confiée</w:t>
      </w:r>
      <w:r w:rsidR="00CC79FA" w:rsidRPr="00CC79FA">
        <w:rPr>
          <w:lang w:val="fr-FR"/>
        </w:rPr>
        <w:t xml:space="preserve"> </w:t>
      </w:r>
      <w:r w:rsidR="000C124B">
        <w:rPr>
          <w:lang w:val="fr-FR"/>
        </w:rPr>
        <w:t>à l’</w:t>
      </w:r>
      <w:r w:rsidR="00CC79FA" w:rsidRPr="00CC79FA">
        <w:rPr>
          <w:lang w:val="fr-FR"/>
        </w:rPr>
        <w:t>ONG MDE</w:t>
      </w:r>
      <w:r w:rsidR="007C0290">
        <w:rPr>
          <w:lang w:val="fr-FR"/>
        </w:rPr>
        <w:t>,</w:t>
      </w:r>
      <w:r w:rsidR="00CC79FA" w:rsidRPr="00CC79FA">
        <w:rPr>
          <w:lang w:val="fr-FR"/>
        </w:rPr>
        <w:t xml:space="preserve"> </w:t>
      </w:r>
      <w:r w:rsidR="000C124B">
        <w:rPr>
          <w:lang w:val="fr-FR"/>
        </w:rPr>
        <w:t>en partenariat avec l’ONG international Enfants du Globe</w:t>
      </w:r>
      <w:r w:rsidR="00CC79FA" w:rsidRPr="00CC79FA">
        <w:rPr>
          <w:lang w:val="fr-FR"/>
        </w:rPr>
        <w:t xml:space="preserve">. </w:t>
      </w:r>
    </w:p>
    <w:p w:rsidR="00CC79FA" w:rsidRDefault="00CC79FA" w:rsidP="00946707">
      <w:pPr>
        <w:pStyle w:val="ListParagraph"/>
        <w:ind w:left="0"/>
        <w:jc w:val="both"/>
        <w:rPr>
          <w:lang w:val="fr-FR"/>
        </w:rPr>
      </w:pPr>
    </w:p>
    <w:p w:rsidR="00946707" w:rsidRPr="005B2FB1" w:rsidRDefault="00946707" w:rsidP="00EE39E0">
      <w:pPr>
        <w:jc w:val="both"/>
        <w:rPr>
          <w:bCs/>
        </w:rPr>
      </w:pPr>
      <w:r>
        <w:t xml:space="preserve">Sur le plan financier, le projet </w:t>
      </w:r>
      <w:r w:rsidR="000C124B">
        <w:t>a bénéficié dans s</w:t>
      </w:r>
      <w:r w:rsidR="0030251E">
        <w:t>a 2</w:t>
      </w:r>
      <w:r w:rsidR="0030251E" w:rsidRPr="0030251E">
        <w:rPr>
          <w:vertAlign w:val="superscript"/>
        </w:rPr>
        <w:t>ème</w:t>
      </w:r>
      <w:r w:rsidR="0030251E">
        <w:t xml:space="preserve"> phase de financement</w:t>
      </w:r>
      <w:r>
        <w:t xml:space="preserve"> </w:t>
      </w:r>
      <w:r w:rsidR="00625CC4">
        <w:t>d’</w:t>
      </w:r>
      <w:r w:rsidR="0030251E">
        <w:t xml:space="preserve">un montant de </w:t>
      </w:r>
      <w:r w:rsidR="004D518D" w:rsidRPr="00A533AF">
        <w:rPr>
          <w:rFonts w:cs="Arial"/>
          <w:b/>
          <w:sz w:val="22"/>
          <w:szCs w:val="22"/>
        </w:rPr>
        <w:t>893,562 USD</w:t>
      </w:r>
      <w:r w:rsidR="0030251E">
        <w:t xml:space="preserve"> qui </w:t>
      </w:r>
      <w:r w:rsidR="004D518D">
        <w:t>ont</w:t>
      </w:r>
      <w:r w:rsidR="0030251E">
        <w:t xml:space="preserve"> permis de rembourser</w:t>
      </w:r>
      <w:r w:rsidR="004D518D">
        <w:t>,</w:t>
      </w:r>
      <w:r w:rsidR="0030251E">
        <w:t xml:space="preserve"> à DRC</w:t>
      </w:r>
      <w:r w:rsidR="004D518D">
        <w:t>,</w:t>
      </w:r>
      <w:r w:rsidR="0030251E">
        <w:t xml:space="preserve"> les frais d’accompagnement des jeunes de janvier à juin 2013 et la poursuite du processus </w:t>
      </w:r>
      <w:r w:rsidR="004D518D">
        <w:t xml:space="preserve">d’appui </w:t>
      </w:r>
      <w:r w:rsidR="0030251E">
        <w:t>en faveur de 10</w:t>
      </w:r>
      <w:r w:rsidR="000C124B">
        <w:t>18</w:t>
      </w:r>
      <w:r w:rsidR="0030251E">
        <w:t xml:space="preserve"> jeunes de novembre 2013 à</w:t>
      </w:r>
      <w:r>
        <w:t xml:space="preserve"> décembre 2014.</w:t>
      </w:r>
      <w:r w:rsidR="00A91C02">
        <w:t xml:space="preserve"> </w:t>
      </w:r>
      <w:r w:rsidR="00F4782E">
        <w:t xml:space="preserve">De ce montant total </w:t>
      </w:r>
      <w:r w:rsidR="00EE39E0" w:rsidRPr="00EE2108">
        <w:rPr>
          <w:rFonts w:cs="Arial"/>
          <w:b/>
          <w:sz w:val="22"/>
          <w:szCs w:val="22"/>
        </w:rPr>
        <w:t>$ 736,628</w:t>
      </w:r>
      <w:r w:rsidR="00EE39E0">
        <w:rPr>
          <w:rFonts w:ascii="Arial Narrow" w:hAnsi="Arial Narrow"/>
          <w:b/>
          <w:bCs/>
          <w:color w:val="000000"/>
        </w:rPr>
        <w:t xml:space="preserve"> </w:t>
      </w:r>
      <w:r w:rsidR="00F4782E">
        <w:t xml:space="preserve"> sont dépensés et une balance </w:t>
      </w:r>
      <w:r w:rsidR="00EE39E0" w:rsidRPr="00EE2108">
        <w:rPr>
          <w:rFonts w:cs="Arial"/>
          <w:b/>
          <w:sz w:val="22"/>
          <w:szCs w:val="22"/>
        </w:rPr>
        <w:t>$98,495</w:t>
      </w:r>
      <w:r w:rsidR="00F4782E">
        <w:t xml:space="preserve"> encore disponibles pour l’accompagnement des jeunes jusqu’à la fin du projet</w:t>
      </w:r>
      <w:r w:rsidR="00EE39E0">
        <w:t>, à travers le contrat en cours avec MDE</w:t>
      </w:r>
      <w:r w:rsidR="00F4782E">
        <w:t>.</w:t>
      </w:r>
    </w:p>
    <w:p w:rsidR="00C22A60" w:rsidRDefault="00C22A60" w:rsidP="00771E3F">
      <w:pPr>
        <w:jc w:val="both"/>
      </w:pPr>
    </w:p>
    <w:p w:rsidR="007C0290" w:rsidRDefault="007C0290">
      <w:pPr>
        <w:rPr>
          <w:sz w:val="16"/>
        </w:rPr>
      </w:pPr>
      <w:r>
        <w:rPr>
          <w:sz w:val="16"/>
        </w:rPr>
        <w:br w:type="page"/>
      </w:r>
    </w:p>
    <w:p w:rsidR="00264361" w:rsidRPr="00334073" w:rsidRDefault="00264361" w:rsidP="004D18B1">
      <w:pPr>
        <w:rPr>
          <w:sz w:val="16"/>
        </w:rPr>
      </w:pPr>
    </w:p>
    <w:p w:rsidR="00264361" w:rsidRPr="00AC08E7" w:rsidRDefault="00264361" w:rsidP="00AC08E7">
      <w:pPr>
        <w:pStyle w:val="Heading1"/>
      </w:pPr>
      <w:bookmarkStart w:id="5" w:name="_Toc249364483"/>
      <w:bookmarkStart w:id="6" w:name="_Toc381108745"/>
      <w:r w:rsidRPr="00AC08E7">
        <w:t>B</w:t>
      </w:r>
      <w:bookmarkEnd w:id="5"/>
      <w:r w:rsidR="00AC08E7">
        <w:t>UT</w:t>
      </w:r>
      <w:bookmarkEnd w:id="6"/>
    </w:p>
    <w:p w:rsidR="001524E6" w:rsidRPr="001524E6" w:rsidRDefault="001524E6" w:rsidP="001524E6">
      <w:pPr>
        <w:pStyle w:val="BodyText"/>
        <w:ind w:left="720"/>
        <w:jc w:val="both"/>
        <w:rPr>
          <w:rFonts w:ascii="Times New Roman" w:hAnsi="Times New Roman"/>
          <w:b/>
          <w:i/>
          <w:sz w:val="24"/>
          <w:lang w:val="fr-FR"/>
        </w:rPr>
      </w:pPr>
    </w:p>
    <w:p w:rsidR="00B17E8F" w:rsidRDefault="00B17E8F" w:rsidP="00B17E8F">
      <w:pPr>
        <w:jc w:val="both"/>
        <w:rPr>
          <w:rFonts w:cs="Arial"/>
          <w:szCs w:val="20"/>
          <w:lang w:eastAsia="en-US"/>
        </w:rPr>
      </w:pPr>
      <w:r w:rsidRPr="00CD20F3">
        <w:rPr>
          <w:rFonts w:cs="Arial"/>
          <w:szCs w:val="20"/>
          <w:lang w:eastAsia="en-US"/>
        </w:rPr>
        <w:t>Le «Projet de réintégration des jeunes associés aux forces armées et de jeunes vulnérables» vise principalement à</w:t>
      </w:r>
      <w:r w:rsidRPr="00CD20F3">
        <w:t xml:space="preserve"> </w:t>
      </w:r>
      <w:r w:rsidRPr="00CD20F3">
        <w:rPr>
          <w:rFonts w:cs="Arial"/>
          <w:szCs w:val="20"/>
          <w:lang w:eastAsia="en-US"/>
        </w:rPr>
        <w:t xml:space="preserve">contribuer au renforcement de la paix et de la stabilité en Guinée à travers la rééducation et la réinsertion de </w:t>
      </w:r>
      <w:r>
        <w:t>1.829</w:t>
      </w:r>
      <w:r w:rsidRPr="00E61083">
        <w:t xml:space="preserve"> </w:t>
      </w:r>
      <w:r w:rsidRPr="00CD20F3">
        <w:rPr>
          <w:rFonts w:cs="Arial"/>
          <w:szCs w:val="20"/>
          <w:lang w:eastAsia="en-US"/>
        </w:rPr>
        <w:t>jeunes</w:t>
      </w:r>
      <w:r w:rsidR="00661128">
        <w:rPr>
          <w:rFonts w:cs="Arial"/>
          <w:szCs w:val="20"/>
          <w:lang w:eastAsia="en-US"/>
        </w:rPr>
        <w:t xml:space="preserve"> en vue </w:t>
      </w:r>
      <w:r w:rsidRPr="00CD20F3">
        <w:rPr>
          <w:rFonts w:cs="Arial"/>
          <w:szCs w:val="20"/>
          <w:lang w:eastAsia="en-US"/>
        </w:rPr>
        <w:t xml:space="preserve">de réduire les risques </w:t>
      </w:r>
      <w:r w:rsidR="00661128">
        <w:rPr>
          <w:rFonts w:cs="Arial"/>
          <w:szCs w:val="20"/>
          <w:lang w:eastAsia="en-US"/>
        </w:rPr>
        <w:t>que ceux-ci pourraient</w:t>
      </w:r>
      <w:r w:rsidRPr="00CD20F3">
        <w:rPr>
          <w:rFonts w:cs="Arial"/>
          <w:szCs w:val="20"/>
          <w:lang w:eastAsia="en-US"/>
        </w:rPr>
        <w:t xml:space="preserve"> représent</w:t>
      </w:r>
      <w:r w:rsidR="00661128">
        <w:rPr>
          <w:rFonts w:cs="Arial"/>
          <w:szCs w:val="20"/>
          <w:lang w:eastAsia="en-US"/>
        </w:rPr>
        <w:t>er</w:t>
      </w:r>
      <w:r w:rsidRPr="00CD20F3">
        <w:rPr>
          <w:rFonts w:cs="Arial"/>
          <w:szCs w:val="20"/>
          <w:lang w:eastAsia="en-US"/>
        </w:rPr>
        <w:t xml:space="preserve"> pour </w:t>
      </w:r>
      <w:r w:rsidR="00661128">
        <w:rPr>
          <w:rFonts w:cs="Arial"/>
          <w:szCs w:val="20"/>
          <w:lang w:eastAsia="en-US"/>
        </w:rPr>
        <w:t>le maintien de la</w:t>
      </w:r>
      <w:r w:rsidRPr="00CD20F3">
        <w:rPr>
          <w:rFonts w:cs="Arial"/>
          <w:szCs w:val="20"/>
          <w:lang w:eastAsia="en-US"/>
        </w:rPr>
        <w:t xml:space="preserve"> paix et </w:t>
      </w:r>
      <w:r w:rsidR="00661128">
        <w:rPr>
          <w:rFonts w:cs="Arial"/>
          <w:szCs w:val="20"/>
          <w:lang w:eastAsia="en-US"/>
        </w:rPr>
        <w:t>de</w:t>
      </w:r>
      <w:r w:rsidRPr="00CD20F3">
        <w:rPr>
          <w:rFonts w:cs="Arial"/>
          <w:szCs w:val="20"/>
          <w:lang w:eastAsia="en-US"/>
        </w:rPr>
        <w:t xml:space="preserve"> la stabilité en Guinée. </w:t>
      </w:r>
    </w:p>
    <w:p w:rsidR="00B17E8F" w:rsidRPr="00AF4F91" w:rsidRDefault="00B17E8F" w:rsidP="00B17E8F">
      <w:pPr>
        <w:jc w:val="both"/>
        <w:rPr>
          <w:rFonts w:cs="Arial"/>
          <w:szCs w:val="20"/>
          <w:lang w:eastAsia="en-US"/>
        </w:rPr>
      </w:pPr>
    </w:p>
    <w:p w:rsidR="00B17E8F" w:rsidRPr="00003B04" w:rsidRDefault="00B17E8F" w:rsidP="00B17E8F">
      <w:pPr>
        <w:ind w:left="180"/>
        <w:jc w:val="both"/>
        <w:rPr>
          <w:rFonts w:cs="Arial"/>
          <w:sz w:val="16"/>
          <w:szCs w:val="16"/>
          <w:lang w:eastAsia="en-US"/>
        </w:rPr>
      </w:pPr>
    </w:p>
    <w:p w:rsidR="00B17E8F" w:rsidRPr="00AC08E7" w:rsidRDefault="00B17E8F" w:rsidP="00AC08E7">
      <w:pPr>
        <w:pStyle w:val="Heading1"/>
      </w:pPr>
      <w:bookmarkStart w:id="7" w:name="_Toc381108746"/>
      <w:r w:rsidRPr="00AC08E7">
        <w:t>P</w:t>
      </w:r>
      <w:r w:rsidR="00AC08E7">
        <w:t>RINCIPAUX OBJECTIFS DU PROGRAMME ET LES RESULTATS ATTENDUS</w:t>
      </w:r>
      <w:bookmarkEnd w:id="7"/>
      <w:r w:rsidR="00AC08E7">
        <w:t xml:space="preserve"> </w:t>
      </w:r>
    </w:p>
    <w:p w:rsidR="00B17E8F" w:rsidRPr="002E0063" w:rsidRDefault="00B17E8F" w:rsidP="00B17E8F">
      <w:pPr>
        <w:pStyle w:val="ListParagraph"/>
        <w:ind w:left="0"/>
        <w:jc w:val="both"/>
        <w:rPr>
          <w:bCs/>
          <w:lang w:val="fr-FR"/>
        </w:rPr>
      </w:pPr>
    </w:p>
    <w:p w:rsidR="00B17E8F" w:rsidRPr="005B7DAA" w:rsidRDefault="00B17E8F" w:rsidP="00B17E8F">
      <w:pPr>
        <w:pStyle w:val="ListParagraph"/>
        <w:numPr>
          <w:ilvl w:val="0"/>
          <w:numId w:val="21"/>
        </w:numPr>
        <w:jc w:val="both"/>
        <w:rPr>
          <w:bCs/>
          <w:lang w:val="fr-FR"/>
        </w:rPr>
      </w:pPr>
      <w:r w:rsidRPr="00920C4A">
        <w:rPr>
          <w:i/>
          <w:lang w:val="fr-FR"/>
        </w:rPr>
        <w:t>L'objectif général du projet</w:t>
      </w:r>
      <w:r w:rsidRPr="005B7DAA">
        <w:rPr>
          <w:lang w:val="fr-FR"/>
        </w:rPr>
        <w:t xml:space="preserve"> est de faciliter la réinsertion socio-économique de 1.829 jeunes associés aux forces armées et les jeunes vulnérables, réduisant le risque qu'ils s'engagent dans la violence et la criminalité, contribuant ainsi à la stabilité en Guinée</w:t>
      </w:r>
      <w:r>
        <w:rPr>
          <w:lang w:val="fr-FR"/>
        </w:rPr>
        <w:t>.</w:t>
      </w:r>
    </w:p>
    <w:p w:rsidR="00B17E8F" w:rsidRPr="005B7DAA" w:rsidRDefault="00B17E8F" w:rsidP="00B17E8F">
      <w:pPr>
        <w:pStyle w:val="ListParagraph"/>
        <w:ind w:left="0"/>
        <w:jc w:val="both"/>
        <w:rPr>
          <w:bCs/>
          <w:lang w:val="fr-FR"/>
        </w:rPr>
      </w:pPr>
    </w:p>
    <w:p w:rsidR="00B17E8F" w:rsidRPr="00B17E8F" w:rsidRDefault="00B17E8F" w:rsidP="00B17E8F">
      <w:pPr>
        <w:pStyle w:val="ListParagraph"/>
        <w:numPr>
          <w:ilvl w:val="0"/>
          <w:numId w:val="21"/>
        </w:numPr>
        <w:jc w:val="both"/>
        <w:rPr>
          <w:bCs/>
          <w:lang w:val="fr-FR"/>
        </w:rPr>
      </w:pPr>
      <w:r w:rsidRPr="00B17E8F">
        <w:rPr>
          <w:i/>
          <w:lang w:val="fr-FR"/>
        </w:rPr>
        <w:t xml:space="preserve">Les objectifs spécifiques </w:t>
      </w:r>
      <w:r w:rsidRPr="00B17E8F">
        <w:rPr>
          <w:lang w:val="fr-FR"/>
        </w:rPr>
        <w:t xml:space="preserve">sont de s’assurer que : </w:t>
      </w:r>
    </w:p>
    <w:p w:rsidR="00B17E8F" w:rsidRPr="005B7DAA" w:rsidRDefault="00B17E8F" w:rsidP="00B17E8F">
      <w:pPr>
        <w:pStyle w:val="ListParagraph"/>
        <w:numPr>
          <w:ilvl w:val="0"/>
          <w:numId w:val="22"/>
        </w:numPr>
        <w:ind w:left="360"/>
        <w:jc w:val="both"/>
        <w:rPr>
          <w:bCs/>
          <w:lang w:val="fr-FR"/>
        </w:rPr>
      </w:pPr>
      <w:r w:rsidRPr="005B7DAA">
        <w:rPr>
          <w:lang w:val="fr-FR"/>
        </w:rPr>
        <w:t xml:space="preserve">1.829 jeunes acquirent </w:t>
      </w:r>
      <w:r>
        <w:rPr>
          <w:lang w:val="fr-FR"/>
        </w:rPr>
        <w:t xml:space="preserve"> </w:t>
      </w:r>
      <w:r w:rsidRPr="005B7DAA">
        <w:rPr>
          <w:lang w:val="fr-FR"/>
        </w:rPr>
        <w:t>des compétences et des qualifications qui leur permettront de concourir pour des opportunités d’emplois durables et de la génération de revenus dans le marché du travail ;</w:t>
      </w:r>
    </w:p>
    <w:p w:rsidR="00B17E8F" w:rsidRPr="005B7DAA" w:rsidRDefault="00B17E8F" w:rsidP="00B17E8F">
      <w:pPr>
        <w:pStyle w:val="ListParagraph"/>
        <w:numPr>
          <w:ilvl w:val="0"/>
          <w:numId w:val="22"/>
        </w:numPr>
        <w:ind w:left="360"/>
        <w:jc w:val="both"/>
        <w:rPr>
          <w:bCs/>
          <w:lang w:val="fr-FR"/>
        </w:rPr>
      </w:pPr>
      <w:r w:rsidRPr="005B7DAA">
        <w:rPr>
          <w:lang w:val="fr-FR"/>
        </w:rPr>
        <w:t xml:space="preserve"> 1.829 jeunes ont une bonne compréhension des possibilités d'emploi durable et de la génération de revenus dans le marché du travail et de la façon de les exploiter</w:t>
      </w:r>
    </w:p>
    <w:p w:rsidR="00B17E8F" w:rsidRPr="005B7DAA" w:rsidRDefault="00B17E8F" w:rsidP="00B17E8F">
      <w:pPr>
        <w:pStyle w:val="ListParagraph"/>
        <w:numPr>
          <w:ilvl w:val="0"/>
          <w:numId w:val="22"/>
        </w:numPr>
        <w:ind w:left="450" w:hanging="450"/>
        <w:jc w:val="both"/>
        <w:rPr>
          <w:bCs/>
          <w:lang w:val="fr-FR"/>
        </w:rPr>
      </w:pPr>
      <w:r w:rsidRPr="005B7DAA">
        <w:rPr>
          <w:lang w:val="fr-FR"/>
        </w:rPr>
        <w:t>1.829 jeunes sont réhabilités dans la communauté</w:t>
      </w:r>
    </w:p>
    <w:p w:rsidR="001524E6" w:rsidRPr="001524E6" w:rsidRDefault="001524E6" w:rsidP="001524E6">
      <w:pPr>
        <w:pStyle w:val="BodyText"/>
        <w:jc w:val="both"/>
        <w:rPr>
          <w:rFonts w:ascii="Times New Roman" w:hAnsi="Times New Roman"/>
          <w:sz w:val="24"/>
          <w:lang w:val="fr-FR"/>
        </w:rPr>
      </w:pPr>
    </w:p>
    <w:p w:rsidR="00B17E8F" w:rsidRPr="00E215EA" w:rsidRDefault="00B17E8F" w:rsidP="00AC08E7">
      <w:pPr>
        <w:pStyle w:val="Subtitle"/>
      </w:pPr>
      <w:r w:rsidRPr="00E215EA">
        <w:t xml:space="preserve">Produits </w:t>
      </w:r>
      <w:r w:rsidR="003B15C1">
        <w:t>attendus</w:t>
      </w:r>
    </w:p>
    <w:p w:rsidR="00B17E8F" w:rsidRPr="00D8755C" w:rsidRDefault="00B17E8F" w:rsidP="00B17E8F">
      <w:pPr>
        <w:jc w:val="both"/>
        <w:rPr>
          <w:rFonts w:cs="Arial"/>
          <w:b/>
          <w:sz w:val="22"/>
          <w:szCs w:val="22"/>
        </w:rPr>
      </w:pPr>
    </w:p>
    <w:p w:rsidR="00B17E8F" w:rsidRPr="00B7063F" w:rsidRDefault="00F60C36" w:rsidP="00E215EA">
      <w:pPr>
        <w:contextualSpacing/>
        <w:jc w:val="both"/>
        <w:rPr>
          <w:bCs/>
          <w:sz w:val="22"/>
          <w:szCs w:val="22"/>
        </w:rPr>
      </w:pPr>
      <w:r>
        <w:rPr>
          <w:rFonts w:cs="Arial"/>
          <w:b/>
          <w:sz w:val="22"/>
          <w:szCs w:val="22"/>
        </w:rPr>
        <w:t>Produit</w:t>
      </w:r>
      <w:r w:rsidR="00B17E8F" w:rsidRPr="00D8755C">
        <w:rPr>
          <w:rFonts w:cs="Arial"/>
          <w:b/>
          <w:sz w:val="22"/>
          <w:szCs w:val="22"/>
        </w:rPr>
        <w:t xml:space="preserve"> 1:</w:t>
      </w:r>
      <w:r w:rsidR="004B7957">
        <w:rPr>
          <w:rFonts w:cs="Arial"/>
          <w:sz w:val="22"/>
          <w:szCs w:val="22"/>
        </w:rPr>
        <w:t xml:space="preserve"> 1.829 jeunes ont terminé</w:t>
      </w:r>
      <w:r w:rsidR="00B17E8F" w:rsidRPr="00B7063F">
        <w:rPr>
          <w:rFonts w:cs="Arial"/>
          <w:sz w:val="22"/>
          <w:szCs w:val="22"/>
        </w:rPr>
        <w:t xml:space="preserve"> leurs  </w:t>
      </w:r>
      <w:r w:rsidR="005730D9">
        <w:rPr>
          <w:rFonts w:cs="Arial"/>
          <w:sz w:val="22"/>
          <w:szCs w:val="22"/>
        </w:rPr>
        <w:t>cours de formation dans les CFP et CFPP</w:t>
      </w:r>
      <w:r w:rsidR="00B17E8F" w:rsidRPr="00B7063F">
        <w:rPr>
          <w:rFonts w:cs="Arial"/>
          <w:sz w:val="22"/>
          <w:szCs w:val="22"/>
        </w:rPr>
        <w:t>, dont 70% qui passent les examens finaux</w:t>
      </w:r>
    </w:p>
    <w:p w:rsidR="00B17E8F" w:rsidRPr="00B7063F" w:rsidRDefault="00B17E8F" w:rsidP="00B17E8F">
      <w:pPr>
        <w:jc w:val="both"/>
        <w:rPr>
          <w:bCs/>
          <w:sz w:val="22"/>
          <w:szCs w:val="22"/>
        </w:rPr>
      </w:pPr>
    </w:p>
    <w:p w:rsidR="00B17E8F" w:rsidRPr="00B7063F" w:rsidRDefault="00F60C36" w:rsidP="00E215EA">
      <w:pPr>
        <w:contextualSpacing/>
        <w:jc w:val="both"/>
        <w:rPr>
          <w:rFonts w:cs="Arial"/>
          <w:sz w:val="22"/>
          <w:szCs w:val="22"/>
        </w:rPr>
      </w:pPr>
      <w:r>
        <w:rPr>
          <w:rFonts w:cs="Arial"/>
          <w:b/>
          <w:sz w:val="22"/>
          <w:szCs w:val="22"/>
        </w:rPr>
        <w:t xml:space="preserve">Produit </w:t>
      </w:r>
      <w:r w:rsidR="00B17E8F" w:rsidRPr="00D8755C">
        <w:rPr>
          <w:rFonts w:cs="Arial"/>
          <w:b/>
          <w:sz w:val="22"/>
          <w:szCs w:val="22"/>
        </w:rPr>
        <w:t>2:</w:t>
      </w:r>
      <w:r w:rsidR="00B17E8F" w:rsidRPr="00D8755C">
        <w:rPr>
          <w:rFonts w:cs="Arial"/>
          <w:i/>
          <w:sz w:val="22"/>
          <w:szCs w:val="22"/>
        </w:rPr>
        <w:t xml:space="preserve"> </w:t>
      </w:r>
      <w:r w:rsidR="00B17E8F" w:rsidRPr="00B7063F">
        <w:rPr>
          <w:rFonts w:cs="Arial"/>
          <w:sz w:val="22"/>
          <w:szCs w:val="22"/>
        </w:rPr>
        <w:t>1.829 jeunes bénéficient d'un soutien pour les orienter aux opportunités d’emplois durables et de la génération de revenus sur le marché du travail </w:t>
      </w:r>
    </w:p>
    <w:p w:rsidR="00B17E8F" w:rsidRPr="00B7063F" w:rsidRDefault="00B17E8F" w:rsidP="00B17E8F">
      <w:pPr>
        <w:jc w:val="both"/>
        <w:rPr>
          <w:rFonts w:cs="Arial"/>
          <w:sz w:val="22"/>
          <w:szCs w:val="22"/>
        </w:rPr>
      </w:pPr>
    </w:p>
    <w:p w:rsidR="00B17E8F" w:rsidRPr="00B7063F" w:rsidRDefault="00F60C36" w:rsidP="00E215EA">
      <w:pPr>
        <w:contextualSpacing/>
        <w:jc w:val="both"/>
        <w:rPr>
          <w:rFonts w:cs="Arial"/>
          <w:sz w:val="22"/>
          <w:szCs w:val="22"/>
        </w:rPr>
      </w:pPr>
      <w:r>
        <w:rPr>
          <w:rFonts w:cs="Arial"/>
          <w:b/>
          <w:sz w:val="22"/>
          <w:szCs w:val="22"/>
        </w:rPr>
        <w:t>Produit</w:t>
      </w:r>
      <w:r w:rsidR="00B17E8F" w:rsidRPr="00B7063F">
        <w:rPr>
          <w:rFonts w:cs="Arial"/>
          <w:b/>
          <w:sz w:val="22"/>
          <w:szCs w:val="22"/>
        </w:rPr>
        <w:t xml:space="preserve"> 3: </w:t>
      </w:r>
      <w:r w:rsidR="00B17E8F" w:rsidRPr="00B7063F">
        <w:rPr>
          <w:rFonts w:cs="Arial"/>
          <w:sz w:val="22"/>
          <w:szCs w:val="22"/>
        </w:rPr>
        <w:t>1,829 jeunes reçoivent un soutien psychosocial et affectif, et les jeunes qui continuent d'avoir de graves problèmes comportementaux et sociaux (moins de 10% du total) reçoivent un soutien approprié</w:t>
      </w:r>
    </w:p>
    <w:p w:rsidR="00044C6F" w:rsidRPr="001524E6" w:rsidRDefault="00044C6F" w:rsidP="004710AD">
      <w:pPr>
        <w:pStyle w:val="BodyText"/>
        <w:jc w:val="both"/>
        <w:rPr>
          <w:rFonts w:ascii="Times New Roman" w:hAnsi="Times New Roman"/>
          <w:sz w:val="24"/>
          <w:lang w:val="fr-FR"/>
        </w:rPr>
      </w:pPr>
    </w:p>
    <w:p w:rsidR="00264361" w:rsidRPr="00334073" w:rsidRDefault="00264361" w:rsidP="004D18B1">
      <w:pPr>
        <w:pStyle w:val="BodyText"/>
        <w:ind w:left="720"/>
        <w:jc w:val="both"/>
        <w:rPr>
          <w:rFonts w:ascii="Times New Roman" w:hAnsi="Times New Roman"/>
          <w:sz w:val="16"/>
          <w:lang w:val="fr-FR"/>
        </w:rPr>
      </w:pPr>
    </w:p>
    <w:p w:rsidR="00264361" w:rsidRPr="00334073" w:rsidRDefault="00264361" w:rsidP="00AC08E7">
      <w:pPr>
        <w:pStyle w:val="Heading1"/>
      </w:pPr>
      <w:bookmarkStart w:id="8" w:name="_Toc249364486"/>
      <w:bookmarkStart w:id="9" w:name="_Toc381108747"/>
      <w:r w:rsidRPr="00334073">
        <w:t>R</w:t>
      </w:r>
      <w:bookmarkEnd w:id="8"/>
      <w:r w:rsidR="007500D6">
        <w:t>ESULTATS</w:t>
      </w:r>
      <w:bookmarkEnd w:id="9"/>
    </w:p>
    <w:p w:rsidR="00C22A60" w:rsidRPr="00AC08E7" w:rsidRDefault="00C22A60" w:rsidP="00AC08E7">
      <w:pPr>
        <w:keepNext/>
        <w:keepLines/>
        <w:ind w:left="360"/>
        <w:jc w:val="both"/>
        <w:rPr>
          <w:bCs/>
        </w:rPr>
      </w:pPr>
    </w:p>
    <w:p w:rsidR="0047782C" w:rsidRPr="00B86ED6" w:rsidRDefault="004710AD" w:rsidP="0047782C">
      <w:pPr>
        <w:widowControl w:val="0"/>
        <w:spacing w:before="240"/>
        <w:jc w:val="both"/>
        <w:rPr>
          <w:b/>
          <w:snapToGrid w:val="0"/>
          <w:sz w:val="22"/>
          <w:szCs w:val="22"/>
          <w:lang w:eastAsia="en-US"/>
        </w:rPr>
      </w:pPr>
      <w:r w:rsidRPr="00B86ED6">
        <w:rPr>
          <w:b/>
          <w:snapToGrid w:val="0"/>
          <w:sz w:val="22"/>
          <w:szCs w:val="22"/>
          <w:u w:val="single"/>
          <w:lang w:eastAsia="en-US"/>
        </w:rPr>
        <w:t xml:space="preserve">Produit 1: </w:t>
      </w:r>
      <w:r w:rsidR="00F60C36" w:rsidRPr="00B86ED6">
        <w:rPr>
          <w:rFonts w:cs="Arial"/>
          <w:b/>
          <w:sz w:val="22"/>
          <w:szCs w:val="22"/>
        </w:rPr>
        <w:t>1.829 jeunes ont terminés leurs  cours de</w:t>
      </w:r>
      <w:r w:rsidR="000704A3">
        <w:rPr>
          <w:rFonts w:cs="Arial"/>
          <w:b/>
          <w:sz w:val="22"/>
          <w:szCs w:val="22"/>
        </w:rPr>
        <w:t xml:space="preserve"> formation dans les CFP et CFPP</w:t>
      </w:r>
      <w:r w:rsidR="00F60C36" w:rsidRPr="00B86ED6">
        <w:rPr>
          <w:rFonts w:cs="Arial"/>
          <w:b/>
          <w:sz w:val="22"/>
          <w:szCs w:val="22"/>
        </w:rPr>
        <w:t>, dont 70% qui passent les examens finaux</w:t>
      </w:r>
      <w:r w:rsidR="00D640D1" w:rsidRPr="00B86ED6">
        <w:rPr>
          <w:b/>
          <w:snapToGrid w:val="0"/>
          <w:sz w:val="22"/>
          <w:szCs w:val="22"/>
          <w:lang w:eastAsia="en-US"/>
        </w:rPr>
        <w:t>.</w:t>
      </w:r>
    </w:p>
    <w:p w:rsidR="003B15C1" w:rsidRDefault="003B15C1" w:rsidP="003B15C1">
      <w:pPr>
        <w:contextualSpacing/>
        <w:jc w:val="both"/>
        <w:rPr>
          <w:rFonts w:cs="Arial"/>
          <w:b/>
          <w:sz w:val="22"/>
          <w:szCs w:val="22"/>
        </w:rPr>
      </w:pPr>
    </w:p>
    <w:p w:rsidR="003B15C1" w:rsidRPr="00B7063F" w:rsidRDefault="003B15C1" w:rsidP="003B15C1">
      <w:pPr>
        <w:contextualSpacing/>
        <w:jc w:val="both"/>
        <w:rPr>
          <w:bCs/>
          <w:sz w:val="22"/>
          <w:szCs w:val="22"/>
        </w:rPr>
      </w:pPr>
      <w:r>
        <w:rPr>
          <w:rFonts w:cs="Arial"/>
          <w:b/>
          <w:sz w:val="22"/>
          <w:szCs w:val="22"/>
        </w:rPr>
        <w:t>Axe d’a</w:t>
      </w:r>
      <w:r w:rsidRPr="00B7063F">
        <w:rPr>
          <w:rFonts w:cs="Arial"/>
          <w:b/>
          <w:sz w:val="22"/>
          <w:szCs w:val="22"/>
        </w:rPr>
        <w:t>ctivités</w:t>
      </w:r>
      <w:r>
        <w:rPr>
          <w:rFonts w:cs="Arial"/>
          <w:b/>
          <w:sz w:val="22"/>
          <w:szCs w:val="22"/>
        </w:rPr>
        <w:t xml:space="preserve"> 1</w:t>
      </w:r>
      <w:r w:rsidRPr="00B7063F">
        <w:rPr>
          <w:rFonts w:cs="Arial"/>
          <w:sz w:val="22"/>
          <w:szCs w:val="22"/>
        </w:rPr>
        <w:t>:</w:t>
      </w:r>
    </w:p>
    <w:p w:rsidR="003B15C1" w:rsidRPr="0047782C" w:rsidRDefault="003B15C1" w:rsidP="003B15C1">
      <w:pPr>
        <w:numPr>
          <w:ilvl w:val="1"/>
          <w:numId w:val="24"/>
        </w:numPr>
        <w:contextualSpacing/>
        <w:jc w:val="both"/>
        <w:rPr>
          <w:rFonts w:cs="Arial"/>
          <w:sz w:val="22"/>
          <w:szCs w:val="22"/>
        </w:rPr>
      </w:pPr>
      <w:r w:rsidRPr="00B7063F">
        <w:rPr>
          <w:rFonts w:cs="Arial"/>
          <w:sz w:val="22"/>
          <w:szCs w:val="22"/>
        </w:rPr>
        <w:t>Fournir du matériel scolaire (livres, stylos) à 1.438 jeunes qui entrent dans une deuxième année de formation ;</w:t>
      </w:r>
    </w:p>
    <w:p w:rsidR="003B15C1" w:rsidRPr="0047782C" w:rsidRDefault="003B15C1" w:rsidP="003B15C1">
      <w:pPr>
        <w:numPr>
          <w:ilvl w:val="1"/>
          <w:numId w:val="24"/>
        </w:numPr>
        <w:contextualSpacing/>
        <w:jc w:val="both"/>
        <w:rPr>
          <w:rFonts w:cs="Arial"/>
          <w:sz w:val="22"/>
          <w:szCs w:val="22"/>
        </w:rPr>
      </w:pPr>
      <w:r w:rsidRPr="00B7063F">
        <w:rPr>
          <w:rFonts w:cs="Arial"/>
          <w:sz w:val="22"/>
          <w:szCs w:val="22"/>
        </w:rPr>
        <w:t>Fournir des matières d’œ</w:t>
      </w:r>
      <w:r>
        <w:rPr>
          <w:rFonts w:cs="Arial"/>
          <w:sz w:val="22"/>
          <w:szCs w:val="22"/>
        </w:rPr>
        <w:t>uvre</w:t>
      </w:r>
      <w:r w:rsidRPr="00B7063F">
        <w:rPr>
          <w:rFonts w:cs="Arial"/>
          <w:sz w:val="22"/>
          <w:szCs w:val="22"/>
        </w:rPr>
        <w:t xml:space="preserve"> aux 12 centres de formation pour soutenir le 1.438 jeunes qui entrent dans une deuxième année de formation, à la valeur de 35 $ US par jeune, pour permettre aux centres de donner un enseignement pratique pour les jeunes pris en charge par le projet et d'autres jeunes dans les centres ;</w:t>
      </w:r>
    </w:p>
    <w:p w:rsidR="003B15C1" w:rsidRPr="00B7063F" w:rsidRDefault="003B15C1" w:rsidP="003B15C1">
      <w:pPr>
        <w:numPr>
          <w:ilvl w:val="1"/>
          <w:numId w:val="24"/>
        </w:numPr>
        <w:contextualSpacing/>
        <w:jc w:val="both"/>
        <w:rPr>
          <w:rFonts w:cs="Arial"/>
          <w:sz w:val="22"/>
          <w:szCs w:val="22"/>
        </w:rPr>
      </w:pPr>
      <w:r w:rsidRPr="00B7063F">
        <w:rPr>
          <w:rFonts w:cs="Arial"/>
          <w:sz w:val="22"/>
          <w:szCs w:val="22"/>
        </w:rPr>
        <w:t>Fournir une aide de subsistance à 1.438 jeunes et leurs familles, sous la forme de cash transfer</w:t>
      </w:r>
      <w:r>
        <w:rPr>
          <w:rFonts w:cs="Arial"/>
          <w:sz w:val="22"/>
          <w:szCs w:val="22"/>
        </w:rPr>
        <w:t>t</w:t>
      </w:r>
      <w:r w:rsidRPr="00B7063F">
        <w:rPr>
          <w:rFonts w:cs="Arial"/>
          <w:sz w:val="22"/>
          <w:szCs w:val="22"/>
        </w:rPr>
        <w:t>, utilisant des coupons ;</w:t>
      </w:r>
    </w:p>
    <w:p w:rsidR="003B15C1" w:rsidRPr="00B7063F" w:rsidRDefault="003B15C1" w:rsidP="003B15C1">
      <w:pPr>
        <w:numPr>
          <w:ilvl w:val="1"/>
          <w:numId w:val="24"/>
        </w:numPr>
        <w:contextualSpacing/>
        <w:jc w:val="both"/>
        <w:rPr>
          <w:rFonts w:cs="Arial"/>
          <w:sz w:val="22"/>
          <w:szCs w:val="22"/>
        </w:rPr>
      </w:pPr>
      <w:r w:rsidRPr="00B7063F">
        <w:rPr>
          <w:rFonts w:cs="Arial"/>
          <w:sz w:val="22"/>
          <w:szCs w:val="22"/>
        </w:rPr>
        <w:t>Offrir aux 166 jeunes qui ont besoin d'une troisième année de la formation un paquet de soutien minimum (paiement des frais de scolarité, le paiement de US $35 par jeune vers les centres de formation afin de couvrir le coût du matériel de formation) ; et</w:t>
      </w:r>
    </w:p>
    <w:p w:rsidR="003B15C1" w:rsidRDefault="003B15C1" w:rsidP="003B15C1">
      <w:pPr>
        <w:numPr>
          <w:ilvl w:val="1"/>
          <w:numId w:val="24"/>
        </w:numPr>
        <w:contextualSpacing/>
        <w:jc w:val="both"/>
        <w:rPr>
          <w:rFonts w:cs="Arial"/>
          <w:sz w:val="22"/>
          <w:szCs w:val="22"/>
        </w:rPr>
      </w:pPr>
      <w:r w:rsidRPr="00B7063F">
        <w:rPr>
          <w:rFonts w:cs="Arial"/>
          <w:sz w:val="22"/>
          <w:szCs w:val="22"/>
        </w:rPr>
        <w:lastRenderedPageBreak/>
        <w:t xml:space="preserve">Sensibiliser les jeunes sur l'importance de l'étude et de la nécessité d'être indépendant à la fin de la formation, y compris le financement des couts d’une année supplémentaire en cas d’échec à l’examen </w:t>
      </w:r>
    </w:p>
    <w:p w:rsidR="00FE3AAC" w:rsidRDefault="00FE3AAC" w:rsidP="00FE3AAC">
      <w:pPr>
        <w:jc w:val="both"/>
        <w:rPr>
          <w:rFonts w:cs="Arial"/>
          <w:szCs w:val="20"/>
          <w:lang w:eastAsia="en-US"/>
        </w:rPr>
      </w:pPr>
    </w:p>
    <w:p w:rsidR="00FE3AAC" w:rsidRDefault="00FE3AAC" w:rsidP="00FE3AAC">
      <w:pPr>
        <w:jc w:val="both"/>
        <w:rPr>
          <w:rFonts w:cs="Calibri"/>
        </w:rPr>
      </w:pPr>
      <w:r>
        <w:rPr>
          <w:rFonts w:cs="Arial"/>
          <w:szCs w:val="20"/>
          <w:lang w:eastAsia="en-US"/>
        </w:rPr>
        <w:t>Durant le 1</w:t>
      </w:r>
      <w:r w:rsidRPr="00FE3AAC">
        <w:rPr>
          <w:rFonts w:cs="Arial"/>
          <w:szCs w:val="20"/>
          <w:vertAlign w:val="superscript"/>
          <w:lang w:eastAsia="en-US"/>
        </w:rPr>
        <w:t>er</w:t>
      </w:r>
      <w:r>
        <w:rPr>
          <w:rFonts w:cs="Arial"/>
          <w:szCs w:val="20"/>
          <w:lang w:eastAsia="en-US"/>
        </w:rPr>
        <w:t xml:space="preserve"> semestre de l’année 2013, 1650 jeunes ont bénéficié d’un soutien scolaire</w:t>
      </w:r>
      <w:r w:rsidR="00CB14B6">
        <w:rPr>
          <w:rFonts w:cs="Arial"/>
          <w:szCs w:val="20"/>
          <w:lang w:eastAsia="en-US"/>
        </w:rPr>
        <w:t xml:space="preserve"> dès le début de l’année académique 2012-2013, notamment paiement des frais scolaires</w:t>
      </w:r>
      <w:r>
        <w:rPr>
          <w:rFonts w:cs="Arial"/>
          <w:szCs w:val="20"/>
          <w:lang w:eastAsia="en-US"/>
        </w:rPr>
        <w:t xml:space="preserve">, </w:t>
      </w:r>
      <w:r w:rsidR="00CB14B6">
        <w:rPr>
          <w:rFonts w:cs="Arial"/>
          <w:szCs w:val="20"/>
          <w:lang w:eastAsia="en-US"/>
        </w:rPr>
        <w:t xml:space="preserve">des uniformes. Tout le long de l’année, ils ont aussi bénéficié </w:t>
      </w:r>
      <w:r>
        <w:rPr>
          <w:rFonts w:cs="Arial"/>
          <w:szCs w:val="20"/>
          <w:lang w:eastAsia="en-US"/>
        </w:rPr>
        <w:t xml:space="preserve">d’un accompagnement psychosocial et d’une aide alimentaire. </w:t>
      </w:r>
      <w:r>
        <w:rPr>
          <w:rFonts w:cs="Calibri"/>
        </w:rPr>
        <w:t xml:space="preserve">Concernant l’aide alimentaire, la stratégie pour les années précédentes avait été de distribuer directement aux jeunes leur ration </w:t>
      </w:r>
      <w:r w:rsidRPr="00BC0E55">
        <w:rPr>
          <w:rFonts w:cs="Calibri"/>
          <w:i/>
        </w:rPr>
        <w:t>via</w:t>
      </w:r>
      <w:r>
        <w:rPr>
          <w:rFonts w:cs="Calibri"/>
        </w:rPr>
        <w:t xml:space="preserve"> le PAM</w:t>
      </w:r>
      <w:r w:rsidR="0086161D">
        <w:rPr>
          <w:rFonts w:cs="Calibri"/>
        </w:rPr>
        <w:t>. Cette politique d’aide avait été revue au début de l’année 2013</w:t>
      </w:r>
      <w:r w:rsidR="0086161D" w:rsidRPr="00F36BC6">
        <w:rPr>
          <w:rFonts w:cs="Calibri"/>
        </w:rPr>
        <w:t xml:space="preserve"> </w:t>
      </w:r>
      <w:r w:rsidR="0086161D">
        <w:rPr>
          <w:rFonts w:cs="Calibri"/>
        </w:rPr>
        <w:t>dans la perspective de mise en place d’</w:t>
      </w:r>
      <w:r w:rsidR="0086161D" w:rsidRPr="00F36BC6">
        <w:rPr>
          <w:rFonts w:cs="Calibri"/>
        </w:rPr>
        <w:t>une st</w:t>
      </w:r>
      <w:r w:rsidR="0086161D">
        <w:rPr>
          <w:rFonts w:cs="Calibri"/>
        </w:rPr>
        <w:t xml:space="preserve">ratégie de sortie de l’accompagnement alimentaire soigneusement définie. Dans ce sens </w:t>
      </w:r>
      <w:r w:rsidR="0086161D" w:rsidRPr="00F36BC6">
        <w:rPr>
          <w:rFonts w:cs="Calibri"/>
        </w:rPr>
        <w:t>il a été convenu d</w:t>
      </w:r>
      <w:r w:rsidR="0086161D">
        <w:rPr>
          <w:rFonts w:cs="Calibri"/>
        </w:rPr>
        <w:t>e réduire de façon progressive l</w:t>
      </w:r>
      <w:r w:rsidR="0086161D" w:rsidRPr="00F36BC6">
        <w:rPr>
          <w:rFonts w:cs="Calibri"/>
        </w:rPr>
        <w:t>es quantités de riz à distribuer mensuelle</w:t>
      </w:r>
      <w:r w:rsidR="0086161D">
        <w:rPr>
          <w:rFonts w:cs="Calibri"/>
        </w:rPr>
        <w:t>ment aux jeunes.</w:t>
      </w:r>
      <w:r w:rsidR="0086161D" w:rsidRPr="00F36BC6">
        <w:rPr>
          <w:rFonts w:cs="Calibri"/>
        </w:rPr>
        <w:t xml:space="preserve"> La question </w:t>
      </w:r>
      <w:r w:rsidR="0086161D">
        <w:rPr>
          <w:rFonts w:cs="Calibri"/>
        </w:rPr>
        <w:t>des vivres étant très sensible</w:t>
      </w:r>
      <w:r w:rsidR="0086161D" w:rsidRPr="00F36BC6">
        <w:rPr>
          <w:rFonts w:cs="Calibri"/>
        </w:rPr>
        <w:t xml:space="preserve"> </w:t>
      </w:r>
      <w:r w:rsidR="0086161D">
        <w:rPr>
          <w:rFonts w:cs="Calibri"/>
        </w:rPr>
        <w:t>a été le sujet d’une réflexion approfondie afin d’éviter</w:t>
      </w:r>
      <w:r w:rsidR="0086161D" w:rsidRPr="00A940CE">
        <w:rPr>
          <w:rFonts w:cs="Calibri"/>
        </w:rPr>
        <w:t xml:space="preserve"> une</w:t>
      </w:r>
      <w:r w:rsidR="0086161D">
        <w:rPr>
          <w:rFonts w:cs="Calibri"/>
        </w:rPr>
        <w:t xml:space="preserve"> </w:t>
      </w:r>
      <w:r w:rsidR="0086161D" w:rsidRPr="00A940CE">
        <w:rPr>
          <w:rFonts w:cs="Calibri"/>
        </w:rPr>
        <w:t xml:space="preserve">rupture </w:t>
      </w:r>
      <w:r w:rsidR="0086161D" w:rsidRPr="00B56EA4">
        <w:rPr>
          <w:rFonts w:cs="Calibri"/>
          <w:i/>
        </w:rPr>
        <w:t>abrupto</w:t>
      </w:r>
      <w:r w:rsidR="0086161D">
        <w:rPr>
          <w:rFonts w:cs="Calibri"/>
        </w:rPr>
        <w:t xml:space="preserve"> </w:t>
      </w:r>
      <w:r w:rsidR="0086161D" w:rsidRPr="00A940CE">
        <w:rPr>
          <w:rFonts w:cs="Calibri"/>
        </w:rPr>
        <w:t>de</w:t>
      </w:r>
      <w:r w:rsidR="0086161D">
        <w:rPr>
          <w:rFonts w:cs="Calibri"/>
        </w:rPr>
        <w:t xml:space="preserve"> </w:t>
      </w:r>
      <w:r w:rsidR="00CB14B6">
        <w:rPr>
          <w:rFonts w:cs="Calibri"/>
        </w:rPr>
        <w:t xml:space="preserve">cette </w:t>
      </w:r>
      <w:r w:rsidR="0086161D" w:rsidRPr="00A940CE">
        <w:rPr>
          <w:rFonts w:cs="Calibri"/>
        </w:rPr>
        <w:t xml:space="preserve">assistance alimentaire </w:t>
      </w:r>
      <w:r w:rsidR="0086161D">
        <w:rPr>
          <w:rFonts w:cs="Calibri"/>
        </w:rPr>
        <w:t xml:space="preserve">qui </w:t>
      </w:r>
      <w:r w:rsidR="00CB14B6">
        <w:rPr>
          <w:rFonts w:cs="Calibri"/>
        </w:rPr>
        <w:t>aurait pu</w:t>
      </w:r>
      <w:r w:rsidR="0086161D">
        <w:rPr>
          <w:rFonts w:cs="Calibri"/>
        </w:rPr>
        <w:t xml:space="preserve"> avoir des conséquences </w:t>
      </w:r>
      <w:r w:rsidR="00CB14B6">
        <w:rPr>
          <w:rFonts w:cs="Calibri"/>
        </w:rPr>
        <w:t xml:space="preserve">en matière </w:t>
      </w:r>
      <w:r w:rsidR="0086161D">
        <w:rPr>
          <w:rFonts w:cs="Calibri"/>
        </w:rPr>
        <w:t>de sécurité</w:t>
      </w:r>
      <w:r w:rsidR="00CB14B6">
        <w:rPr>
          <w:rFonts w:cs="Calibri"/>
        </w:rPr>
        <w:t>,</w:t>
      </w:r>
      <w:r w:rsidR="0086161D">
        <w:rPr>
          <w:rFonts w:cs="Calibri"/>
        </w:rPr>
        <w:t xml:space="preserve"> </w:t>
      </w:r>
      <w:r w:rsidR="00CB14B6">
        <w:rPr>
          <w:rFonts w:cs="Calibri"/>
        </w:rPr>
        <w:t xml:space="preserve">en particulier </w:t>
      </w:r>
      <w:r w:rsidR="0086161D">
        <w:rPr>
          <w:rFonts w:cs="Calibri"/>
        </w:rPr>
        <w:t>pour les équipes de terrain. A cet effet, la préparation d</w:t>
      </w:r>
      <w:r w:rsidR="0086161D" w:rsidRPr="00F36BC6">
        <w:rPr>
          <w:rFonts w:cs="Calibri"/>
        </w:rPr>
        <w:t>es acteurs étatiques et autorités locales</w:t>
      </w:r>
      <w:r w:rsidR="0086161D">
        <w:rPr>
          <w:rFonts w:cs="Calibri"/>
        </w:rPr>
        <w:t xml:space="preserve"> ainsi que</w:t>
      </w:r>
      <w:r w:rsidR="0086161D" w:rsidRPr="00F36BC6">
        <w:rPr>
          <w:rFonts w:cs="Calibri"/>
        </w:rPr>
        <w:t xml:space="preserve"> la</w:t>
      </w:r>
      <w:r w:rsidR="0086161D">
        <w:rPr>
          <w:rFonts w:cs="Calibri"/>
        </w:rPr>
        <w:t xml:space="preserve"> sensibilisation à la médiation/</w:t>
      </w:r>
      <w:r w:rsidR="0086161D" w:rsidRPr="00F36BC6">
        <w:rPr>
          <w:rFonts w:cs="Calibri"/>
        </w:rPr>
        <w:t xml:space="preserve">résolution de conflits </w:t>
      </w:r>
      <w:r w:rsidR="0086161D">
        <w:rPr>
          <w:rFonts w:cs="Calibri"/>
        </w:rPr>
        <w:t xml:space="preserve">avaient été des stratégies-clé qui ont permis de mitiger les risques de tension. Le dispositif adopté avait été celui de la fourniture de l’aide par des commerçants de la place contractés par le projet. </w:t>
      </w:r>
      <w:r w:rsidR="0086161D" w:rsidRPr="00F36BC6">
        <w:rPr>
          <w:rFonts w:cs="Calibri"/>
        </w:rPr>
        <w:t>Pour</w:t>
      </w:r>
      <w:r w:rsidR="0086161D">
        <w:rPr>
          <w:rFonts w:cs="Calibri"/>
        </w:rPr>
        <w:t xml:space="preserve"> une meilleure et transparente</w:t>
      </w:r>
      <w:r w:rsidR="0086161D" w:rsidRPr="00F36BC6">
        <w:rPr>
          <w:rFonts w:cs="Calibri"/>
        </w:rPr>
        <w:t xml:space="preserve"> distribution des vivres, des fiches comportant les photos de chaque jeune ont été élaborées et déposées chez le fournisseur en</w:t>
      </w:r>
      <w:r w:rsidR="0086161D">
        <w:rPr>
          <w:rFonts w:cs="Calibri"/>
        </w:rPr>
        <w:t xml:space="preserve"> lien avec les ONG partenaires. </w:t>
      </w:r>
      <w:r w:rsidR="00CB14B6">
        <w:rPr>
          <w:rFonts w:cs="Calibri"/>
        </w:rPr>
        <w:t>Cette aide alimentaire a permis aux jeunes de faire face à leurs besoins de base incluant les frais de transport et de prise en charge quotidienne, au sein des familles d’accueil jusqu’à la fin de l’année académique en juin 2013.</w:t>
      </w:r>
    </w:p>
    <w:p w:rsidR="00FE3AAC" w:rsidRDefault="00FE3AAC" w:rsidP="00FE3AAC">
      <w:pPr>
        <w:jc w:val="both"/>
        <w:rPr>
          <w:rFonts w:cs="Calibri"/>
        </w:rPr>
      </w:pPr>
    </w:p>
    <w:p w:rsidR="00FE3AAC" w:rsidRPr="00C41322" w:rsidRDefault="00FE3AAC" w:rsidP="00FE3AAC">
      <w:pPr>
        <w:jc w:val="center"/>
        <w:rPr>
          <w:b/>
        </w:rPr>
      </w:pPr>
      <w:r w:rsidRPr="00C41322">
        <w:rPr>
          <w:b/>
        </w:rPr>
        <w:t>Réduction progressive de la ration alimentaire</w:t>
      </w:r>
    </w:p>
    <w:tbl>
      <w:tblPr>
        <w:tblpPr w:leftFromText="180" w:rightFromText="180" w:vertAnchor="text" w:horzAnchor="margin" w:tblpXSpec="center"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626"/>
        <w:gridCol w:w="1624"/>
        <w:gridCol w:w="1545"/>
        <w:gridCol w:w="1333"/>
        <w:gridCol w:w="1333"/>
      </w:tblGrid>
      <w:tr w:rsidR="00FE3AAC" w:rsidTr="007320CA">
        <w:tc>
          <w:tcPr>
            <w:tcW w:w="1825" w:type="dxa"/>
          </w:tcPr>
          <w:p w:rsidR="00FE3AAC" w:rsidRPr="00C344F7" w:rsidRDefault="00FE3AAC" w:rsidP="007320CA">
            <w:pPr>
              <w:jc w:val="center"/>
              <w:rPr>
                <w:rFonts w:cs="Calibri"/>
                <w:b/>
                <w:sz w:val="22"/>
                <w:szCs w:val="22"/>
              </w:rPr>
            </w:pPr>
            <w:r w:rsidRPr="00C344F7">
              <w:rPr>
                <w:rFonts w:cs="Calibri"/>
                <w:b/>
                <w:sz w:val="22"/>
                <w:szCs w:val="22"/>
              </w:rPr>
              <w:t>Mois</w:t>
            </w:r>
          </w:p>
        </w:tc>
        <w:tc>
          <w:tcPr>
            <w:tcW w:w="1626" w:type="dxa"/>
          </w:tcPr>
          <w:p w:rsidR="00FE3AAC" w:rsidRPr="00C344F7" w:rsidRDefault="00FE3AAC" w:rsidP="007320CA">
            <w:pPr>
              <w:jc w:val="center"/>
              <w:rPr>
                <w:rFonts w:cs="Calibri"/>
                <w:sz w:val="22"/>
                <w:szCs w:val="22"/>
              </w:rPr>
            </w:pPr>
            <w:r w:rsidRPr="00C344F7">
              <w:rPr>
                <w:rFonts w:cs="Calibri"/>
                <w:sz w:val="22"/>
                <w:szCs w:val="22"/>
              </w:rPr>
              <w:t>Janvier 2013</w:t>
            </w:r>
          </w:p>
        </w:tc>
        <w:tc>
          <w:tcPr>
            <w:tcW w:w="1624" w:type="dxa"/>
          </w:tcPr>
          <w:p w:rsidR="00FE3AAC" w:rsidRPr="00C344F7" w:rsidRDefault="00FE3AAC" w:rsidP="007320CA">
            <w:pPr>
              <w:jc w:val="center"/>
              <w:rPr>
                <w:rFonts w:cs="Calibri"/>
                <w:sz w:val="22"/>
                <w:szCs w:val="22"/>
              </w:rPr>
            </w:pPr>
            <w:r w:rsidRPr="00C344F7">
              <w:rPr>
                <w:rFonts w:cs="Calibri"/>
                <w:sz w:val="22"/>
                <w:szCs w:val="22"/>
              </w:rPr>
              <w:t>Février 2013</w:t>
            </w:r>
          </w:p>
        </w:tc>
        <w:tc>
          <w:tcPr>
            <w:tcW w:w="1545" w:type="dxa"/>
          </w:tcPr>
          <w:p w:rsidR="00FE3AAC" w:rsidRPr="00C344F7" w:rsidRDefault="00FE3AAC" w:rsidP="007320CA">
            <w:pPr>
              <w:jc w:val="center"/>
              <w:rPr>
                <w:rFonts w:cs="Calibri"/>
                <w:sz w:val="22"/>
                <w:szCs w:val="22"/>
              </w:rPr>
            </w:pPr>
            <w:r w:rsidRPr="00C344F7">
              <w:rPr>
                <w:rFonts w:cs="Calibri"/>
                <w:sz w:val="22"/>
                <w:szCs w:val="22"/>
              </w:rPr>
              <w:t>Mars 2013</w:t>
            </w:r>
          </w:p>
        </w:tc>
        <w:tc>
          <w:tcPr>
            <w:tcW w:w="1333" w:type="dxa"/>
          </w:tcPr>
          <w:p w:rsidR="00FE3AAC" w:rsidRPr="00C344F7" w:rsidRDefault="00FE3AAC" w:rsidP="007320CA">
            <w:pPr>
              <w:jc w:val="center"/>
              <w:rPr>
                <w:rFonts w:cs="Calibri"/>
                <w:sz w:val="22"/>
                <w:szCs w:val="22"/>
              </w:rPr>
            </w:pPr>
            <w:r w:rsidRPr="00C344F7">
              <w:rPr>
                <w:rFonts w:cs="Calibri"/>
                <w:sz w:val="22"/>
                <w:szCs w:val="22"/>
              </w:rPr>
              <w:t>Avril 2013</w:t>
            </w:r>
          </w:p>
        </w:tc>
        <w:tc>
          <w:tcPr>
            <w:tcW w:w="1333" w:type="dxa"/>
          </w:tcPr>
          <w:p w:rsidR="00FE3AAC" w:rsidRPr="00C344F7" w:rsidRDefault="00FE3AAC" w:rsidP="007320CA">
            <w:pPr>
              <w:jc w:val="center"/>
              <w:rPr>
                <w:rFonts w:cs="Calibri"/>
                <w:sz w:val="22"/>
                <w:szCs w:val="22"/>
              </w:rPr>
            </w:pPr>
            <w:r w:rsidRPr="00C344F7">
              <w:rPr>
                <w:rFonts w:cs="Calibri"/>
                <w:sz w:val="22"/>
                <w:szCs w:val="22"/>
              </w:rPr>
              <w:t>Mai 2013</w:t>
            </w:r>
          </w:p>
        </w:tc>
      </w:tr>
      <w:tr w:rsidR="00FE3AAC" w:rsidTr="007320CA">
        <w:tc>
          <w:tcPr>
            <w:tcW w:w="1825" w:type="dxa"/>
          </w:tcPr>
          <w:p w:rsidR="00FE3AAC" w:rsidRPr="00C344F7" w:rsidRDefault="00FE3AAC" w:rsidP="007320CA">
            <w:pPr>
              <w:jc w:val="center"/>
              <w:rPr>
                <w:rFonts w:cs="Calibri"/>
                <w:b/>
                <w:sz w:val="22"/>
                <w:szCs w:val="22"/>
              </w:rPr>
            </w:pPr>
            <w:r w:rsidRPr="00C344F7">
              <w:rPr>
                <w:rFonts w:cs="Calibri"/>
                <w:b/>
                <w:sz w:val="22"/>
                <w:szCs w:val="22"/>
              </w:rPr>
              <w:t>Ration alimentaire par jeune</w:t>
            </w:r>
          </w:p>
        </w:tc>
        <w:tc>
          <w:tcPr>
            <w:tcW w:w="1626" w:type="dxa"/>
            <w:vAlign w:val="center"/>
          </w:tcPr>
          <w:p w:rsidR="00FE3AAC" w:rsidRPr="00C344F7" w:rsidRDefault="00FE3AAC" w:rsidP="007320CA">
            <w:pPr>
              <w:jc w:val="center"/>
              <w:rPr>
                <w:rFonts w:cs="Calibri"/>
                <w:sz w:val="22"/>
                <w:szCs w:val="22"/>
              </w:rPr>
            </w:pPr>
            <w:r w:rsidRPr="00C344F7">
              <w:rPr>
                <w:rFonts w:cs="Calibri"/>
                <w:sz w:val="22"/>
                <w:szCs w:val="22"/>
              </w:rPr>
              <w:t>50 kg</w:t>
            </w:r>
          </w:p>
        </w:tc>
        <w:tc>
          <w:tcPr>
            <w:tcW w:w="1624" w:type="dxa"/>
            <w:vAlign w:val="center"/>
          </w:tcPr>
          <w:p w:rsidR="00FE3AAC" w:rsidRPr="00C344F7" w:rsidRDefault="00FE3AAC" w:rsidP="007320CA">
            <w:pPr>
              <w:jc w:val="center"/>
              <w:rPr>
                <w:rFonts w:cs="Calibri"/>
                <w:sz w:val="22"/>
                <w:szCs w:val="22"/>
              </w:rPr>
            </w:pPr>
            <w:r w:rsidRPr="00C344F7">
              <w:rPr>
                <w:rFonts w:cs="Calibri"/>
                <w:sz w:val="22"/>
                <w:szCs w:val="22"/>
              </w:rPr>
              <w:t>40 kg</w:t>
            </w:r>
          </w:p>
        </w:tc>
        <w:tc>
          <w:tcPr>
            <w:tcW w:w="1545" w:type="dxa"/>
            <w:vAlign w:val="center"/>
          </w:tcPr>
          <w:p w:rsidR="00FE3AAC" w:rsidRPr="00C344F7" w:rsidRDefault="00FE3AAC" w:rsidP="007320CA">
            <w:pPr>
              <w:jc w:val="center"/>
              <w:rPr>
                <w:rFonts w:cs="Calibri"/>
                <w:sz w:val="22"/>
                <w:szCs w:val="22"/>
              </w:rPr>
            </w:pPr>
            <w:r w:rsidRPr="00C344F7">
              <w:rPr>
                <w:rFonts w:cs="Calibri"/>
                <w:sz w:val="22"/>
                <w:szCs w:val="22"/>
              </w:rPr>
              <w:t>35 kg</w:t>
            </w:r>
          </w:p>
        </w:tc>
        <w:tc>
          <w:tcPr>
            <w:tcW w:w="1333" w:type="dxa"/>
            <w:vAlign w:val="center"/>
          </w:tcPr>
          <w:p w:rsidR="00FE3AAC" w:rsidRPr="00C344F7" w:rsidRDefault="00FE3AAC" w:rsidP="007320CA">
            <w:pPr>
              <w:jc w:val="center"/>
              <w:rPr>
                <w:rFonts w:cs="Calibri"/>
                <w:sz w:val="22"/>
                <w:szCs w:val="22"/>
              </w:rPr>
            </w:pPr>
            <w:r w:rsidRPr="00C344F7">
              <w:rPr>
                <w:rFonts w:cs="Calibri"/>
                <w:sz w:val="22"/>
                <w:szCs w:val="22"/>
              </w:rPr>
              <w:t>30 kg</w:t>
            </w:r>
          </w:p>
        </w:tc>
        <w:tc>
          <w:tcPr>
            <w:tcW w:w="1333" w:type="dxa"/>
            <w:vAlign w:val="center"/>
          </w:tcPr>
          <w:p w:rsidR="00FE3AAC" w:rsidRPr="00C344F7" w:rsidRDefault="00FE3AAC" w:rsidP="007320CA">
            <w:pPr>
              <w:jc w:val="center"/>
              <w:rPr>
                <w:rFonts w:cs="Calibri"/>
                <w:sz w:val="22"/>
                <w:szCs w:val="22"/>
              </w:rPr>
            </w:pPr>
            <w:r w:rsidRPr="00C344F7">
              <w:rPr>
                <w:rFonts w:cs="Calibri"/>
                <w:sz w:val="22"/>
                <w:szCs w:val="22"/>
              </w:rPr>
              <w:t>25 kg</w:t>
            </w:r>
          </w:p>
        </w:tc>
      </w:tr>
    </w:tbl>
    <w:p w:rsidR="00FE3AAC" w:rsidRDefault="00FE3AAC" w:rsidP="00FE3AAC">
      <w:pPr>
        <w:jc w:val="both"/>
        <w:rPr>
          <w:rFonts w:cs="Calibri"/>
        </w:rPr>
      </w:pPr>
    </w:p>
    <w:p w:rsidR="00FE3AAC" w:rsidRDefault="00FE3AAC" w:rsidP="00FE3AAC">
      <w:pPr>
        <w:jc w:val="both"/>
        <w:rPr>
          <w:rFonts w:cs="Calibri"/>
        </w:rPr>
      </w:pPr>
    </w:p>
    <w:p w:rsidR="00FE3AAC" w:rsidRDefault="00FE3AAC" w:rsidP="00FE3AAC">
      <w:pPr>
        <w:jc w:val="both"/>
        <w:rPr>
          <w:rFonts w:cs="Calibri"/>
        </w:rPr>
      </w:pPr>
    </w:p>
    <w:p w:rsidR="00FE3AAC" w:rsidRDefault="00FE3AAC" w:rsidP="00FE3AAC">
      <w:pPr>
        <w:jc w:val="both"/>
        <w:rPr>
          <w:rFonts w:cs="Calibri"/>
        </w:rPr>
      </w:pPr>
    </w:p>
    <w:p w:rsidR="00FE3AAC" w:rsidRDefault="00FE3AAC" w:rsidP="00FE3AAC">
      <w:pPr>
        <w:jc w:val="both"/>
        <w:rPr>
          <w:rFonts w:cs="Arial"/>
          <w:szCs w:val="20"/>
          <w:lang w:eastAsia="en-US"/>
        </w:rPr>
      </w:pPr>
    </w:p>
    <w:p w:rsidR="0047782C" w:rsidRPr="00FE3AAC" w:rsidRDefault="000704A3" w:rsidP="00FE3AAC">
      <w:pPr>
        <w:jc w:val="both"/>
        <w:rPr>
          <w:rFonts w:cs="Arial"/>
          <w:szCs w:val="20"/>
          <w:lang w:eastAsia="en-US"/>
        </w:rPr>
      </w:pPr>
      <w:r w:rsidRPr="00FE3AAC">
        <w:rPr>
          <w:rFonts w:cs="Arial"/>
          <w:szCs w:val="20"/>
          <w:lang w:eastAsia="en-US"/>
        </w:rPr>
        <w:t xml:space="preserve">Pour l’année scolaire 2013-2014, </w:t>
      </w:r>
      <w:r w:rsidR="00221499" w:rsidRPr="00FE3AAC">
        <w:rPr>
          <w:rFonts w:cs="Arial"/>
          <w:szCs w:val="20"/>
          <w:lang w:eastAsia="en-US"/>
        </w:rPr>
        <w:t>714</w:t>
      </w:r>
      <w:r w:rsidR="00626899" w:rsidRPr="00FE3AAC">
        <w:rPr>
          <w:rFonts w:cs="Arial"/>
          <w:szCs w:val="20"/>
          <w:lang w:eastAsia="en-US"/>
        </w:rPr>
        <w:t xml:space="preserve"> jeunes ont fait leur rentrée scolaire </w:t>
      </w:r>
      <w:r w:rsidR="00CB14B6">
        <w:rPr>
          <w:rFonts w:cs="Arial"/>
          <w:szCs w:val="20"/>
          <w:lang w:eastAsia="en-US"/>
        </w:rPr>
        <w:t xml:space="preserve">dans 10 centres de formation. </w:t>
      </w:r>
      <w:r w:rsidR="00626899" w:rsidRPr="00FE3AAC">
        <w:rPr>
          <w:rFonts w:cs="Arial"/>
          <w:szCs w:val="20"/>
          <w:lang w:eastAsia="en-US"/>
        </w:rPr>
        <w:t xml:space="preserve">304 jeunes </w:t>
      </w:r>
      <w:r w:rsidR="00CB14B6">
        <w:rPr>
          <w:rFonts w:cs="Arial"/>
          <w:szCs w:val="20"/>
          <w:lang w:eastAsia="en-US"/>
        </w:rPr>
        <w:t xml:space="preserve">sont en attente de la rentrée scolaire, </w:t>
      </w:r>
      <w:r w:rsidR="00221499" w:rsidRPr="00FE3AAC">
        <w:rPr>
          <w:rFonts w:cs="Arial"/>
          <w:szCs w:val="20"/>
          <w:lang w:eastAsia="en-US"/>
        </w:rPr>
        <w:t>à l’ENAE</w:t>
      </w:r>
      <w:r w:rsidR="00626899" w:rsidRPr="00FE3AAC">
        <w:rPr>
          <w:rFonts w:cs="Arial"/>
          <w:szCs w:val="20"/>
          <w:lang w:eastAsia="en-US"/>
        </w:rPr>
        <w:t xml:space="preserve"> de Macenta</w:t>
      </w:r>
      <w:r w:rsidR="00CB14B6">
        <w:rPr>
          <w:rFonts w:cs="Arial"/>
          <w:szCs w:val="20"/>
          <w:lang w:eastAsia="en-US"/>
        </w:rPr>
        <w:t>,</w:t>
      </w:r>
      <w:r w:rsidR="00CB14B6" w:rsidRPr="00CB14B6">
        <w:rPr>
          <w:rFonts w:cs="Arial"/>
          <w:szCs w:val="20"/>
          <w:lang w:eastAsia="en-US"/>
        </w:rPr>
        <w:t xml:space="preserve"> </w:t>
      </w:r>
      <w:r w:rsidR="00CB14B6" w:rsidRPr="00FE3AAC">
        <w:rPr>
          <w:rFonts w:cs="Arial"/>
          <w:szCs w:val="20"/>
          <w:lang w:eastAsia="en-US"/>
        </w:rPr>
        <w:t>en mars 2014</w:t>
      </w:r>
      <w:r w:rsidR="003B15C1" w:rsidRPr="00FE3AAC">
        <w:rPr>
          <w:rFonts w:cs="Arial"/>
          <w:szCs w:val="20"/>
          <w:lang w:eastAsia="en-US"/>
        </w:rPr>
        <w:t xml:space="preserve">. </w:t>
      </w:r>
      <w:r w:rsidR="00FE3AAC" w:rsidRPr="00FE3AAC">
        <w:rPr>
          <w:rFonts w:cs="Arial"/>
          <w:szCs w:val="20"/>
          <w:lang w:eastAsia="en-US"/>
        </w:rPr>
        <w:t>L</w:t>
      </w:r>
      <w:r w:rsidR="00626899" w:rsidRPr="00FE3AAC">
        <w:rPr>
          <w:rFonts w:cs="Arial"/>
          <w:szCs w:val="20"/>
          <w:lang w:eastAsia="en-US"/>
        </w:rPr>
        <w:t xml:space="preserve">e calendrier scolaire </w:t>
      </w:r>
      <w:r w:rsidR="003B15C1" w:rsidRPr="00FE3AAC">
        <w:rPr>
          <w:rFonts w:cs="Arial"/>
          <w:szCs w:val="20"/>
          <w:lang w:eastAsia="en-US"/>
        </w:rPr>
        <w:t>des écoles d’agriculture, tel que Macenta, a été décalé sur décision gouvernementale afin de faire coïncider les périodes d’apprentissage aux saisons pluvieuses nécessaires aux travaux agricoles.</w:t>
      </w:r>
      <w:r w:rsidR="00626899" w:rsidRPr="00FE3AAC">
        <w:rPr>
          <w:rFonts w:cs="Arial"/>
          <w:szCs w:val="20"/>
          <w:lang w:eastAsia="en-US"/>
        </w:rPr>
        <w:t xml:space="preserve"> </w:t>
      </w:r>
      <w:r w:rsidR="00CB14B6">
        <w:rPr>
          <w:rFonts w:cs="Arial"/>
          <w:szCs w:val="20"/>
          <w:lang w:eastAsia="en-US"/>
        </w:rPr>
        <w:t>Ainsi,</w:t>
      </w:r>
      <w:r w:rsidR="00626899" w:rsidRPr="00FE3AAC">
        <w:rPr>
          <w:rFonts w:cs="Arial"/>
          <w:szCs w:val="20"/>
          <w:lang w:eastAsia="en-US"/>
        </w:rPr>
        <w:t xml:space="preserve"> un total de </w:t>
      </w:r>
      <w:r w:rsidRPr="00FE3AAC">
        <w:rPr>
          <w:rFonts w:cs="Arial"/>
          <w:szCs w:val="20"/>
          <w:lang w:eastAsia="en-US"/>
        </w:rPr>
        <w:t xml:space="preserve">1018 jeunes </w:t>
      </w:r>
      <w:proofErr w:type="gramStart"/>
      <w:r w:rsidRPr="00FE3AAC">
        <w:rPr>
          <w:rFonts w:cs="Arial"/>
          <w:szCs w:val="20"/>
          <w:lang w:eastAsia="en-US"/>
        </w:rPr>
        <w:t>sont</w:t>
      </w:r>
      <w:proofErr w:type="gramEnd"/>
      <w:r w:rsidRPr="00FE3AAC">
        <w:rPr>
          <w:rFonts w:cs="Arial"/>
          <w:szCs w:val="20"/>
          <w:lang w:eastAsia="en-US"/>
        </w:rPr>
        <w:t xml:space="preserve"> </w:t>
      </w:r>
      <w:r w:rsidR="00CB14B6">
        <w:rPr>
          <w:rFonts w:cs="Arial"/>
          <w:szCs w:val="20"/>
          <w:lang w:eastAsia="en-US"/>
        </w:rPr>
        <w:t xml:space="preserve">dans le circuit de </w:t>
      </w:r>
      <w:r w:rsidRPr="00FE3AAC">
        <w:rPr>
          <w:rFonts w:cs="Arial"/>
          <w:szCs w:val="20"/>
          <w:lang w:eastAsia="en-US"/>
        </w:rPr>
        <w:t xml:space="preserve">formation </w:t>
      </w:r>
      <w:r w:rsidR="00CB14B6">
        <w:rPr>
          <w:rFonts w:cs="Arial"/>
          <w:szCs w:val="20"/>
          <w:lang w:eastAsia="en-US"/>
        </w:rPr>
        <w:t>durant l’année académique en cours incluant</w:t>
      </w:r>
      <w:r w:rsidRPr="00FE3AAC">
        <w:rPr>
          <w:rFonts w:cs="Arial"/>
          <w:szCs w:val="20"/>
          <w:lang w:eastAsia="en-US"/>
        </w:rPr>
        <w:t xml:space="preserve"> 204 redoublants (</w:t>
      </w:r>
      <w:r w:rsidR="00626899" w:rsidRPr="00FE3AAC">
        <w:rPr>
          <w:rFonts w:cs="Arial"/>
          <w:szCs w:val="20"/>
          <w:lang w:eastAsia="en-US"/>
        </w:rPr>
        <w:t>11%) et</w:t>
      </w:r>
      <w:r w:rsidRPr="00FE3AAC">
        <w:rPr>
          <w:rFonts w:cs="Arial"/>
          <w:szCs w:val="20"/>
          <w:lang w:eastAsia="en-US"/>
        </w:rPr>
        <w:t xml:space="preserve"> 814 jeunes en 3ème</w:t>
      </w:r>
      <w:r w:rsidR="00FE3AAC">
        <w:rPr>
          <w:rFonts w:cs="Arial"/>
          <w:szCs w:val="20"/>
          <w:lang w:eastAsia="en-US"/>
        </w:rPr>
        <w:t xml:space="preserve"> année de formation.</w:t>
      </w:r>
      <w:r w:rsidR="007A42EB">
        <w:rPr>
          <w:rFonts w:cs="Arial"/>
          <w:szCs w:val="20"/>
          <w:lang w:eastAsia="en-US"/>
        </w:rPr>
        <w:t xml:space="preserve"> Durant cette période, comme les années précédentes, les frais scolaires des 714 jeunes ont été payés directement aux centres et </w:t>
      </w:r>
      <w:r w:rsidR="0047782C" w:rsidRPr="00FE3AAC">
        <w:rPr>
          <w:rFonts w:cs="Arial"/>
          <w:szCs w:val="20"/>
          <w:lang w:eastAsia="en-US"/>
        </w:rPr>
        <w:t>714</w:t>
      </w:r>
      <w:r w:rsidRPr="00FE3AAC">
        <w:rPr>
          <w:rFonts w:cs="Arial"/>
          <w:szCs w:val="20"/>
          <w:lang w:eastAsia="en-US"/>
        </w:rPr>
        <w:t xml:space="preserve"> kits scolaires </w:t>
      </w:r>
      <w:r w:rsidR="007A42EB">
        <w:rPr>
          <w:rFonts w:cs="Arial"/>
          <w:szCs w:val="20"/>
          <w:lang w:eastAsia="en-US"/>
        </w:rPr>
        <w:t xml:space="preserve">leur </w:t>
      </w:r>
      <w:r w:rsidRPr="00FE3AAC">
        <w:rPr>
          <w:rFonts w:cs="Arial"/>
          <w:szCs w:val="20"/>
          <w:lang w:eastAsia="en-US"/>
        </w:rPr>
        <w:t xml:space="preserve">ont été fournis. </w:t>
      </w:r>
      <w:r w:rsidR="0047782C" w:rsidRPr="00FE3AAC">
        <w:rPr>
          <w:rFonts w:cs="Arial"/>
          <w:szCs w:val="20"/>
          <w:lang w:eastAsia="en-US"/>
        </w:rPr>
        <w:t xml:space="preserve">Chaque kit comprenait 5 cahiers de 200 pages, 5 cahiers de 100 pages, 2 crayons, une boite de mathématique. </w:t>
      </w:r>
      <w:r w:rsidR="007A42EB">
        <w:rPr>
          <w:rFonts w:cs="Arial"/>
          <w:szCs w:val="20"/>
          <w:lang w:eastAsia="en-US"/>
        </w:rPr>
        <w:t>Il est prévu en outre que l</w:t>
      </w:r>
      <w:r w:rsidR="0047782C" w:rsidRPr="00FE3AAC">
        <w:rPr>
          <w:rFonts w:cs="Arial"/>
          <w:szCs w:val="20"/>
          <w:lang w:eastAsia="en-US"/>
        </w:rPr>
        <w:t xml:space="preserve">es </w:t>
      </w:r>
      <w:r w:rsidR="007A42EB">
        <w:rPr>
          <w:rFonts w:cs="Arial"/>
          <w:szCs w:val="20"/>
          <w:lang w:eastAsia="en-US"/>
        </w:rPr>
        <w:t xml:space="preserve">304 jeunes de </w:t>
      </w:r>
      <w:r w:rsidR="0047782C" w:rsidRPr="00FE3AAC">
        <w:rPr>
          <w:rFonts w:cs="Arial"/>
          <w:szCs w:val="20"/>
          <w:lang w:eastAsia="en-US"/>
        </w:rPr>
        <w:t>l’ENAE de Macenta</w:t>
      </w:r>
      <w:r w:rsidR="007A42EB">
        <w:rPr>
          <w:rFonts w:cs="Arial"/>
          <w:szCs w:val="20"/>
          <w:lang w:eastAsia="en-US"/>
        </w:rPr>
        <w:t xml:space="preserve"> reçoivent leurs kits au démarrage de l’année scolaire.</w:t>
      </w:r>
    </w:p>
    <w:p w:rsidR="0047782C" w:rsidRPr="00FE3AAC" w:rsidRDefault="0047782C" w:rsidP="0047782C">
      <w:pPr>
        <w:jc w:val="both"/>
        <w:rPr>
          <w:rFonts w:cs="Arial"/>
          <w:szCs w:val="20"/>
          <w:lang w:eastAsia="en-US"/>
        </w:rPr>
      </w:pPr>
    </w:p>
    <w:p w:rsidR="0047782C" w:rsidRDefault="003253D2" w:rsidP="0047782C">
      <w:pPr>
        <w:jc w:val="both"/>
        <w:rPr>
          <w:rFonts w:cs="Arial"/>
          <w:szCs w:val="20"/>
          <w:lang w:eastAsia="en-US"/>
        </w:rPr>
      </w:pPr>
      <w:r>
        <w:rPr>
          <w:rFonts w:cs="Arial"/>
          <w:szCs w:val="20"/>
          <w:lang w:eastAsia="en-US"/>
        </w:rPr>
        <w:t xml:space="preserve">De plus, </w:t>
      </w:r>
      <w:r w:rsidR="0047782C" w:rsidRPr="00FE3AAC">
        <w:rPr>
          <w:rFonts w:cs="Arial"/>
          <w:szCs w:val="20"/>
          <w:lang w:eastAsia="en-US"/>
        </w:rPr>
        <w:t xml:space="preserve">un appui en matière </w:t>
      </w:r>
      <w:r w:rsidR="00BC0E55" w:rsidRPr="00FE3AAC">
        <w:rPr>
          <w:rFonts w:cs="Arial"/>
          <w:szCs w:val="20"/>
          <w:lang w:eastAsia="en-US"/>
        </w:rPr>
        <w:t xml:space="preserve">d’œuvre a été </w:t>
      </w:r>
      <w:r>
        <w:rPr>
          <w:rFonts w:cs="Arial"/>
          <w:szCs w:val="20"/>
          <w:lang w:eastAsia="en-US"/>
        </w:rPr>
        <w:t>fourni à 9 centres de formation et est en cours de préparation pour l’Ecole de Santé et l’ENAE de Macenta</w:t>
      </w:r>
      <w:r w:rsidR="00BC0E55" w:rsidRPr="00FE3AAC">
        <w:rPr>
          <w:rFonts w:cs="Arial"/>
          <w:szCs w:val="20"/>
          <w:lang w:eastAsia="en-US"/>
        </w:rPr>
        <w:t>. P</w:t>
      </w:r>
      <w:r w:rsidR="0047782C" w:rsidRPr="00FE3AAC">
        <w:rPr>
          <w:rFonts w:cs="Arial"/>
          <w:szCs w:val="20"/>
          <w:lang w:eastAsia="en-US"/>
        </w:rPr>
        <w:t>our offrir cet appui</w:t>
      </w:r>
      <w:r>
        <w:rPr>
          <w:rFonts w:cs="Arial"/>
          <w:szCs w:val="20"/>
          <w:lang w:eastAsia="en-US"/>
        </w:rPr>
        <w:t>,</w:t>
      </w:r>
      <w:r w:rsidR="0047782C" w:rsidRPr="00FE3AAC">
        <w:rPr>
          <w:rFonts w:cs="Arial"/>
          <w:szCs w:val="20"/>
          <w:lang w:eastAsia="en-US"/>
        </w:rPr>
        <w:t xml:space="preserve"> un travail d’expression globale des besoins par centre et par filière a été fait.</w:t>
      </w:r>
      <w:r>
        <w:rPr>
          <w:rFonts w:cs="Arial"/>
          <w:szCs w:val="20"/>
          <w:lang w:eastAsia="en-US"/>
        </w:rPr>
        <w:t xml:space="preserve"> </w:t>
      </w:r>
      <w:r w:rsidR="0016493F" w:rsidRPr="00FE3AAC">
        <w:rPr>
          <w:rFonts w:cs="Arial"/>
          <w:szCs w:val="20"/>
          <w:lang w:eastAsia="en-US"/>
        </w:rPr>
        <w:t>Les besoins e</w:t>
      </w:r>
      <w:r w:rsidR="0016493F">
        <w:rPr>
          <w:rFonts w:cs="Arial"/>
          <w:szCs w:val="20"/>
          <w:lang w:eastAsia="en-US"/>
        </w:rPr>
        <w:t xml:space="preserve">n matière d’œuvre </w:t>
      </w:r>
      <w:r w:rsidR="0016493F" w:rsidRPr="00FE3AAC">
        <w:rPr>
          <w:rFonts w:cs="Arial"/>
          <w:szCs w:val="20"/>
          <w:lang w:eastAsia="en-US"/>
        </w:rPr>
        <w:t xml:space="preserve">des onze centres </w:t>
      </w:r>
      <w:r w:rsidR="0016493F">
        <w:rPr>
          <w:rFonts w:cs="Arial"/>
          <w:szCs w:val="20"/>
          <w:lang w:eastAsia="en-US"/>
        </w:rPr>
        <w:t xml:space="preserve">y inclus Macenta </w:t>
      </w:r>
      <w:r w:rsidR="0016493F" w:rsidRPr="00FE3AAC">
        <w:rPr>
          <w:rFonts w:cs="Arial"/>
          <w:szCs w:val="20"/>
          <w:lang w:eastAsia="en-US"/>
        </w:rPr>
        <w:t xml:space="preserve">ont </w:t>
      </w:r>
      <w:r w:rsidR="0016493F">
        <w:rPr>
          <w:rFonts w:cs="Arial"/>
          <w:szCs w:val="20"/>
          <w:lang w:eastAsia="en-US"/>
        </w:rPr>
        <w:t>pu ainsi être</w:t>
      </w:r>
      <w:r w:rsidR="0016493F" w:rsidRPr="00FE3AAC">
        <w:rPr>
          <w:rFonts w:cs="Arial"/>
          <w:szCs w:val="20"/>
          <w:lang w:eastAsia="en-US"/>
        </w:rPr>
        <w:t xml:space="preserve"> évalués, analysés et </w:t>
      </w:r>
      <w:r w:rsidR="0016493F">
        <w:rPr>
          <w:rFonts w:cs="Arial"/>
          <w:szCs w:val="20"/>
          <w:lang w:eastAsia="en-US"/>
        </w:rPr>
        <w:t xml:space="preserve">les listes correspondantes </w:t>
      </w:r>
      <w:r w:rsidR="0016493F" w:rsidRPr="00FE3AAC">
        <w:rPr>
          <w:rFonts w:cs="Arial"/>
          <w:szCs w:val="20"/>
          <w:lang w:eastAsia="en-US"/>
        </w:rPr>
        <w:t>rendu</w:t>
      </w:r>
      <w:r w:rsidR="0016493F">
        <w:rPr>
          <w:rFonts w:cs="Arial"/>
          <w:szCs w:val="20"/>
          <w:lang w:eastAsia="en-US"/>
        </w:rPr>
        <w:t>e</w:t>
      </w:r>
      <w:r w:rsidR="0016493F" w:rsidRPr="00FE3AAC">
        <w:rPr>
          <w:rFonts w:cs="Arial"/>
          <w:szCs w:val="20"/>
          <w:lang w:eastAsia="en-US"/>
        </w:rPr>
        <w:t xml:space="preserve">s disponibles. </w:t>
      </w:r>
      <w:r>
        <w:rPr>
          <w:rFonts w:cs="Arial"/>
          <w:szCs w:val="20"/>
          <w:lang w:eastAsia="en-US"/>
        </w:rPr>
        <w:t>Sur la base de ce travail une révision</w:t>
      </w:r>
      <w:r w:rsidR="0047782C" w:rsidRPr="00FE3AAC">
        <w:rPr>
          <w:rFonts w:cs="Arial"/>
          <w:szCs w:val="20"/>
          <w:lang w:eastAsia="en-US"/>
        </w:rPr>
        <w:t xml:space="preserve"> des besoins a été faite </w:t>
      </w:r>
      <w:r>
        <w:rPr>
          <w:rFonts w:cs="Arial"/>
          <w:szCs w:val="20"/>
          <w:lang w:eastAsia="en-US"/>
        </w:rPr>
        <w:t>selon leur</w:t>
      </w:r>
      <w:r w:rsidR="0047782C" w:rsidRPr="00FE3AAC">
        <w:rPr>
          <w:rFonts w:cs="Arial"/>
          <w:szCs w:val="20"/>
          <w:lang w:eastAsia="en-US"/>
        </w:rPr>
        <w:t xml:space="preserve"> pertinence du besoin et </w:t>
      </w:r>
      <w:r>
        <w:rPr>
          <w:rFonts w:cs="Arial"/>
          <w:szCs w:val="20"/>
          <w:lang w:eastAsia="en-US"/>
        </w:rPr>
        <w:t>les</w:t>
      </w:r>
      <w:r w:rsidR="0047782C" w:rsidRPr="00FE3AAC">
        <w:rPr>
          <w:rFonts w:cs="Arial"/>
          <w:szCs w:val="20"/>
          <w:lang w:eastAsia="en-US"/>
        </w:rPr>
        <w:t xml:space="preserve"> disponibilités budgétaires de la période. Ce travail a été facilité par l’équipe du ME</w:t>
      </w:r>
      <w:r w:rsidR="00920E4B" w:rsidRPr="00FE3AAC">
        <w:rPr>
          <w:rFonts w:cs="Arial"/>
          <w:szCs w:val="20"/>
          <w:lang w:eastAsia="en-US"/>
        </w:rPr>
        <w:t>E</w:t>
      </w:r>
      <w:r w:rsidR="0047782C" w:rsidRPr="00FE3AAC">
        <w:rPr>
          <w:rFonts w:cs="Arial"/>
          <w:szCs w:val="20"/>
          <w:lang w:eastAsia="en-US"/>
        </w:rPr>
        <w:t>TFP et celle de la Jeunesse et Emploi jeunes et les Directions des centres de formation.</w:t>
      </w:r>
      <w:r w:rsidR="001A7C6E" w:rsidRPr="00FE3AAC">
        <w:rPr>
          <w:rFonts w:cs="Arial"/>
          <w:szCs w:val="20"/>
          <w:lang w:eastAsia="en-US"/>
        </w:rPr>
        <w:t xml:space="preserve"> </w:t>
      </w:r>
    </w:p>
    <w:p w:rsidR="0016493F" w:rsidRDefault="0016493F" w:rsidP="0047782C">
      <w:pPr>
        <w:jc w:val="both"/>
        <w:rPr>
          <w:rFonts w:cs="Arial"/>
          <w:szCs w:val="20"/>
          <w:lang w:eastAsia="en-US"/>
        </w:rPr>
      </w:pPr>
    </w:p>
    <w:p w:rsidR="009D2D31" w:rsidRDefault="00B3500B" w:rsidP="0047782C">
      <w:pPr>
        <w:jc w:val="both"/>
        <w:rPr>
          <w:snapToGrid w:val="0"/>
          <w:sz w:val="22"/>
          <w:szCs w:val="22"/>
          <w:lang w:eastAsia="en-US"/>
        </w:rPr>
      </w:pPr>
      <w:r>
        <w:rPr>
          <w:noProof/>
          <w:sz w:val="22"/>
          <w:szCs w:val="22"/>
          <w:lang w:val="en-US" w:eastAsia="en-US"/>
        </w:rPr>
        <w:lastRenderedPageBreak/>
        <w:drawing>
          <wp:anchor distT="0" distB="0" distL="114300" distR="114300" simplePos="0" relativeHeight="251661824" behindDoc="1" locked="0" layoutInCell="1" allowOverlap="1" wp14:anchorId="3B079E4A" wp14:editId="2E505DFE">
            <wp:simplePos x="0" y="0"/>
            <wp:positionH relativeFrom="column">
              <wp:posOffset>2540</wp:posOffset>
            </wp:positionH>
            <wp:positionV relativeFrom="paragraph">
              <wp:posOffset>163830</wp:posOffset>
            </wp:positionV>
            <wp:extent cx="2971800" cy="1973580"/>
            <wp:effectExtent l="0" t="0" r="0" b="7620"/>
            <wp:wrapThrough wrapText="bothSides">
              <wp:wrapPolygon edited="0">
                <wp:start x="0" y="0"/>
                <wp:lineTo x="0" y="21475"/>
                <wp:lineTo x="21462" y="21475"/>
                <wp:lineTo x="21462" y="0"/>
                <wp:lineTo x="0" y="0"/>
              </wp:wrapPolygon>
            </wp:wrapThrough>
            <wp:docPr id="8" name="Picture 8" descr="C:\Users\jdubois\Desktop\Unicef\PBF ex Kaléah\photos\kankan 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ubois\Desktop\Unicef\PBF ex Kaléah\photos\kankan 00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1800" cy="1973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500B" w:rsidRDefault="00B3500B" w:rsidP="0047782C">
      <w:pPr>
        <w:jc w:val="both"/>
        <w:rPr>
          <w:snapToGrid w:val="0"/>
          <w:sz w:val="22"/>
          <w:szCs w:val="22"/>
          <w:lang w:eastAsia="en-US"/>
        </w:rPr>
      </w:pPr>
      <w:r>
        <w:rPr>
          <w:noProof/>
          <w:sz w:val="22"/>
          <w:szCs w:val="22"/>
          <w:lang w:val="en-US" w:eastAsia="en-US"/>
        </w:rPr>
        <w:drawing>
          <wp:anchor distT="0" distB="0" distL="114300" distR="114300" simplePos="0" relativeHeight="251660800" behindDoc="1" locked="0" layoutInCell="1" allowOverlap="1" wp14:anchorId="5C329C55" wp14:editId="1CA45886">
            <wp:simplePos x="0" y="0"/>
            <wp:positionH relativeFrom="column">
              <wp:posOffset>600075</wp:posOffset>
            </wp:positionH>
            <wp:positionV relativeFrom="paragraph">
              <wp:posOffset>3175</wp:posOffset>
            </wp:positionV>
            <wp:extent cx="2922905" cy="1941195"/>
            <wp:effectExtent l="0" t="0" r="0" b="1905"/>
            <wp:wrapThrough wrapText="bothSides">
              <wp:wrapPolygon edited="0">
                <wp:start x="0" y="0"/>
                <wp:lineTo x="0" y="21409"/>
                <wp:lineTo x="21398" y="21409"/>
                <wp:lineTo x="21398" y="0"/>
                <wp:lineTo x="0" y="0"/>
              </wp:wrapPolygon>
            </wp:wrapThrough>
            <wp:docPr id="10" name="Picture 10" descr="C:\Users\jdubois\Desktop\Unicef\PBF ex Kaléah\photos\kankan 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dubois\Desktop\Unicef\PBF ex Kaléah\photos\kankan 02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2905" cy="1941195"/>
                    </a:xfrm>
                    <a:prstGeom prst="rect">
                      <a:avLst/>
                    </a:prstGeom>
                    <a:noFill/>
                    <a:ln>
                      <a:noFill/>
                    </a:ln>
                  </pic:spPr>
                </pic:pic>
              </a:graphicData>
            </a:graphic>
            <wp14:sizeRelH relativeFrom="page">
              <wp14:pctWidth>0</wp14:pctWidth>
            </wp14:sizeRelH>
            <wp14:sizeRelV relativeFrom="page">
              <wp14:pctHeight>0</wp14:pctHeight>
            </wp14:sizeRelV>
          </wp:anchor>
        </w:drawing>
      </w:r>
      <w:r>
        <w:rPr>
          <w:snapToGrid w:val="0"/>
          <w:sz w:val="22"/>
          <w:szCs w:val="22"/>
          <w:lang w:eastAsia="en-US"/>
        </w:rPr>
        <w:t xml:space="preserve">    </w:t>
      </w:r>
    </w:p>
    <w:p w:rsidR="00FE3AAC" w:rsidRDefault="00FE3AAC" w:rsidP="0047782C">
      <w:pPr>
        <w:jc w:val="both"/>
        <w:rPr>
          <w:snapToGrid w:val="0"/>
          <w:sz w:val="22"/>
          <w:szCs w:val="22"/>
          <w:lang w:eastAsia="en-US"/>
        </w:rPr>
      </w:pPr>
    </w:p>
    <w:p w:rsidR="00FE3AAC" w:rsidRDefault="00FE3AAC" w:rsidP="0047782C">
      <w:pPr>
        <w:jc w:val="both"/>
        <w:rPr>
          <w:snapToGrid w:val="0"/>
          <w:sz w:val="22"/>
          <w:szCs w:val="22"/>
          <w:lang w:eastAsia="en-US"/>
        </w:rPr>
      </w:pPr>
    </w:p>
    <w:p w:rsidR="00FE3AAC" w:rsidRDefault="00FE3AAC" w:rsidP="0047782C">
      <w:pPr>
        <w:jc w:val="both"/>
        <w:rPr>
          <w:snapToGrid w:val="0"/>
          <w:sz w:val="22"/>
          <w:szCs w:val="22"/>
          <w:lang w:eastAsia="en-US"/>
        </w:rPr>
      </w:pPr>
    </w:p>
    <w:p w:rsidR="00FE3AAC" w:rsidRDefault="00FE3AAC" w:rsidP="0047782C">
      <w:pPr>
        <w:jc w:val="both"/>
        <w:rPr>
          <w:snapToGrid w:val="0"/>
          <w:sz w:val="22"/>
          <w:szCs w:val="22"/>
          <w:lang w:eastAsia="en-US"/>
        </w:rPr>
      </w:pPr>
    </w:p>
    <w:p w:rsidR="00FE3AAC" w:rsidRDefault="00FE3AAC" w:rsidP="0047782C">
      <w:pPr>
        <w:jc w:val="both"/>
        <w:rPr>
          <w:snapToGrid w:val="0"/>
          <w:sz w:val="22"/>
          <w:szCs w:val="22"/>
          <w:lang w:eastAsia="en-US"/>
        </w:rPr>
      </w:pPr>
    </w:p>
    <w:p w:rsidR="00FE3AAC" w:rsidRDefault="00FE3AAC" w:rsidP="0047782C">
      <w:pPr>
        <w:jc w:val="both"/>
        <w:rPr>
          <w:snapToGrid w:val="0"/>
          <w:sz w:val="22"/>
          <w:szCs w:val="22"/>
          <w:lang w:eastAsia="en-US"/>
        </w:rPr>
      </w:pPr>
    </w:p>
    <w:p w:rsidR="00FE3AAC" w:rsidRDefault="00FE3AAC" w:rsidP="0047782C">
      <w:pPr>
        <w:jc w:val="both"/>
        <w:rPr>
          <w:snapToGrid w:val="0"/>
          <w:sz w:val="22"/>
          <w:szCs w:val="22"/>
          <w:lang w:eastAsia="en-US"/>
        </w:rPr>
      </w:pPr>
    </w:p>
    <w:p w:rsidR="00FE3AAC" w:rsidRDefault="00FE3AAC" w:rsidP="0047782C">
      <w:pPr>
        <w:jc w:val="both"/>
        <w:rPr>
          <w:snapToGrid w:val="0"/>
          <w:sz w:val="22"/>
          <w:szCs w:val="22"/>
          <w:lang w:eastAsia="en-US"/>
        </w:rPr>
      </w:pPr>
    </w:p>
    <w:p w:rsidR="00FE3AAC" w:rsidRDefault="00FE3AAC" w:rsidP="0047782C">
      <w:pPr>
        <w:jc w:val="both"/>
        <w:rPr>
          <w:snapToGrid w:val="0"/>
          <w:sz w:val="22"/>
          <w:szCs w:val="22"/>
          <w:lang w:eastAsia="en-US"/>
        </w:rPr>
      </w:pPr>
    </w:p>
    <w:p w:rsidR="00FE3AAC" w:rsidRDefault="00FE3AAC" w:rsidP="0047782C">
      <w:pPr>
        <w:jc w:val="both"/>
        <w:rPr>
          <w:snapToGrid w:val="0"/>
          <w:sz w:val="22"/>
          <w:szCs w:val="22"/>
          <w:lang w:eastAsia="en-US"/>
        </w:rPr>
      </w:pPr>
      <w:r>
        <w:rPr>
          <w:noProof/>
          <w:lang w:val="en-US" w:eastAsia="en-US"/>
        </w:rPr>
        <mc:AlternateContent>
          <mc:Choice Requires="wps">
            <w:drawing>
              <wp:anchor distT="0" distB="0" distL="114300" distR="114300" simplePos="0" relativeHeight="251675136" behindDoc="0" locked="0" layoutInCell="1" allowOverlap="1" wp14:anchorId="73B22ABD" wp14:editId="151E9C95">
                <wp:simplePos x="0" y="0"/>
                <wp:positionH relativeFrom="column">
                  <wp:posOffset>-2971800</wp:posOffset>
                </wp:positionH>
                <wp:positionV relativeFrom="paragraph">
                  <wp:posOffset>623570</wp:posOffset>
                </wp:positionV>
                <wp:extent cx="6591300" cy="635"/>
                <wp:effectExtent l="0" t="0" r="0" b="8255"/>
                <wp:wrapThrough wrapText="bothSides">
                  <wp:wrapPolygon edited="0">
                    <wp:start x="0" y="0"/>
                    <wp:lineTo x="0" y="20698"/>
                    <wp:lineTo x="21538" y="20698"/>
                    <wp:lineTo x="21538" y="0"/>
                    <wp:lineTo x="0" y="0"/>
                  </wp:wrapPolygon>
                </wp:wrapThrough>
                <wp:docPr id="11" name="Text Box 11"/>
                <wp:cNvGraphicFramePr/>
                <a:graphic xmlns:a="http://schemas.openxmlformats.org/drawingml/2006/main">
                  <a:graphicData uri="http://schemas.microsoft.com/office/word/2010/wordprocessingShape">
                    <wps:wsp>
                      <wps:cNvSpPr txBox="1"/>
                      <wps:spPr>
                        <a:xfrm>
                          <a:off x="0" y="0"/>
                          <a:ext cx="6591300" cy="635"/>
                        </a:xfrm>
                        <a:prstGeom prst="rect">
                          <a:avLst/>
                        </a:prstGeom>
                        <a:solidFill>
                          <a:prstClr val="white"/>
                        </a:solidFill>
                        <a:ln>
                          <a:noFill/>
                        </a:ln>
                        <a:effectLst/>
                      </wps:spPr>
                      <wps:txbx>
                        <w:txbxContent>
                          <w:p w:rsidR="007320CA" w:rsidRPr="00997F50" w:rsidRDefault="007320CA" w:rsidP="00FE3AAC">
                            <w:pPr>
                              <w:pStyle w:val="Caption"/>
                              <w:jc w:val="center"/>
                              <w:rPr>
                                <w:noProof/>
                              </w:rPr>
                            </w:pPr>
                            <w:r>
                              <w:t xml:space="preserve">Equipement et matières d’œuvre fournies  par le projet au CFP de Kankan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5="http://schemas.microsoft.com/office/word/2012/wordml">
            <w:pict>
              <v:shapetype w14:anchorId="73B22ABD" id="_x0000_t202" coordsize="21600,21600" o:spt="202" path="m,l,21600r21600,l21600,xe">
                <v:stroke joinstyle="miter"/>
                <v:path gradientshapeok="t" o:connecttype="rect"/>
              </v:shapetype>
              <v:shape id="Text Box 11" o:spid="_x0000_s1026" type="#_x0000_t202" style="position:absolute;left:0;text-align:left;margin-left:-234pt;margin-top:49.1pt;width:519pt;height:.05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" stroked="f">
                <v:textbox style="mso-fit-shape-to-text:t" inset="0,0,0,0">
                  <w:txbxContent>
                    <w:p w:rsidR="007320CA" w:rsidRPr="00997F50" w:rsidRDefault="007320CA" w:rsidP="00FE3AAC">
                      <w:pPr>
                        <w:pStyle w:val="Caption"/>
                        <w:jc w:val="center"/>
                        <w:rPr>
                          <w:noProof/>
                        </w:rPr>
                      </w:pPr>
                      <w:r>
                        <w:t xml:space="preserve">Equipement et matières d’œuvre fournies  par le projet au CFP de Kankan </w:t>
                      </w:r>
                    </w:p>
                  </w:txbxContent>
                </v:textbox>
                <w10:wrap type="through"/>
              </v:shape>
            </w:pict>
          </mc:Fallback>
        </mc:AlternateContent>
      </w:r>
    </w:p>
    <w:p w:rsidR="00FE3AAC" w:rsidRDefault="00FE3AAC" w:rsidP="0047782C">
      <w:pPr>
        <w:jc w:val="both"/>
        <w:rPr>
          <w:snapToGrid w:val="0"/>
          <w:sz w:val="22"/>
          <w:szCs w:val="22"/>
          <w:lang w:eastAsia="en-US"/>
        </w:rPr>
      </w:pPr>
    </w:p>
    <w:p w:rsidR="00FE3AAC" w:rsidRDefault="00FE3AAC" w:rsidP="0047782C">
      <w:pPr>
        <w:jc w:val="both"/>
        <w:rPr>
          <w:snapToGrid w:val="0"/>
          <w:sz w:val="22"/>
          <w:szCs w:val="22"/>
          <w:lang w:eastAsia="en-US"/>
        </w:rPr>
      </w:pPr>
    </w:p>
    <w:p w:rsidR="00C344F7" w:rsidRDefault="00C344F7" w:rsidP="009D2D31">
      <w:pPr>
        <w:jc w:val="both"/>
        <w:rPr>
          <w:rFonts w:cs="Calibri"/>
        </w:rPr>
      </w:pPr>
    </w:p>
    <w:p w:rsidR="009D2D31" w:rsidRDefault="0016493F" w:rsidP="009D2D31">
      <w:pPr>
        <w:jc w:val="both"/>
        <w:rPr>
          <w:rFonts w:cs="Calibri"/>
        </w:rPr>
      </w:pPr>
      <w:r>
        <w:rPr>
          <w:rFonts w:cs="Calibri"/>
        </w:rPr>
        <w:t>En ce qui a trait à l’assistance pour la prise en charge des besoins de base des jeunes</w:t>
      </w:r>
      <w:r w:rsidR="000D2CC5">
        <w:rPr>
          <w:rFonts w:cs="Calibri"/>
        </w:rPr>
        <w:t>, p</w:t>
      </w:r>
      <w:r w:rsidR="000D2CC5" w:rsidRPr="000D2CC5">
        <w:rPr>
          <w:rFonts w:cs="Calibri"/>
        </w:rPr>
        <w:t xml:space="preserve">our </w:t>
      </w:r>
      <w:r>
        <w:rPr>
          <w:rFonts w:cs="Calibri"/>
        </w:rPr>
        <w:t>l’année académique 2013-2014, en remplacement de l’aide alimentaire, chaque jeune bénéficie d’une prime mensuelle de 70,000 GNF, sous forme de cash transfert</w:t>
      </w:r>
      <w:r w:rsidR="000D2CC5" w:rsidRPr="000D2CC5">
        <w:rPr>
          <w:rFonts w:cs="Calibri"/>
        </w:rPr>
        <w:t xml:space="preserve">. Cet appui </w:t>
      </w:r>
      <w:r>
        <w:rPr>
          <w:rFonts w:cs="Calibri"/>
        </w:rPr>
        <w:t xml:space="preserve">est conditionné par la </w:t>
      </w:r>
      <w:r w:rsidR="000D2CC5" w:rsidRPr="000D2CC5">
        <w:rPr>
          <w:rFonts w:cs="Calibri"/>
        </w:rPr>
        <w:t xml:space="preserve">bonne fréquentation </w:t>
      </w:r>
      <w:r>
        <w:rPr>
          <w:rFonts w:cs="Calibri"/>
        </w:rPr>
        <w:t xml:space="preserve">des jeunes </w:t>
      </w:r>
      <w:r w:rsidR="000D2CC5" w:rsidRPr="000D2CC5">
        <w:rPr>
          <w:rFonts w:cs="Calibri"/>
        </w:rPr>
        <w:t xml:space="preserve">aux cours et aux </w:t>
      </w:r>
      <w:r>
        <w:rPr>
          <w:rFonts w:cs="Calibri"/>
        </w:rPr>
        <w:t>travaux</w:t>
      </w:r>
      <w:r w:rsidR="000D2CC5" w:rsidRPr="000D2CC5">
        <w:rPr>
          <w:rFonts w:cs="Calibri"/>
        </w:rPr>
        <w:t xml:space="preserve"> pratique</w:t>
      </w:r>
      <w:r>
        <w:rPr>
          <w:rFonts w:cs="Calibri"/>
        </w:rPr>
        <w:t>s</w:t>
      </w:r>
      <w:r w:rsidR="000D2CC5" w:rsidRPr="000D2CC5">
        <w:rPr>
          <w:rFonts w:cs="Calibri"/>
        </w:rPr>
        <w:t>. Cet appui continuera jusqu’à la fin de la période des cours</w:t>
      </w:r>
      <w:r w:rsidR="0007284C">
        <w:rPr>
          <w:rFonts w:cs="Calibri"/>
        </w:rPr>
        <w:t xml:space="preserve"> et sera étendu aux </w:t>
      </w:r>
      <w:r>
        <w:rPr>
          <w:rFonts w:cs="Calibri"/>
        </w:rPr>
        <w:t xml:space="preserve">304 élèves de l’ENAE de Macenta, </w:t>
      </w:r>
      <w:r w:rsidR="0007284C">
        <w:rPr>
          <w:rFonts w:cs="Calibri"/>
        </w:rPr>
        <w:t>en mars 2014</w:t>
      </w:r>
      <w:r w:rsidR="000D2CC5" w:rsidRPr="000D2CC5">
        <w:rPr>
          <w:rFonts w:cs="Calibri"/>
        </w:rPr>
        <w:t>.</w:t>
      </w:r>
    </w:p>
    <w:p w:rsidR="000A53DE" w:rsidRDefault="000A53DE" w:rsidP="009D2D31">
      <w:pPr>
        <w:jc w:val="both"/>
        <w:rPr>
          <w:rFonts w:cs="Calibri"/>
        </w:rPr>
      </w:pPr>
    </w:p>
    <w:p w:rsidR="000A53DE" w:rsidRDefault="000A53DE" w:rsidP="000A53DE">
      <w:pPr>
        <w:jc w:val="both"/>
        <w:rPr>
          <w:rFonts w:cs="Calibri"/>
        </w:rPr>
      </w:pPr>
      <w:r>
        <w:rPr>
          <w:rFonts w:cs="Calibri"/>
        </w:rPr>
        <w:t xml:space="preserve">En termes de soutien individuel, tous les jeunes avaient été accompagnés et </w:t>
      </w:r>
      <w:r w:rsidR="002C2869">
        <w:rPr>
          <w:rFonts w:cs="Calibri"/>
        </w:rPr>
        <w:t xml:space="preserve">340 visites </w:t>
      </w:r>
      <w:r>
        <w:rPr>
          <w:rFonts w:cs="Calibri"/>
        </w:rPr>
        <w:t xml:space="preserve">à domicile </w:t>
      </w:r>
      <w:r w:rsidR="002C2869">
        <w:rPr>
          <w:rFonts w:cs="Calibri"/>
        </w:rPr>
        <w:t xml:space="preserve">ont été </w:t>
      </w:r>
      <w:r>
        <w:rPr>
          <w:rFonts w:cs="Calibri"/>
        </w:rPr>
        <w:t>effectué</w:t>
      </w:r>
      <w:r w:rsidR="004A0C1E">
        <w:rPr>
          <w:rFonts w:cs="Calibri"/>
        </w:rPr>
        <w:t>e</w:t>
      </w:r>
      <w:r>
        <w:rPr>
          <w:rFonts w:cs="Calibri"/>
        </w:rPr>
        <w:t>s par les travailleurs sociaux</w:t>
      </w:r>
      <w:r w:rsidR="002C2869">
        <w:rPr>
          <w:rFonts w:cs="Calibri"/>
        </w:rPr>
        <w:t xml:space="preserve"> pour ceux qui étaient le plus en besoin. </w:t>
      </w:r>
      <w:r>
        <w:rPr>
          <w:rFonts w:cs="Calibri"/>
        </w:rPr>
        <w:t xml:space="preserve">12 rencontres / discussion de groupes </w:t>
      </w:r>
      <w:r w:rsidR="002C2869">
        <w:rPr>
          <w:rFonts w:cs="Calibri"/>
        </w:rPr>
        <w:t xml:space="preserve">ont aussi </w:t>
      </w:r>
      <w:r>
        <w:rPr>
          <w:rFonts w:cs="Calibri"/>
        </w:rPr>
        <w:t>organisées par les deux partenaires</w:t>
      </w:r>
      <w:r w:rsidR="002C2869">
        <w:rPr>
          <w:rFonts w:cs="Calibri"/>
        </w:rPr>
        <w:t xml:space="preserve"> </w:t>
      </w:r>
      <w:proofErr w:type="spellStart"/>
      <w:r w:rsidR="002C2869">
        <w:rPr>
          <w:rFonts w:cs="Calibri"/>
        </w:rPr>
        <w:t>ONGs</w:t>
      </w:r>
      <w:proofErr w:type="spellEnd"/>
      <w:r w:rsidR="002C2869">
        <w:rPr>
          <w:rFonts w:cs="Calibri"/>
        </w:rPr>
        <w:t xml:space="preserve"> nationales sur le </w:t>
      </w:r>
      <w:r w:rsidR="005929FC">
        <w:rPr>
          <w:rFonts w:cs="Calibri"/>
        </w:rPr>
        <w:t>terrain notamment sur l’importance de l’assiduité scolaire</w:t>
      </w:r>
      <w:r w:rsidR="002C2869">
        <w:rPr>
          <w:rFonts w:cs="Calibri"/>
        </w:rPr>
        <w:t>.</w:t>
      </w:r>
      <w:r w:rsidR="004A0C1E">
        <w:rPr>
          <w:rFonts w:cs="Calibri"/>
        </w:rPr>
        <w:t xml:space="preserve"> En outre, 300 visites ont été effectuées pour les cas complexes et des solutions appropriées pour 183 de ces cas.</w:t>
      </w:r>
    </w:p>
    <w:p w:rsidR="00432BDA" w:rsidRPr="00432BDA" w:rsidRDefault="00432BDA" w:rsidP="00432BDA">
      <w:pPr>
        <w:widowControl w:val="0"/>
        <w:spacing w:before="240"/>
        <w:jc w:val="both"/>
        <w:rPr>
          <w:rFonts w:cs="Calibri"/>
        </w:rPr>
      </w:pPr>
      <w:r>
        <w:rPr>
          <w:rFonts w:cs="Calibri"/>
        </w:rPr>
        <w:t>Grâce à ce dispositif de soutien et d’accompagnement, à</w:t>
      </w:r>
      <w:r w:rsidRPr="00432BDA">
        <w:rPr>
          <w:rFonts w:cs="Calibri"/>
        </w:rPr>
        <w:t xml:space="preserve"> la fin de l’année scolaire </w:t>
      </w:r>
      <w:r>
        <w:rPr>
          <w:rFonts w:cs="Calibri"/>
        </w:rPr>
        <w:t xml:space="preserve">de juin </w:t>
      </w:r>
      <w:r w:rsidRPr="00432BDA">
        <w:rPr>
          <w:rFonts w:cs="Calibri"/>
        </w:rPr>
        <w:t xml:space="preserve">2013, le taux de réussite aux examens de fin d’année </w:t>
      </w:r>
      <w:r>
        <w:rPr>
          <w:rFonts w:cs="Calibri"/>
        </w:rPr>
        <w:t>était</w:t>
      </w:r>
      <w:r w:rsidRPr="00432BDA">
        <w:rPr>
          <w:rFonts w:cs="Calibri"/>
        </w:rPr>
        <w:t xml:space="preserve"> de 1 357 admis pour 1 528 jeunes ayant compos</w:t>
      </w:r>
      <w:r>
        <w:rPr>
          <w:rFonts w:cs="Calibri"/>
        </w:rPr>
        <w:t xml:space="preserve">é, soit 89%. Par contre il était </w:t>
      </w:r>
      <w:r w:rsidRPr="00432BDA">
        <w:rPr>
          <w:rFonts w:cs="Calibri"/>
        </w:rPr>
        <w:t>à déplorer</w:t>
      </w:r>
      <w:r>
        <w:rPr>
          <w:rFonts w:cs="Calibri"/>
        </w:rPr>
        <w:t>, à cette période,</w:t>
      </w:r>
      <w:r w:rsidRPr="00432BDA">
        <w:rPr>
          <w:rFonts w:cs="Calibri"/>
        </w:rPr>
        <w:t xml:space="preserve"> l’abandon de 24 jeunes (19 au CFP de Nzérékoré et 4 au CFP de Kankan). </w:t>
      </w:r>
      <w:r>
        <w:rPr>
          <w:rFonts w:cs="Calibri"/>
        </w:rPr>
        <w:t xml:space="preserve">En outre, </w:t>
      </w:r>
      <w:r w:rsidRPr="00432BDA">
        <w:rPr>
          <w:rFonts w:cs="Calibri"/>
        </w:rPr>
        <w:t>18 jeunes n’</w:t>
      </w:r>
      <w:r>
        <w:rPr>
          <w:rFonts w:cs="Calibri"/>
        </w:rPr>
        <w:t>avaient</w:t>
      </w:r>
      <w:r w:rsidRPr="00432BDA">
        <w:rPr>
          <w:rFonts w:cs="Calibri"/>
        </w:rPr>
        <w:t xml:space="preserve"> pas </w:t>
      </w:r>
      <w:r>
        <w:rPr>
          <w:rFonts w:cs="Calibri"/>
        </w:rPr>
        <w:t>effectué leur composition</w:t>
      </w:r>
      <w:r w:rsidRPr="00432BDA">
        <w:rPr>
          <w:rFonts w:cs="Calibri"/>
        </w:rPr>
        <w:t xml:space="preserve"> lors des examens pour des raisons inconnues.</w:t>
      </w:r>
    </w:p>
    <w:p w:rsidR="00432BDA" w:rsidRPr="00432BDA" w:rsidRDefault="00432BDA" w:rsidP="00432BDA">
      <w:pPr>
        <w:widowControl w:val="0"/>
        <w:spacing w:before="240"/>
        <w:jc w:val="both"/>
        <w:rPr>
          <w:rFonts w:cs="Calibri"/>
        </w:rPr>
      </w:pPr>
      <w:r w:rsidRPr="00432BDA">
        <w:rPr>
          <w:rFonts w:cs="Calibri"/>
        </w:rPr>
        <w:t xml:space="preserve">Ce sont 791 jeunes qui ont été diplômés en 2012 et 2013 et qui </w:t>
      </w:r>
      <w:r>
        <w:rPr>
          <w:rFonts w:cs="Calibri"/>
        </w:rPr>
        <w:t xml:space="preserve">sont </w:t>
      </w:r>
      <w:r w:rsidRPr="00432BDA">
        <w:rPr>
          <w:rFonts w:cs="Calibri"/>
        </w:rPr>
        <w:t>arriv</w:t>
      </w:r>
      <w:r>
        <w:rPr>
          <w:rFonts w:cs="Calibri"/>
        </w:rPr>
        <w:t>és</w:t>
      </w:r>
      <w:r w:rsidRPr="00432BDA">
        <w:rPr>
          <w:rFonts w:cs="Calibri"/>
        </w:rPr>
        <w:t xml:space="preserve"> sur le marché du travail guiné</w:t>
      </w:r>
      <w:r>
        <w:rPr>
          <w:rFonts w:cs="Calibri"/>
        </w:rPr>
        <w:t>en, ce qui représente déjà 43.72</w:t>
      </w:r>
      <w:r w:rsidRPr="00432BDA">
        <w:rPr>
          <w:rFonts w:cs="Calibri"/>
        </w:rPr>
        <w:t xml:space="preserve">% des jeunes qui ont terminé et réussi leurs examens finaux. </w:t>
      </w:r>
      <w:r>
        <w:rPr>
          <w:rFonts w:cs="Calibri"/>
        </w:rPr>
        <w:t xml:space="preserve">A noter que </w:t>
      </w:r>
      <w:r w:rsidRPr="00432BDA">
        <w:rPr>
          <w:rFonts w:cs="Calibri"/>
        </w:rPr>
        <w:t xml:space="preserve">30% des diplômés en 2012 exercent leur métier dans une entreprise ou en auto-entreprenariat. </w:t>
      </w:r>
    </w:p>
    <w:p w:rsidR="00432BDA" w:rsidRDefault="00432BDA" w:rsidP="00432BDA">
      <w:pPr>
        <w:jc w:val="both"/>
        <w:rPr>
          <w:rFonts w:cs="Calibri"/>
        </w:rPr>
      </w:pPr>
    </w:p>
    <w:p w:rsidR="00432BDA" w:rsidRPr="00432BDA" w:rsidRDefault="00432BDA" w:rsidP="00432BDA">
      <w:pPr>
        <w:jc w:val="both"/>
        <w:rPr>
          <w:rFonts w:cs="Calibri"/>
        </w:rPr>
      </w:pPr>
      <w:r w:rsidRPr="00432BDA">
        <w:rPr>
          <w:rFonts w:cs="Calibri"/>
        </w:rPr>
        <w:t>Ces résultats satisfaisants concernant le nombre de diplômés et le nombre d’élèves assidus en 3ème année de formation ont pu être obtenus grâce  à toutes les activités menées par le projet pour l’accompagnement de la scolarité des jeunes.</w:t>
      </w:r>
    </w:p>
    <w:p w:rsidR="00432BDA" w:rsidRDefault="00432BDA" w:rsidP="000A53DE">
      <w:pPr>
        <w:jc w:val="both"/>
        <w:rPr>
          <w:rFonts w:cs="Calibri"/>
        </w:rPr>
      </w:pPr>
    </w:p>
    <w:p w:rsidR="004710AD" w:rsidRPr="005B0A0A" w:rsidRDefault="004710AD" w:rsidP="004710AD">
      <w:pPr>
        <w:widowControl w:val="0"/>
        <w:spacing w:before="240"/>
        <w:jc w:val="both"/>
        <w:rPr>
          <w:b/>
          <w:snapToGrid w:val="0"/>
          <w:sz w:val="22"/>
          <w:szCs w:val="22"/>
          <w:lang w:eastAsia="en-US"/>
        </w:rPr>
      </w:pPr>
      <w:r w:rsidRPr="005B0A0A">
        <w:rPr>
          <w:b/>
          <w:snapToGrid w:val="0"/>
          <w:sz w:val="22"/>
          <w:szCs w:val="22"/>
          <w:u w:val="single"/>
          <w:lang w:eastAsia="en-US"/>
        </w:rPr>
        <w:t xml:space="preserve">Produit 2 : </w:t>
      </w:r>
      <w:r w:rsidR="00D640D1" w:rsidRPr="005B0A0A">
        <w:rPr>
          <w:rFonts w:cs="Arial"/>
          <w:b/>
          <w:sz w:val="22"/>
          <w:szCs w:val="22"/>
        </w:rPr>
        <w:t>1.829 jeunes bénéficient d'un soutien pour les orienter aux opportunités d’emplois durables et de la génération de revenus sur le marché du travail.</w:t>
      </w:r>
    </w:p>
    <w:p w:rsidR="004710AD" w:rsidRDefault="004710AD" w:rsidP="004710AD">
      <w:pPr>
        <w:widowControl w:val="0"/>
        <w:ind w:left="360"/>
        <w:jc w:val="both"/>
        <w:rPr>
          <w:b/>
          <w:sz w:val="22"/>
          <w:szCs w:val="22"/>
          <w:lang w:eastAsia="en-US"/>
        </w:rPr>
      </w:pPr>
    </w:p>
    <w:p w:rsidR="003B15C1" w:rsidRPr="00B7063F" w:rsidRDefault="003B15C1" w:rsidP="003B15C1">
      <w:pPr>
        <w:ind w:left="340"/>
        <w:contextualSpacing/>
        <w:jc w:val="both"/>
        <w:rPr>
          <w:rFonts w:cs="Arial"/>
          <w:sz w:val="22"/>
          <w:szCs w:val="22"/>
        </w:rPr>
      </w:pPr>
      <w:r>
        <w:rPr>
          <w:rFonts w:cs="Arial"/>
          <w:b/>
          <w:sz w:val="22"/>
          <w:szCs w:val="22"/>
        </w:rPr>
        <w:t>Axe d’a</w:t>
      </w:r>
      <w:r w:rsidRPr="00B7063F">
        <w:rPr>
          <w:rFonts w:cs="Arial"/>
          <w:b/>
          <w:sz w:val="22"/>
          <w:szCs w:val="22"/>
        </w:rPr>
        <w:t>ctivités</w:t>
      </w:r>
      <w:r>
        <w:rPr>
          <w:rFonts w:cs="Arial"/>
          <w:b/>
          <w:sz w:val="22"/>
          <w:szCs w:val="22"/>
        </w:rPr>
        <w:t xml:space="preserve"> 2</w:t>
      </w:r>
      <w:r w:rsidRPr="00B7063F">
        <w:rPr>
          <w:rFonts w:cs="Arial"/>
          <w:sz w:val="22"/>
          <w:szCs w:val="22"/>
        </w:rPr>
        <w:t>:</w:t>
      </w:r>
      <w:r>
        <w:rPr>
          <w:rFonts w:cs="Arial"/>
          <w:sz w:val="22"/>
          <w:szCs w:val="22"/>
        </w:rPr>
        <w:t xml:space="preserve"> </w:t>
      </w:r>
    </w:p>
    <w:p w:rsidR="003B15C1" w:rsidRDefault="003B15C1" w:rsidP="003B15C1">
      <w:pPr>
        <w:numPr>
          <w:ilvl w:val="1"/>
          <w:numId w:val="25"/>
        </w:numPr>
        <w:contextualSpacing/>
        <w:jc w:val="both"/>
        <w:rPr>
          <w:rFonts w:cs="Arial"/>
          <w:sz w:val="22"/>
          <w:szCs w:val="22"/>
        </w:rPr>
      </w:pPr>
      <w:r w:rsidRPr="00B7063F">
        <w:rPr>
          <w:rFonts w:cs="Arial"/>
          <w:sz w:val="22"/>
          <w:szCs w:val="22"/>
        </w:rPr>
        <w:t>Soutenir les</w:t>
      </w:r>
      <w:r>
        <w:rPr>
          <w:rFonts w:cs="Arial"/>
          <w:sz w:val="22"/>
          <w:szCs w:val="22"/>
        </w:rPr>
        <w:t xml:space="preserve"> maisons des jeunes et les</w:t>
      </w:r>
      <w:r w:rsidRPr="00B7063F">
        <w:rPr>
          <w:rFonts w:cs="Arial"/>
          <w:sz w:val="22"/>
          <w:szCs w:val="22"/>
        </w:rPr>
        <w:t xml:space="preserve"> centres de formation pour informer des 1.829 jeunes sur les opportunités sur le marché de l'emploi et de la génération de revenus</w:t>
      </w:r>
    </w:p>
    <w:p w:rsidR="003B15C1" w:rsidRPr="00C822A5" w:rsidRDefault="003B15C1" w:rsidP="003B15C1">
      <w:pPr>
        <w:numPr>
          <w:ilvl w:val="1"/>
          <w:numId w:val="25"/>
        </w:numPr>
        <w:contextualSpacing/>
        <w:jc w:val="both"/>
        <w:rPr>
          <w:rFonts w:cs="Arial"/>
          <w:sz w:val="22"/>
          <w:szCs w:val="22"/>
        </w:rPr>
      </w:pPr>
      <w:r w:rsidRPr="00C822A5">
        <w:rPr>
          <w:rFonts w:cs="Arial"/>
          <w:sz w:val="22"/>
          <w:szCs w:val="22"/>
        </w:rPr>
        <w:lastRenderedPageBreak/>
        <w:t>Soutenir les centres de formation à donner aux 1.829 jeunes une formation de base sur les compétences entrepreneuriales</w:t>
      </w:r>
    </w:p>
    <w:p w:rsidR="003B15C1" w:rsidRDefault="003B15C1" w:rsidP="003B15C1">
      <w:pPr>
        <w:numPr>
          <w:ilvl w:val="1"/>
          <w:numId w:val="25"/>
        </w:numPr>
        <w:contextualSpacing/>
        <w:jc w:val="both"/>
        <w:rPr>
          <w:rFonts w:cs="Arial"/>
          <w:sz w:val="22"/>
          <w:szCs w:val="22"/>
        </w:rPr>
      </w:pPr>
      <w:r w:rsidRPr="00D8755C">
        <w:rPr>
          <w:rFonts w:cs="Arial"/>
          <w:sz w:val="22"/>
          <w:szCs w:val="22"/>
        </w:rPr>
        <w:t>Faire la liaison avec les entreprises internationales (mines, agriculture) afin d'identifier les possibilités d'emploi;</w:t>
      </w:r>
    </w:p>
    <w:p w:rsidR="003B15C1" w:rsidRPr="00D8755C" w:rsidRDefault="003B15C1" w:rsidP="003B15C1">
      <w:pPr>
        <w:numPr>
          <w:ilvl w:val="1"/>
          <w:numId w:val="25"/>
        </w:numPr>
        <w:contextualSpacing/>
        <w:jc w:val="both"/>
        <w:rPr>
          <w:rFonts w:cs="Arial"/>
          <w:sz w:val="22"/>
          <w:szCs w:val="22"/>
        </w:rPr>
      </w:pPr>
      <w:r w:rsidRPr="00D8755C">
        <w:rPr>
          <w:rFonts w:cs="Arial"/>
          <w:sz w:val="22"/>
          <w:szCs w:val="22"/>
        </w:rPr>
        <w:t>Identifier des opportunités pour les jeunes qui souhaitent démarrer de petites entreprises d’être intégrés dans les programmes de microcrédit et de la génération de revenus soutenus par le PBF et d'autres donateurs.</w:t>
      </w:r>
    </w:p>
    <w:p w:rsidR="003B15C1" w:rsidRDefault="003B15C1" w:rsidP="004710AD">
      <w:pPr>
        <w:widowControl w:val="0"/>
        <w:ind w:left="360"/>
        <w:jc w:val="both"/>
        <w:rPr>
          <w:b/>
          <w:sz w:val="22"/>
          <w:szCs w:val="22"/>
          <w:lang w:eastAsia="en-US"/>
        </w:rPr>
      </w:pPr>
    </w:p>
    <w:p w:rsidR="005B0A0A" w:rsidRDefault="004407D1" w:rsidP="005B0A0A">
      <w:pPr>
        <w:jc w:val="both"/>
        <w:rPr>
          <w:rFonts w:cs="Calibri"/>
        </w:rPr>
      </w:pPr>
      <w:r>
        <w:rPr>
          <w:rFonts w:cs="Calibri"/>
        </w:rPr>
        <w:t>Les jeunes ont été accompagnés dans leur orientation professionnelle et des efforts de plaidoyers auprès de ces derniers ont permis une meilleure adéquation entre les attentes exprimées et la réalité du marché du travail en Guinée.  En effet, si l’auto-entreprenariat  était faiblement cité  (20% des réponses à l’enquête menée par l’ONG ARCPN</w:t>
      </w:r>
      <w:r w:rsidR="005605CC">
        <w:rPr>
          <w:rFonts w:cs="Calibri"/>
        </w:rPr>
        <w:t xml:space="preserve"> en 2013</w:t>
      </w:r>
      <w:r>
        <w:rPr>
          <w:rFonts w:cs="Calibri"/>
        </w:rPr>
        <w:t xml:space="preserve">) en début d’année scolaire concernant les possibilités futures d’insertion professionnelle, il </w:t>
      </w:r>
      <w:r w:rsidR="005605CC">
        <w:rPr>
          <w:rFonts w:cs="Calibri"/>
        </w:rPr>
        <w:t>a été</w:t>
      </w:r>
      <w:r w:rsidR="00B572CA">
        <w:rPr>
          <w:rFonts w:cs="Calibri"/>
        </w:rPr>
        <w:t xml:space="preserve"> plus</w:t>
      </w:r>
      <w:r>
        <w:rPr>
          <w:rFonts w:cs="Calibri"/>
        </w:rPr>
        <w:t xml:space="preserve"> largement </w:t>
      </w:r>
      <w:r w:rsidR="00B572CA">
        <w:rPr>
          <w:rFonts w:cs="Calibri"/>
        </w:rPr>
        <w:t>plébiscité</w:t>
      </w:r>
      <w:r>
        <w:rPr>
          <w:rFonts w:cs="Calibri"/>
        </w:rPr>
        <w:t xml:space="preserve"> </w:t>
      </w:r>
      <w:r w:rsidR="00B572CA">
        <w:rPr>
          <w:rFonts w:cs="Calibri"/>
        </w:rPr>
        <w:t xml:space="preserve">(41%) en juin 2013 lors des examens. Que ce soit de l’auto-entreprenariat individuel ou en groupe à travers des coopératives ou des groupements, </w:t>
      </w:r>
      <w:r w:rsidR="005B0A0A" w:rsidRPr="005B0A0A">
        <w:rPr>
          <w:rFonts w:cs="Calibri"/>
        </w:rPr>
        <w:t>les activités souhaitées sont très diverses, comme monter sa ferme ou faire sa plantation, ouvrir son magasin ou son atelier, faire des pre</w:t>
      </w:r>
      <w:r w:rsidR="00B572CA">
        <w:rPr>
          <w:rFonts w:cs="Calibri"/>
        </w:rPr>
        <w:t xml:space="preserve">stations de services techniques. Ces formes d’auto-entreprenariat sont celles qui ouvrent les plus grandes chances d’insertion professionnelle. </w:t>
      </w:r>
      <w:r w:rsidR="005B0A0A" w:rsidRPr="005B0A0A">
        <w:rPr>
          <w:rFonts w:cs="Calibri"/>
        </w:rPr>
        <w:t xml:space="preserve">De plus, </w:t>
      </w:r>
      <w:r w:rsidR="005605CC">
        <w:rPr>
          <w:rFonts w:cs="Calibri"/>
        </w:rPr>
        <w:t xml:space="preserve">les enquêtes ont révélé que </w:t>
      </w:r>
      <w:r w:rsidR="005B0A0A" w:rsidRPr="005B0A0A">
        <w:rPr>
          <w:rFonts w:cs="Calibri"/>
        </w:rPr>
        <w:t>44% d</w:t>
      </w:r>
      <w:r w:rsidR="00B572CA">
        <w:rPr>
          <w:rFonts w:cs="Calibri"/>
        </w:rPr>
        <w:t>es jeunes</w:t>
      </w:r>
      <w:r w:rsidR="005B0A0A" w:rsidRPr="005B0A0A">
        <w:rPr>
          <w:rFonts w:cs="Calibri"/>
        </w:rPr>
        <w:t xml:space="preserve"> </w:t>
      </w:r>
      <w:r w:rsidR="00B572CA" w:rsidRPr="005B0A0A">
        <w:rPr>
          <w:rFonts w:cs="Calibri"/>
        </w:rPr>
        <w:t>souhait</w:t>
      </w:r>
      <w:r w:rsidR="005605CC">
        <w:rPr>
          <w:rFonts w:cs="Calibri"/>
        </w:rPr>
        <w:t>ai</w:t>
      </w:r>
      <w:r w:rsidR="00B572CA" w:rsidRPr="005B0A0A">
        <w:rPr>
          <w:rFonts w:cs="Calibri"/>
        </w:rPr>
        <w:t>ent</w:t>
      </w:r>
      <w:r w:rsidR="005B0A0A" w:rsidRPr="005B0A0A">
        <w:rPr>
          <w:rFonts w:cs="Calibri"/>
        </w:rPr>
        <w:t xml:space="preserve"> effectuer leur réinsertion économique dans leur communauté d’origine, 18% souhait</w:t>
      </w:r>
      <w:r w:rsidR="005605CC">
        <w:rPr>
          <w:rFonts w:cs="Calibri"/>
        </w:rPr>
        <w:t>ai</w:t>
      </w:r>
      <w:r w:rsidR="005B0A0A" w:rsidRPr="005B0A0A">
        <w:rPr>
          <w:rFonts w:cs="Calibri"/>
        </w:rPr>
        <w:t>e</w:t>
      </w:r>
      <w:r w:rsidR="00B572CA">
        <w:rPr>
          <w:rFonts w:cs="Calibri"/>
        </w:rPr>
        <w:t>nt</w:t>
      </w:r>
      <w:r w:rsidR="005B0A0A" w:rsidRPr="005B0A0A">
        <w:rPr>
          <w:rFonts w:cs="Calibri"/>
        </w:rPr>
        <w:t xml:space="preserve"> </w:t>
      </w:r>
      <w:r w:rsidR="005605CC">
        <w:rPr>
          <w:rFonts w:cs="Calibri"/>
        </w:rPr>
        <w:t>l’</w:t>
      </w:r>
      <w:r w:rsidR="005B0A0A" w:rsidRPr="005B0A0A">
        <w:rPr>
          <w:rFonts w:cs="Calibri"/>
        </w:rPr>
        <w:t>effectuer dans leur communauté d’accueil, et 39% souhaite</w:t>
      </w:r>
      <w:r w:rsidR="00B572CA">
        <w:rPr>
          <w:rFonts w:cs="Calibri"/>
        </w:rPr>
        <w:t>nt</w:t>
      </w:r>
      <w:r w:rsidR="005B0A0A" w:rsidRPr="005B0A0A">
        <w:rPr>
          <w:rFonts w:cs="Calibri"/>
        </w:rPr>
        <w:t xml:space="preserve"> s’installer ailleurs.</w:t>
      </w:r>
      <w:r>
        <w:rPr>
          <w:rFonts w:cs="Calibri"/>
        </w:rPr>
        <w:t xml:space="preserve"> </w:t>
      </w:r>
      <w:r w:rsidR="005B0A0A" w:rsidRPr="005B0A0A">
        <w:rPr>
          <w:rFonts w:cs="Calibri"/>
        </w:rPr>
        <w:t>Ceci indique la réussite de réinsertion sociale, aussi bien dans leur communauté d’origine que dans les communautés d’accueil du projet. Ceci est confirmé par 90% des jeunes qui souhaitent se mettre en groupement avec des amis de classe.</w:t>
      </w:r>
    </w:p>
    <w:p w:rsidR="00225E6B" w:rsidRDefault="00225E6B" w:rsidP="005B0A0A">
      <w:pPr>
        <w:jc w:val="both"/>
        <w:rPr>
          <w:rFonts w:cs="Calibri"/>
        </w:rPr>
      </w:pPr>
    </w:p>
    <w:p w:rsidR="005B0A0A" w:rsidRDefault="00225E6B" w:rsidP="005B0A0A">
      <w:pPr>
        <w:jc w:val="both"/>
        <w:rPr>
          <w:rFonts w:cs="Calibri"/>
        </w:rPr>
      </w:pPr>
      <w:r>
        <w:rPr>
          <w:noProof/>
          <w:lang w:val="en-US" w:eastAsia="en-US"/>
        </w:rPr>
        <mc:AlternateContent>
          <mc:Choice Requires="wps">
            <w:drawing>
              <wp:anchor distT="0" distB="0" distL="114300" distR="114300" simplePos="0" relativeHeight="251673088" behindDoc="0" locked="0" layoutInCell="1" allowOverlap="1" wp14:anchorId="6F56398D" wp14:editId="59EAC019">
                <wp:simplePos x="0" y="0"/>
                <wp:positionH relativeFrom="column">
                  <wp:posOffset>2540</wp:posOffset>
                </wp:positionH>
                <wp:positionV relativeFrom="paragraph">
                  <wp:posOffset>2630170</wp:posOffset>
                </wp:positionV>
                <wp:extent cx="3867150" cy="635"/>
                <wp:effectExtent l="0" t="0" r="0" b="0"/>
                <wp:wrapThrough wrapText="bothSides">
                  <wp:wrapPolygon edited="0">
                    <wp:start x="0" y="0"/>
                    <wp:lineTo x="0" y="21600"/>
                    <wp:lineTo x="21600" y="21600"/>
                    <wp:lineTo x="21600" y="0"/>
                  </wp:wrapPolygon>
                </wp:wrapThrough>
                <wp:docPr id="18" name="Text Box 18"/>
                <wp:cNvGraphicFramePr/>
                <a:graphic xmlns:a="http://schemas.openxmlformats.org/drawingml/2006/main">
                  <a:graphicData uri="http://schemas.microsoft.com/office/word/2010/wordprocessingShape">
                    <wps:wsp>
                      <wps:cNvSpPr txBox="1"/>
                      <wps:spPr>
                        <a:xfrm>
                          <a:off x="0" y="0"/>
                          <a:ext cx="3867150" cy="635"/>
                        </a:xfrm>
                        <a:prstGeom prst="rect">
                          <a:avLst/>
                        </a:prstGeom>
                        <a:solidFill>
                          <a:prstClr val="white"/>
                        </a:solidFill>
                        <a:ln>
                          <a:noFill/>
                        </a:ln>
                        <a:effectLst/>
                      </wps:spPr>
                      <wps:txbx>
                        <w:txbxContent>
                          <w:p w:rsidR="007320CA" w:rsidRPr="00B9458A" w:rsidRDefault="007320CA" w:rsidP="00225E6B">
                            <w:pPr>
                              <w:pStyle w:val="Caption"/>
                              <w:jc w:val="center"/>
                              <w:rPr>
                                <w:rFonts w:cs="Calibri"/>
                                <w:noProof/>
                                <w:sz w:val="24"/>
                                <w:szCs w:val="24"/>
                              </w:rPr>
                            </w:pPr>
                            <w:r>
                              <w:t>CFP de N’</w:t>
                            </w:r>
                            <w:proofErr w:type="spellStart"/>
                            <w:r>
                              <w:t>Zérékoré</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6F56398D" id="Text Box 18" o:spid="_x0000_s1027" type="#_x0000_t202" style="position:absolute;left:0;text-align:left;margin-left:.2pt;margin-top:207.1pt;width:304.5pt;height:.05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" stroked="f">
                <v:textbox style="mso-fit-shape-to-text:t" inset="0,0,0,0">
                  <w:txbxContent>
                    <w:p w:rsidR="007320CA" w:rsidRPr="00B9458A" w:rsidRDefault="007320CA" w:rsidP="00225E6B">
                      <w:pPr>
                        <w:pStyle w:val="Caption"/>
                        <w:jc w:val="center"/>
                        <w:rPr>
                          <w:rFonts w:cs="Calibri"/>
                          <w:noProof/>
                          <w:sz w:val="24"/>
                          <w:szCs w:val="24"/>
                        </w:rPr>
                      </w:pPr>
                      <w:r>
                        <w:t>CFP de N’Zérékoré</w:t>
                      </w:r>
                    </w:p>
                  </w:txbxContent>
                </v:textbox>
                <w10:wrap type="through"/>
              </v:shape>
            </w:pict>
          </mc:Fallback>
        </mc:AlternateContent>
      </w:r>
      <w:r>
        <w:rPr>
          <w:rFonts w:cs="Calibri"/>
          <w:noProof/>
          <w:lang w:val="en-US" w:eastAsia="en-US"/>
        </w:rPr>
        <w:drawing>
          <wp:anchor distT="0" distB="0" distL="114300" distR="114300" simplePos="0" relativeHeight="251671040" behindDoc="1" locked="0" layoutInCell="1" allowOverlap="1">
            <wp:simplePos x="0" y="0"/>
            <wp:positionH relativeFrom="column">
              <wp:posOffset>2540</wp:posOffset>
            </wp:positionH>
            <wp:positionV relativeFrom="paragraph">
              <wp:posOffset>4445</wp:posOffset>
            </wp:positionV>
            <wp:extent cx="3867150" cy="2568575"/>
            <wp:effectExtent l="0" t="0" r="0" b="3175"/>
            <wp:wrapThrough wrapText="bothSides">
              <wp:wrapPolygon edited="0">
                <wp:start x="0" y="0"/>
                <wp:lineTo x="0" y="21467"/>
                <wp:lineTo x="21494" y="21467"/>
                <wp:lineTo x="21494" y="0"/>
                <wp:lineTo x="0" y="0"/>
              </wp:wrapPolygon>
            </wp:wrapThrough>
            <wp:docPr id="17" name="Picture 17" descr="C:\Users\jdubois\Desktop\Unicef\PBF ex Kaléah\photos\NZ 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dubois\Desktop\Unicef\PBF ex Kaléah\photos\NZ 08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67150" cy="256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5B0A0A" w:rsidRPr="005B0A0A">
        <w:rPr>
          <w:rFonts w:cs="Calibri"/>
        </w:rPr>
        <w:t>Pour permettre aux jeunes d’appliquer dans un milieu de travail les connaissances acquises dans les centres de formation, des stages pratiques selon leurs filières de formation ont été organisés</w:t>
      </w:r>
      <w:r w:rsidR="007F0E38">
        <w:rPr>
          <w:rFonts w:cs="Calibri"/>
        </w:rPr>
        <w:t xml:space="preserve"> </w:t>
      </w:r>
      <w:r w:rsidR="007F0E38" w:rsidRPr="007F0E38">
        <w:rPr>
          <w:rFonts w:cs="Calibri"/>
        </w:rPr>
        <w:t>pendant l</w:t>
      </w:r>
      <w:r w:rsidR="007F0E38">
        <w:rPr>
          <w:rFonts w:cs="Calibri"/>
        </w:rPr>
        <w:t>es mois de février et mars 2013</w:t>
      </w:r>
      <w:r w:rsidR="00B572CA">
        <w:rPr>
          <w:rFonts w:cs="Calibri"/>
        </w:rPr>
        <w:t xml:space="preserve">. </w:t>
      </w:r>
      <w:r w:rsidR="005B0A0A" w:rsidRPr="005B0A0A">
        <w:rPr>
          <w:rFonts w:cs="Calibri"/>
        </w:rPr>
        <w:t xml:space="preserve">742 jeunes des CFP de </w:t>
      </w:r>
      <w:proofErr w:type="spellStart"/>
      <w:r w:rsidR="005B0A0A" w:rsidRPr="005B0A0A">
        <w:rPr>
          <w:rFonts w:cs="Calibri"/>
        </w:rPr>
        <w:t>Nzerekore</w:t>
      </w:r>
      <w:proofErr w:type="spellEnd"/>
      <w:r w:rsidR="005B0A0A" w:rsidRPr="005B0A0A">
        <w:rPr>
          <w:rFonts w:cs="Calibri"/>
        </w:rPr>
        <w:t xml:space="preserve">, ESSC de </w:t>
      </w:r>
      <w:proofErr w:type="spellStart"/>
      <w:r w:rsidR="005B0A0A" w:rsidRPr="005B0A0A">
        <w:rPr>
          <w:rFonts w:cs="Calibri"/>
        </w:rPr>
        <w:t>Nzerekore</w:t>
      </w:r>
      <w:proofErr w:type="spellEnd"/>
      <w:r w:rsidR="005B0A0A" w:rsidRPr="005B0A0A">
        <w:rPr>
          <w:rFonts w:cs="Calibri"/>
        </w:rPr>
        <w:t xml:space="preserve">, CFPPP de </w:t>
      </w:r>
      <w:proofErr w:type="spellStart"/>
      <w:r w:rsidR="005B0A0A" w:rsidRPr="005B0A0A">
        <w:rPr>
          <w:rFonts w:cs="Calibri"/>
        </w:rPr>
        <w:t>Macemta</w:t>
      </w:r>
      <w:proofErr w:type="spellEnd"/>
      <w:r w:rsidR="005B0A0A" w:rsidRPr="005B0A0A">
        <w:rPr>
          <w:rFonts w:cs="Calibri"/>
        </w:rPr>
        <w:t xml:space="preserve">, CFPPP de Kérouané, CFP de Kankan, CFP de </w:t>
      </w:r>
      <w:proofErr w:type="spellStart"/>
      <w:r w:rsidR="005B0A0A" w:rsidRPr="005B0A0A">
        <w:rPr>
          <w:rFonts w:cs="Calibri"/>
        </w:rPr>
        <w:t>Matoto</w:t>
      </w:r>
      <w:proofErr w:type="spellEnd"/>
      <w:r w:rsidR="005B0A0A" w:rsidRPr="005B0A0A">
        <w:rPr>
          <w:rFonts w:cs="Calibri"/>
        </w:rPr>
        <w:t xml:space="preserve"> et </w:t>
      </w:r>
      <w:proofErr w:type="spellStart"/>
      <w:r w:rsidR="005B0A0A" w:rsidRPr="005B0A0A">
        <w:rPr>
          <w:rFonts w:cs="Calibri"/>
        </w:rPr>
        <w:t>Coyah</w:t>
      </w:r>
      <w:proofErr w:type="spellEnd"/>
      <w:r w:rsidR="007F0E38" w:rsidRPr="007F0E38">
        <w:t xml:space="preserve"> </w:t>
      </w:r>
      <w:r w:rsidR="007F0E38" w:rsidRPr="007F0E38">
        <w:rPr>
          <w:rFonts w:cs="Calibri"/>
        </w:rPr>
        <w:t>ont pu ainsi profiter de ces stages</w:t>
      </w:r>
      <w:r w:rsidR="005B0A0A" w:rsidRPr="005B0A0A">
        <w:rPr>
          <w:rFonts w:cs="Calibri"/>
        </w:rPr>
        <w:t>.</w:t>
      </w:r>
      <w:r w:rsidR="00B572CA">
        <w:rPr>
          <w:rFonts w:cs="Calibri"/>
        </w:rPr>
        <w:t xml:space="preserve"> </w:t>
      </w:r>
      <w:r w:rsidR="005B0A0A" w:rsidRPr="005B0A0A">
        <w:rPr>
          <w:rFonts w:cs="Calibri"/>
        </w:rPr>
        <w:t>Plusie</w:t>
      </w:r>
      <w:r w:rsidR="007F0E38">
        <w:rPr>
          <w:rFonts w:cs="Calibri"/>
        </w:rPr>
        <w:t>urs jeunes se sont déplacés dans</w:t>
      </w:r>
      <w:r w:rsidR="005B0A0A" w:rsidRPr="005B0A0A">
        <w:rPr>
          <w:rFonts w:cs="Calibri"/>
        </w:rPr>
        <w:t xml:space="preserve"> d’autres préfectures à la recherche de postes de stage dans des services déconcentrés de l’Etat, dans les entreprises publiques (EDG, SEG) et privées et dans le secteur informel. </w:t>
      </w:r>
      <w:r w:rsidR="00B572CA">
        <w:rPr>
          <w:rFonts w:cs="Calibri"/>
        </w:rPr>
        <w:t xml:space="preserve">Un suivi de ces stages a été mis en place </w:t>
      </w:r>
      <w:r w:rsidR="005B0A0A" w:rsidRPr="005B0A0A">
        <w:rPr>
          <w:rFonts w:cs="Calibri"/>
        </w:rPr>
        <w:t xml:space="preserve">pour superviser le processus en vérifiant la présence effective des jeunes dans leur lieu de stage, et pour vérifier que les jeunes </w:t>
      </w:r>
      <w:r w:rsidR="005605CC">
        <w:rPr>
          <w:rFonts w:cs="Calibri"/>
        </w:rPr>
        <w:t>étaient</w:t>
      </w:r>
      <w:r w:rsidR="005B0A0A" w:rsidRPr="005B0A0A">
        <w:rPr>
          <w:rFonts w:cs="Calibri"/>
        </w:rPr>
        <w:t xml:space="preserve"> inscrits dans des stages en lien avec leurs filières.</w:t>
      </w:r>
    </w:p>
    <w:p w:rsidR="00B572CA" w:rsidRPr="005B0A0A" w:rsidRDefault="00B572CA" w:rsidP="005B0A0A">
      <w:pPr>
        <w:jc w:val="both"/>
        <w:rPr>
          <w:rFonts w:cs="Calibri"/>
        </w:rPr>
      </w:pPr>
    </w:p>
    <w:p w:rsidR="006A7F21" w:rsidRDefault="00DE4A5C" w:rsidP="005B0A0A">
      <w:pPr>
        <w:jc w:val="both"/>
        <w:rPr>
          <w:rFonts w:cs="Calibri"/>
        </w:rPr>
      </w:pPr>
      <w:r>
        <w:rPr>
          <w:rFonts w:cs="Calibri"/>
        </w:rPr>
        <w:t>De même</w:t>
      </w:r>
      <w:r w:rsidR="005B0A0A" w:rsidRPr="005B0A0A">
        <w:rPr>
          <w:rFonts w:cs="Calibri"/>
        </w:rPr>
        <w:t>,</w:t>
      </w:r>
      <w:r>
        <w:rPr>
          <w:rFonts w:cs="Calibri"/>
        </w:rPr>
        <w:t xml:space="preserve"> pour subvenir à </w:t>
      </w:r>
      <w:r w:rsidR="0007284C">
        <w:rPr>
          <w:rFonts w:cs="Calibri"/>
        </w:rPr>
        <w:t>leurs besoins</w:t>
      </w:r>
      <w:r>
        <w:rPr>
          <w:rFonts w:cs="Calibri"/>
        </w:rPr>
        <w:t>,</w:t>
      </w:r>
      <w:r w:rsidR="00432BDA">
        <w:rPr>
          <w:rFonts w:cs="Calibri"/>
        </w:rPr>
        <w:t xml:space="preserve"> il est important de noter que 5</w:t>
      </w:r>
      <w:r w:rsidR="005B0A0A" w:rsidRPr="005B0A0A">
        <w:rPr>
          <w:rFonts w:cs="Calibri"/>
        </w:rPr>
        <w:t>9% des jeunes bénéficiaires enquêtés du projet ont des ac</w:t>
      </w:r>
      <w:r w:rsidR="00B572CA">
        <w:rPr>
          <w:rFonts w:cs="Calibri"/>
        </w:rPr>
        <w:t xml:space="preserve">tivités extra-professionnelles, </w:t>
      </w:r>
      <w:r w:rsidR="005B0A0A" w:rsidRPr="005B0A0A">
        <w:rPr>
          <w:rFonts w:cs="Calibri"/>
        </w:rPr>
        <w:t>en lien</w:t>
      </w:r>
      <w:r w:rsidR="00B572CA">
        <w:rPr>
          <w:rFonts w:cs="Calibri"/>
        </w:rPr>
        <w:t xml:space="preserve"> (41%)</w:t>
      </w:r>
      <w:r w:rsidR="005B0A0A" w:rsidRPr="005B0A0A">
        <w:rPr>
          <w:rFonts w:cs="Calibri"/>
        </w:rPr>
        <w:t xml:space="preserve"> ou non a</w:t>
      </w:r>
      <w:r w:rsidR="00B572CA">
        <w:rPr>
          <w:rFonts w:cs="Calibri"/>
        </w:rPr>
        <w:t xml:space="preserve">vec leur formation. </w:t>
      </w:r>
      <w:r>
        <w:rPr>
          <w:rFonts w:cs="Calibri"/>
        </w:rPr>
        <w:t>Les connaissances acquises en centre de formation et les expériences pratiques à travers les stages on</w:t>
      </w:r>
      <w:r w:rsidR="00A36A32">
        <w:rPr>
          <w:rFonts w:cs="Calibri"/>
        </w:rPr>
        <w:t>t permis aux jeunes</w:t>
      </w:r>
      <w:r>
        <w:rPr>
          <w:rFonts w:cs="Calibri"/>
        </w:rPr>
        <w:t xml:space="preserve"> de commencer leur insertion professionnelle alors même qu’ils ne sont pas encore diplômés</w:t>
      </w:r>
      <w:r w:rsidR="00A36A32">
        <w:rPr>
          <w:rFonts w:cs="Calibri"/>
        </w:rPr>
        <w:t xml:space="preserve">, ce qui leur permet d’envisager positivement l’avenir post-formation. </w:t>
      </w:r>
      <w:r w:rsidR="000A30F8">
        <w:rPr>
          <w:rFonts w:cs="Calibri"/>
        </w:rPr>
        <w:t xml:space="preserve">En effet, la mobilisation de leur connaissances et expériences acquises en cours de formation afin de subvenir à leurs besoins quotidiens est un encouragement à poursuivre la formation jusqu’à l’obtention du diplôme et à ensuite envisager une insertion économique rapide. </w:t>
      </w:r>
    </w:p>
    <w:p w:rsidR="00BC0E55" w:rsidRDefault="00BC0E55" w:rsidP="005B0A0A">
      <w:pPr>
        <w:jc w:val="both"/>
        <w:rPr>
          <w:rFonts w:cs="Calibri"/>
        </w:rPr>
      </w:pPr>
    </w:p>
    <w:p w:rsidR="00BC0E55" w:rsidRPr="00D73C50" w:rsidRDefault="00BC0E55" w:rsidP="005B0A0A">
      <w:pPr>
        <w:jc w:val="both"/>
        <w:rPr>
          <w:rFonts w:cs="Calibri"/>
        </w:rPr>
      </w:pPr>
      <w:r>
        <w:rPr>
          <w:rFonts w:cs="Calibri"/>
        </w:rPr>
        <w:t>Toujours dans l’optique de renforcer les liens entre les jeunes, les centre de formation et les acteurs économiques susceptibles de les employ</w:t>
      </w:r>
      <w:r w:rsidR="007F0E38">
        <w:rPr>
          <w:rFonts w:cs="Calibri"/>
        </w:rPr>
        <w:t>er à la sortie de la formation</w:t>
      </w:r>
      <w:r>
        <w:rPr>
          <w:rFonts w:cs="Calibri"/>
        </w:rPr>
        <w:t>, une présentation du projet a été faite</w:t>
      </w:r>
      <w:r w:rsidR="007F0E38">
        <w:rPr>
          <w:rFonts w:cs="Calibri"/>
        </w:rPr>
        <w:t xml:space="preserve"> auprès de ces derniers</w:t>
      </w:r>
      <w:r>
        <w:rPr>
          <w:rFonts w:cs="Calibri"/>
        </w:rPr>
        <w:t xml:space="preserve"> afin de susciter l’intérêt de ces acteurs et améliorer l’insertion socio-professionnelle des jeunes. </w:t>
      </w:r>
    </w:p>
    <w:p w:rsidR="006A7F21" w:rsidRDefault="006A7F21" w:rsidP="004710AD">
      <w:pPr>
        <w:widowControl w:val="0"/>
        <w:ind w:left="360"/>
        <w:jc w:val="both"/>
        <w:rPr>
          <w:b/>
          <w:sz w:val="22"/>
          <w:szCs w:val="22"/>
          <w:lang w:eastAsia="en-US"/>
        </w:rPr>
      </w:pPr>
    </w:p>
    <w:p w:rsidR="00950D56" w:rsidRPr="0036668E" w:rsidRDefault="00950D56" w:rsidP="00950D56">
      <w:pPr>
        <w:widowControl w:val="0"/>
        <w:spacing w:before="240"/>
        <w:jc w:val="both"/>
        <w:rPr>
          <w:b/>
          <w:sz w:val="22"/>
          <w:szCs w:val="22"/>
          <w:lang w:eastAsia="en-US"/>
        </w:rPr>
      </w:pPr>
      <w:r w:rsidRPr="0036668E">
        <w:rPr>
          <w:rFonts w:cs="Arial"/>
          <w:b/>
          <w:sz w:val="22"/>
          <w:szCs w:val="22"/>
        </w:rPr>
        <w:t>Produit 3: 1,829 jeunes reçoivent un soutien psychosocial et affectif, et les jeunes qui continuent d'avoir de graves problèmes comportementaux et sociaux (moins de 10% du total) reçoivent un soutien approprié.</w:t>
      </w:r>
    </w:p>
    <w:p w:rsidR="00950D56" w:rsidRDefault="00950D56" w:rsidP="004710AD">
      <w:pPr>
        <w:widowControl w:val="0"/>
        <w:ind w:left="360"/>
        <w:jc w:val="both"/>
        <w:rPr>
          <w:b/>
          <w:sz w:val="22"/>
          <w:szCs w:val="22"/>
          <w:lang w:eastAsia="en-US"/>
        </w:rPr>
      </w:pPr>
    </w:p>
    <w:p w:rsidR="003B15C1" w:rsidRPr="00B7063F" w:rsidRDefault="003B15C1" w:rsidP="003B15C1">
      <w:pPr>
        <w:ind w:left="340"/>
        <w:contextualSpacing/>
        <w:jc w:val="both"/>
        <w:rPr>
          <w:rFonts w:cs="Arial"/>
          <w:sz w:val="22"/>
          <w:szCs w:val="22"/>
        </w:rPr>
      </w:pPr>
      <w:r>
        <w:rPr>
          <w:rFonts w:cs="Arial"/>
          <w:b/>
          <w:sz w:val="22"/>
          <w:szCs w:val="22"/>
        </w:rPr>
        <w:t>Axe d’a</w:t>
      </w:r>
      <w:r w:rsidRPr="00B7063F">
        <w:rPr>
          <w:rFonts w:cs="Arial"/>
          <w:b/>
          <w:sz w:val="22"/>
          <w:szCs w:val="22"/>
        </w:rPr>
        <w:t>ctivités</w:t>
      </w:r>
      <w:r>
        <w:rPr>
          <w:rFonts w:cs="Arial"/>
          <w:b/>
          <w:sz w:val="22"/>
          <w:szCs w:val="22"/>
        </w:rPr>
        <w:t xml:space="preserve"> 3</w:t>
      </w:r>
      <w:r w:rsidRPr="00B7063F">
        <w:rPr>
          <w:rFonts w:cs="Arial"/>
          <w:sz w:val="22"/>
          <w:szCs w:val="22"/>
        </w:rPr>
        <w:t>:</w:t>
      </w:r>
    </w:p>
    <w:p w:rsidR="003B15C1" w:rsidRPr="00B7063F" w:rsidRDefault="003B15C1" w:rsidP="003B15C1">
      <w:pPr>
        <w:numPr>
          <w:ilvl w:val="1"/>
          <w:numId w:val="26"/>
        </w:numPr>
        <w:contextualSpacing/>
        <w:jc w:val="both"/>
        <w:rPr>
          <w:rFonts w:cs="Arial"/>
          <w:sz w:val="22"/>
          <w:szCs w:val="22"/>
        </w:rPr>
      </w:pPr>
      <w:r w:rsidRPr="00B7063F">
        <w:rPr>
          <w:rFonts w:cs="Arial"/>
          <w:sz w:val="22"/>
          <w:szCs w:val="22"/>
        </w:rPr>
        <w:t>Surveiller le comportement et le bien-être de 1.829 jeunes</w:t>
      </w:r>
    </w:p>
    <w:p w:rsidR="003B15C1" w:rsidRPr="00B7063F" w:rsidRDefault="003B15C1" w:rsidP="003B15C1">
      <w:pPr>
        <w:numPr>
          <w:ilvl w:val="1"/>
          <w:numId w:val="26"/>
        </w:numPr>
        <w:contextualSpacing/>
        <w:jc w:val="both"/>
        <w:rPr>
          <w:rFonts w:cs="Arial"/>
          <w:sz w:val="22"/>
          <w:szCs w:val="22"/>
        </w:rPr>
      </w:pPr>
      <w:r w:rsidRPr="00B7063F">
        <w:rPr>
          <w:rFonts w:cs="Arial"/>
          <w:sz w:val="22"/>
          <w:szCs w:val="22"/>
        </w:rPr>
        <w:t>Identifier et traiter les cas de jeunes qui continuent d'avoir de graves problèmes de comportement (moins de 10% du total)</w:t>
      </w:r>
    </w:p>
    <w:p w:rsidR="003B15C1" w:rsidRPr="00B7063F" w:rsidRDefault="003B15C1" w:rsidP="003B15C1">
      <w:pPr>
        <w:numPr>
          <w:ilvl w:val="1"/>
          <w:numId w:val="26"/>
        </w:numPr>
        <w:contextualSpacing/>
        <w:jc w:val="both"/>
        <w:rPr>
          <w:rFonts w:cs="Arial"/>
          <w:sz w:val="22"/>
          <w:szCs w:val="22"/>
        </w:rPr>
      </w:pPr>
      <w:r w:rsidRPr="00B7063F">
        <w:rPr>
          <w:rFonts w:cs="Arial"/>
          <w:sz w:val="22"/>
          <w:szCs w:val="22"/>
        </w:rPr>
        <w:t>Réunifier les jeunes qui continuent à être séparés de leurs familles (moins de 10% du total)</w:t>
      </w:r>
    </w:p>
    <w:p w:rsidR="00DB589F" w:rsidRDefault="003B15C1" w:rsidP="003B15C1">
      <w:pPr>
        <w:numPr>
          <w:ilvl w:val="1"/>
          <w:numId w:val="26"/>
        </w:numPr>
        <w:contextualSpacing/>
        <w:jc w:val="both"/>
        <w:rPr>
          <w:rFonts w:cs="Arial"/>
          <w:sz w:val="22"/>
          <w:szCs w:val="22"/>
        </w:rPr>
      </w:pPr>
      <w:r w:rsidRPr="00B7063F">
        <w:rPr>
          <w:rFonts w:cs="Arial"/>
          <w:sz w:val="22"/>
          <w:szCs w:val="22"/>
        </w:rPr>
        <w:t>Soutenir 1.829 jeunes à s'engager dans les activités socio-récréatives, y compris: soutenir les maisons de jeunes à organiser des activités pour les jeunes pris en charge par le projet et d'autr</w:t>
      </w:r>
      <w:r w:rsidR="00DB589F">
        <w:rPr>
          <w:rFonts w:cs="Arial"/>
          <w:sz w:val="22"/>
          <w:szCs w:val="22"/>
        </w:rPr>
        <w:t>es jeunes dans les communautés</w:t>
      </w:r>
    </w:p>
    <w:p w:rsidR="003B15C1" w:rsidRPr="00B7063F" w:rsidRDefault="00DB589F" w:rsidP="003B15C1">
      <w:pPr>
        <w:numPr>
          <w:ilvl w:val="1"/>
          <w:numId w:val="26"/>
        </w:numPr>
        <w:contextualSpacing/>
        <w:jc w:val="both"/>
        <w:rPr>
          <w:rFonts w:cs="Arial"/>
          <w:sz w:val="22"/>
          <w:szCs w:val="22"/>
        </w:rPr>
      </w:pPr>
      <w:r>
        <w:rPr>
          <w:rFonts w:cs="Arial"/>
          <w:sz w:val="22"/>
          <w:szCs w:val="22"/>
        </w:rPr>
        <w:t>P</w:t>
      </w:r>
      <w:r w:rsidR="003B15C1" w:rsidRPr="00B7063F">
        <w:rPr>
          <w:rFonts w:cs="Arial"/>
          <w:sz w:val="22"/>
          <w:szCs w:val="22"/>
        </w:rPr>
        <w:t>roduire un film, donnant aux j</w:t>
      </w:r>
      <w:r w:rsidR="0064358A">
        <w:rPr>
          <w:rFonts w:cs="Arial"/>
          <w:sz w:val="22"/>
          <w:szCs w:val="22"/>
        </w:rPr>
        <w:t>eunes et d'autres acteurs locaux</w:t>
      </w:r>
      <w:r w:rsidR="003B15C1" w:rsidRPr="00B7063F">
        <w:rPr>
          <w:rFonts w:cs="Arial"/>
          <w:sz w:val="22"/>
          <w:szCs w:val="22"/>
        </w:rPr>
        <w:t xml:space="preserve"> l'occasion de raconter leurs histoires du processus de réintégration soutenu par le PBF. </w:t>
      </w:r>
    </w:p>
    <w:p w:rsidR="003B15C1" w:rsidRDefault="003B15C1" w:rsidP="0036668E">
      <w:pPr>
        <w:jc w:val="both"/>
        <w:rPr>
          <w:rFonts w:cs="Calibri"/>
        </w:rPr>
      </w:pPr>
    </w:p>
    <w:p w:rsidR="0036668E" w:rsidRDefault="0036668E" w:rsidP="0036668E">
      <w:pPr>
        <w:jc w:val="both"/>
        <w:rPr>
          <w:rFonts w:cs="Calibri"/>
        </w:rPr>
      </w:pPr>
      <w:r>
        <w:rPr>
          <w:rFonts w:cs="Calibri"/>
        </w:rPr>
        <w:t xml:space="preserve">A partir de janvier 2013, </w:t>
      </w:r>
      <w:r w:rsidR="0007284C">
        <w:rPr>
          <w:rFonts w:cs="Calibri"/>
        </w:rPr>
        <w:t xml:space="preserve">suite à l’incertitude sur la </w:t>
      </w:r>
      <w:r w:rsidR="00474681">
        <w:rPr>
          <w:rFonts w:cs="Calibri"/>
        </w:rPr>
        <w:t>poursuite</w:t>
      </w:r>
      <w:r w:rsidR="004F612B">
        <w:rPr>
          <w:rFonts w:cs="Calibri"/>
        </w:rPr>
        <w:t xml:space="preserve"> du financement du projet et à la baisse des effectifs de travailleurs sociaux, </w:t>
      </w:r>
      <w:r>
        <w:rPr>
          <w:rFonts w:cs="Calibri"/>
        </w:rPr>
        <w:t>une attention plus particul</w:t>
      </w:r>
      <w:r w:rsidR="00432BDA">
        <w:rPr>
          <w:rFonts w:cs="Calibri"/>
        </w:rPr>
        <w:t>ière à la prévention des tensions</w:t>
      </w:r>
      <w:r>
        <w:rPr>
          <w:rFonts w:cs="Calibri"/>
        </w:rPr>
        <w:t xml:space="preserve"> </w:t>
      </w:r>
      <w:r w:rsidR="004F612B">
        <w:rPr>
          <w:rFonts w:cs="Calibri"/>
        </w:rPr>
        <w:t>a été observée</w:t>
      </w:r>
      <w:r>
        <w:rPr>
          <w:rFonts w:cs="Calibri"/>
        </w:rPr>
        <w:t>. Les activités se sont concentré</w:t>
      </w:r>
      <w:r w:rsidR="00432BDA">
        <w:rPr>
          <w:rFonts w:cs="Calibri"/>
        </w:rPr>
        <w:t>e</w:t>
      </w:r>
      <w:r>
        <w:rPr>
          <w:rFonts w:cs="Calibri"/>
        </w:rPr>
        <w:t xml:space="preserve">s sur </w:t>
      </w:r>
      <w:r w:rsidR="00432BDA">
        <w:rPr>
          <w:rFonts w:cs="Calibri"/>
        </w:rPr>
        <w:t>les médiations familiales,</w:t>
      </w:r>
      <w:r>
        <w:rPr>
          <w:rFonts w:cs="Calibri"/>
        </w:rPr>
        <w:t xml:space="preserve"> le maintien des liens communautaires, les entretiens individuels </w:t>
      </w:r>
      <w:r w:rsidR="00432BDA">
        <w:rPr>
          <w:rFonts w:cs="Calibri"/>
        </w:rPr>
        <w:t>ou les groupes de paroles, etc.</w:t>
      </w:r>
    </w:p>
    <w:p w:rsidR="00432BDA" w:rsidRDefault="00432BDA" w:rsidP="0036668E">
      <w:pPr>
        <w:jc w:val="both"/>
        <w:rPr>
          <w:rFonts w:cs="Calibri"/>
        </w:rPr>
      </w:pPr>
    </w:p>
    <w:p w:rsidR="0036668E" w:rsidRDefault="004F612B" w:rsidP="0036668E">
      <w:pPr>
        <w:jc w:val="both"/>
        <w:rPr>
          <w:rFonts w:cs="Calibri"/>
        </w:rPr>
      </w:pPr>
      <w:r w:rsidRPr="004F612B">
        <w:rPr>
          <w:rFonts w:cs="Calibri"/>
        </w:rPr>
        <w:t xml:space="preserve">Des fiches d’intervention sociales et psychosociales comportant plusieurs paramètres (sensibilisation, gestion de conflits, médiation familiale, activités sportives, culturelles etc.) pour recueillir un maximum d’informations en lien avec les jeunes ont été mises en place par </w:t>
      </w:r>
      <w:r w:rsidR="00432BDA">
        <w:rPr>
          <w:rFonts w:cs="Calibri"/>
        </w:rPr>
        <w:t xml:space="preserve">le projet </w:t>
      </w:r>
      <w:r w:rsidRPr="004F612B">
        <w:rPr>
          <w:rFonts w:cs="Calibri"/>
        </w:rPr>
        <w:t xml:space="preserve">et remplies avec l’aide des travailleurs sociaux. </w:t>
      </w:r>
      <w:r w:rsidR="00432BDA">
        <w:rPr>
          <w:rFonts w:cs="Calibri"/>
        </w:rPr>
        <w:t>Ainsi, en lien avec les 2 ONG locales</w:t>
      </w:r>
      <w:r w:rsidR="0036668E" w:rsidRPr="0036668E">
        <w:rPr>
          <w:rFonts w:cs="Calibri"/>
        </w:rPr>
        <w:t xml:space="preserve">, ces fiches ont été utilisées progressivement sur le terrain. Les conseillers d’éducation des centres de formation - étant en contact régulier avec les jeunes </w:t>
      </w:r>
      <w:r w:rsidR="00432BDA">
        <w:rPr>
          <w:rFonts w:cs="Calibri"/>
        </w:rPr>
        <w:t>–</w:t>
      </w:r>
      <w:r w:rsidR="0036668E" w:rsidRPr="0036668E">
        <w:rPr>
          <w:rFonts w:cs="Calibri"/>
        </w:rPr>
        <w:t xml:space="preserve"> </w:t>
      </w:r>
      <w:r w:rsidR="00432BDA">
        <w:rPr>
          <w:rFonts w:cs="Calibri"/>
        </w:rPr>
        <w:t xml:space="preserve">ont </w:t>
      </w:r>
      <w:r w:rsidR="0036668E" w:rsidRPr="0036668E">
        <w:rPr>
          <w:rFonts w:cs="Calibri"/>
        </w:rPr>
        <w:t>constitu</w:t>
      </w:r>
      <w:r w:rsidR="00432BDA">
        <w:rPr>
          <w:rFonts w:cs="Calibri"/>
        </w:rPr>
        <w:t>é</w:t>
      </w:r>
      <w:r w:rsidR="0036668E" w:rsidRPr="0036668E">
        <w:rPr>
          <w:rFonts w:cs="Calibri"/>
        </w:rPr>
        <w:t xml:space="preserve"> les personnes de référence au sein des centres de formation avec qui les assistants de projet et les travailleurs sociaux des ONG locales partenaires échange</w:t>
      </w:r>
      <w:r w:rsidR="000B0D45">
        <w:rPr>
          <w:rFonts w:cs="Calibri"/>
        </w:rPr>
        <w:t>aie</w:t>
      </w:r>
      <w:r w:rsidR="0036668E" w:rsidRPr="0036668E">
        <w:rPr>
          <w:rFonts w:cs="Calibri"/>
        </w:rPr>
        <w:t>nt régulièrement.</w:t>
      </w:r>
    </w:p>
    <w:p w:rsidR="00432BDA" w:rsidRPr="0036668E" w:rsidRDefault="00432BDA" w:rsidP="0036668E">
      <w:pPr>
        <w:jc w:val="both"/>
        <w:rPr>
          <w:rFonts w:cs="Calibri"/>
        </w:rPr>
      </w:pPr>
    </w:p>
    <w:p w:rsidR="0036668E" w:rsidRDefault="0036668E" w:rsidP="005C6D88">
      <w:pPr>
        <w:jc w:val="both"/>
        <w:rPr>
          <w:rFonts w:cs="Calibri"/>
        </w:rPr>
      </w:pPr>
      <w:r w:rsidRPr="0036668E">
        <w:rPr>
          <w:rFonts w:cs="Calibri"/>
        </w:rPr>
        <w:t xml:space="preserve">L’établissement de ce cadre de communication entre </w:t>
      </w:r>
      <w:r w:rsidR="00432BDA">
        <w:rPr>
          <w:rFonts w:cs="Calibri"/>
        </w:rPr>
        <w:t xml:space="preserve">le projet, en particulier entre </w:t>
      </w:r>
      <w:r w:rsidRPr="0036668E">
        <w:rPr>
          <w:rFonts w:cs="Calibri"/>
        </w:rPr>
        <w:t>les travailleurs sociaux et les centres à travers les conseillers à l’éducation a permis de repérer et de suivre tous les cas qui demandaient un suivi de proximité (exemple : jeune irrégulier au centre de formation, mauvaise attitude envers les professeurs, consommation abusive d’alcool entre autres). Seize cas ont ét</w:t>
      </w:r>
      <w:r w:rsidR="0007284C">
        <w:rPr>
          <w:rFonts w:cs="Calibri"/>
        </w:rPr>
        <w:t xml:space="preserve">é identifiés et suivis dont deux à Kérouané, six à Macenta, six à </w:t>
      </w:r>
      <w:proofErr w:type="spellStart"/>
      <w:r w:rsidR="0007284C">
        <w:rPr>
          <w:rFonts w:cs="Calibri"/>
        </w:rPr>
        <w:t>Guéckédou</w:t>
      </w:r>
      <w:proofErr w:type="spellEnd"/>
      <w:r w:rsidR="0007284C">
        <w:rPr>
          <w:rFonts w:cs="Calibri"/>
        </w:rPr>
        <w:t xml:space="preserve"> et deux</w:t>
      </w:r>
      <w:r w:rsidRPr="0036668E">
        <w:rPr>
          <w:rFonts w:cs="Calibri"/>
        </w:rPr>
        <w:t xml:space="preserve"> à </w:t>
      </w:r>
      <w:r w:rsidR="00920E4B" w:rsidRPr="0036668E">
        <w:rPr>
          <w:rFonts w:cs="Calibri"/>
        </w:rPr>
        <w:t>Nzérékoré</w:t>
      </w:r>
      <w:r w:rsidRPr="0036668E">
        <w:rPr>
          <w:rFonts w:cs="Calibri"/>
        </w:rPr>
        <w:t>. Avec le suivi et les sensibilisations ces jeunes ont tous graduellement abandonné ces comportements.</w:t>
      </w:r>
    </w:p>
    <w:p w:rsidR="00432BDA" w:rsidRDefault="00432BDA" w:rsidP="005C6D88">
      <w:pPr>
        <w:jc w:val="both"/>
        <w:rPr>
          <w:rFonts w:cs="Calibri"/>
        </w:rPr>
      </w:pPr>
    </w:p>
    <w:p w:rsidR="0036668E" w:rsidRPr="00D73C50" w:rsidRDefault="0036668E" w:rsidP="005C6D88">
      <w:pPr>
        <w:jc w:val="both"/>
        <w:rPr>
          <w:rFonts w:cs="Calibri"/>
        </w:rPr>
      </w:pPr>
      <w:r w:rsidRPr="00D73C50">
        <w:rPr>
          <w:rFonts w:cs="Calibri"/>
        </w:rPr>
        <w:t xml:space="preserve">Le suivi des jeunes dans </w:t>
      </w:r>
      <w:r>
        <w:rPr>
          <w:rFonts w:cs="Calibri"/>
        </w:rPr>
        <w:t>les</w:t>
      </w:r>
      <w:r w:rsidRPr="00D73C50">
        <w:rPr>
          <w:rFonts w:cs="Calibri"/>
        </w:rPr>
        <w:t xml:space="preserve"> familles ainsi que ceux qui habitaient en colocation a été effectué par les travailleurs sociaux avec un </w:t>
      </w:r>
      <w:r w:rsidR="000B0D45">
        <w:rPr>
          <w:rFonts w:cs="Calibri"/>
        </w:rPr>
        <w:t>accompagnement des assistants du</w:t>
      </w:r>
      <w:r w:rsidRPr="00D73C50">
        <w:rPr>
          <w:rFonts w:cs="Calibri"/>
        </w:rPr>
        <w:t xml:space="preserve"> projet, surtout dans la résolution de certains conflits entre jeunes bénéficiaires et d’autres jeunes </w:t>
      </w:r>
      <w:r>
        <w:rPr>
          <w:rFonts w:cs="Calibri"/>
        </w:rPr>
        <w:t>ou avec</w:t>
      </w:r>
      <w:r w:rsidRPr="00D73C50">
        <w:rPr>
          <w:rFonts w:cs="Calibri"/>
        </w:rPr>
        <w:t xml:space="preserve"> leur famille d’accueil</w:t>
      </w:r>
      <w:r>
        <w:rPr>
          <w:rFonts w:cs="Calibri"/>
        </w:rPr>
        <w:t>, ainsi que suivi de cas individuel</w:t>
      </w:r>
      <w:r w:rsidRPr="00D73C50">
        <w:rPr>
          <w:rFonts w:cs="Calibri"/>
        </w:rPr>
        <w:t xml:space="preserve">. </w:t>
      </w:r>
      <w:r>
        <w:rPr>
          <w:rFonts w:cs="Calibri"/>
        </w:rPr>
        <w:t xml:space="preserve">Par exemple, </w:t>
      </w:r>
      <w:r w:rsidRPr="00D73C50">
        <w:rPr>
          <w:rFonts w:cs="Calibri"/>
        </w:rPr>
        <w:t>le cas d’une jeune fille inscrite au CFP</w:t>
      </w:r>
      <w:r>
        <w:rPr>
          <w:rFonts w:cs="Calibri"/>
        </w:rPr>
        <w:t xml:space="preserve">PP de Kérouané qui faisait des </w:t>
      </w:r>
      <w:r w:rsidRPr="00D73C50">
        <w:rPr>
          <w:rFonts w:cs="Calibri"/>
        </w:rPr>
        <w:t xml:space="preserve">promenades nocturnes, </w:t>
      </w:r>
      <w:r>
        <w:rPr>
          <w:rFonts w:cs="Calibri"/>
        </w:rPr>
        <w:t>et</w:t>
      </w:r>
      <w:r w:rsidRPr="00D73C50">
        <w:rPr>
          <w:rFonts w:cs="Calibri"/>
        </w:rPr>
        <w:t xml:space="preserve"> d’un autre jeune et son tuteur </w:t>
      </w:r>
      <w:r>
        <w:rPr>
          <w:rFonts w:cs="Calibri"/>
        </w:rPr>
        <w:t xml:space="preserve">qui n’avait pas un accord </w:t>
      </w:r>
      <w:r w:rsidRPr="00D73C50">
        <w:rPr>
          <w:rFonts w:cs="Calibri"/>
        </w:rPr>
        <w:t>sur la gestion des vivres.</w:t>
      </w:r>
    </w:p>
    <w:p w:rsidR="000B0D45" w:rsidRDefault="000B0D45" w:rsidP="005C6D88">
      <w:pPr>
        <w:jc w:val="both"/>
        <w:rPr>
          <w:rFonts w:cs="Calibri"/>
        </w:rPr>
      </w:pPr>
    </w:p>
    <w:p w:rsidR="004F612B" w:rsidRDefault="0036668E" w:rsidP="005C6D88">
      <w:pPr>
        <w:jc w:val="both"/>
        <w:rPr>
          <w:rFonts w:cs="Calibri"/>
        </w:rPr>
      </w:pPr>
      <w:r w:rsidRPr="00D73C50">
        <w:rPr>
          <w:rFonts w:cs="Calibri"/>
        </w:rPr>
        <w:t>A</w:t>
      </w:r>
      <w:r>
        <w:rPr>
          <w:rFonts w:cs="Calibri"/>
        </w:rPr>
        <w:t>fin de</w:t>
      </w:r>
      <w:r w:rsidRPr="00D73C50">
        <w:rPr>
          <w:rFonts w:cs="Calibri"/>
        </w:rPr>
        <w:t xml:space="preserve"> renforcer les liens entre les jeunes bénéficiaires et les autres jeunes des communautés, des séances de sensibilisation</w:t>
      </w:r>
      <w:r>
        <w:rPr>
          <w:rFonts w:cs="Calibri"/>
        </w:rPr>
        <w:t>,</w:t>
      </w:r>
      <w:r w:rsidRPr="00D73C50">
        <w:rPr>
          <w:rFonts w:cs="Calibri"/>
        </w:rPr>
        <w:t xml:space="preserve"> groupe</w:t>
      </w:r>
      <w:r>
        <w:rPr>
          <w:rFonts w:cs="Calibri"/>
        </w:rPr>
        <w:t>s</w:t>
      </w:r>
      <w:r w:rsidRPr="00D73C50">
        <w:rPr>
          <w:rFonts w:cs="Calibri"/>
        </w:rPr>
        <w:t xml:space="preserve"> de parole et des causeries éducatives </w:t>
      </w:r>
      <w:r>
        <w:rPr>
          <w:rFonts w:cs="Calibri"/>
        </w:rPr>
        <w:t>ont été réalisé</w:t>
      </w:r>
      <w:r w:rsidRPr="00D73C50">
        <w:rPr>
          <w:rFonts w:cs="Calibri"/>
        </w:rPr>
        <w:t>s par les ONG conformé</w:t>
      </w:r>
      <w:r>
        <w:rPr>
          <w:rFonts w:cs="Calibri"/>
        </w:rPr>
        <w:t>me</w:t>
      </w:r>
      <w:r w:rsidRPr="00D73C50">
        <w:rPr>
          <w:rFonts w:cs="Calibri"/>
        </w:rPr>
        <w:t>nt à leur</w:t>
      </w:r>
      <w:r>
        <w:rPr>
          <w:rFonts w:cs="Calibri"/>
        </w:rPr>
        <w:t>s</w:t>
      </w:r>
      <w:r w:rsidRPr="00D73C50">
        <w:rPr>
          <w:rFonts w:cs="Calibri"/>
        </w:rPr>
        <w:t xml:space="preserve"> plan</w:t>
      </w:r>
      <w:r>
        <w:rPr>
          <w:rFonts w:cs="Calibri"/>
        </w:rPr>
        <w:t>s</w:t>
      </w:r>
      <w:r w:rsidRPr="00D73C50">
        <w:rPr>
          <w:rFonts w:cs="Calibri"/>
        </w:rPr>
        <w:t xml:space="preserve"> d’action sur les thématiques de VIH/Sida, la citoyenneté, droits et devoirs du citoyen, prévention et gestion pacifique des conflits etc. </w:t>
      </w:r>
    </w:p>
    <w:p w:rsidR="005C6D88" w:rsidRDefault="005C6D88" w:rsidP="005C6D88">
      <w:pPr>
        <w:jc w:val="both"/>
        <w:rPr>
          <w:rFonts w:cs="Calibri"/>
        </w:rPr>
      </w:pPr>
      <w:r w:rsidRPr="005C6D88">
        <w:rPr>
          <w:rFonts w:cs="Calibri"/>
        </w:rPr>
        <w:lastRenderedPageBreak/>
        <w:t>Dans les communautés d’origines, les travailleurs sociaux se sont attelés au maintien des contacts entre les différentes familles d’origines et les jeunes pendant la formation par i) la transmission des messages en provenance soit des jeunes ou soit des familles, ii) l’aide du téléphone, iii) lettre et message par personne interposée dans les zones non-couverte par un réseau téléphonique.</w:t>
      </w:r>
    </w:p>
    <w:p w:rsidR="000B0D45" w:rsidRDefault="000B0D45" w:rsidP="005C6D88">
      <w:pPr>
        <w:jc w:val="both"/>
        <w:rPr>
          <w:rFonts w:cs="Calibri"/>
        </w:rPr>
      </w:pPr>
    </w:p>
    <w:p w:rsidR="00E8638A" w:rsidRPr="005C6D88" w:rsidRDefault="00E8638A" w:rsidP="00E8638A">
      <w:pPr>
        <w:jc w:val="both"/>
        <w:rPr>
          <w:rFonts w:cs="Calibri"/>
        </w:rPr>
      </w:pPr>
      <w:r>
        <w:rPr>
          <w:rFonts w:cs="Calibri"/>
        </w:rPr>
        <w:t xml:space="preserve">Pour la rentrée 2013-2014, ce </w:t>
      </w:r>
      <w:r w:rsidRPr="00551486">
        <w:rPr>
          <w:rFonts w:cs="Calibri"/>
        </w:rPr>
        <w:t xml:space="preserve">sont trente travailleurs sociaux </w:t>
      </w:r>
      <w:r>
        <w:rPr>
          <w:rFonts w:cs="Calibri"/>
        </w:rPr>
        <w:t>et six</w:t>
      </w:r>
      <w:r w:rsidRPr="00E8638A">
        <w:rPr>
          <w:rFonts w:cs="Calibri"/>
        </w:rPr>
        <w:t xml:space="preserve"> superviseurs </w:t>
      </w:r>
      <w:r>
        <w:rPr>
          <w:rFonts w:cs="Calibri"/>
        </w:rPr>
        <w:t xml:space="preserve">qui </w:t>
      </w:r>
      <w:r w:rsidRPr="00E8638A">
        <w:rPr>
          <w:rFonts w:cs="Calibri"/>
        </w:rPr>
        <w:t xml:space="preserve">ont accompagné </w:t>
      </w:r>
      <w:r>
        <w:rPr>
          <w:rFonts w:cs="Calibri"/>
        </w:rPr>
        <w:t xml:space="preserve">les </w:t>
      </w:r>
      <w:r w:rsidR="00221499">
        <w:rPr>
          <w:rFonts w:cs="Calibri"/>
        </w:rPr>
        <w:t>714</w:t>
      </w:r>
      <w:r w:rsidRPr="00E8638A">
        <w:rPr>
          <w:rFonts w:cs="Calibri"/>
        </w:rPr>
        <w:t xml:space="preserve"> jeunes </w:t>
      </w:r>
      <w:r>
        <w:rPr>
          <w:rFonts w:cs="Calibri"/>
        </w:rPr>
        <w:t>qui ont déjà effectué leur rentrée dans les centres de formations</w:t>
      </w:r>
      <w:r w:rsidRPr="00E8638A">
        <w:rPr>
          <w:rFonts w:cs="Calibri"/>
        </w:rPr>
        <w:t>.</w:t>
      </w:r>
      <w:r>
        <w:rPr>
          <w:rFonts w:cs="Calibri"/>
        </w:rPr>
        <w:t xml:space="preserve"> Le travail de</w:t>
      </w:r>
      <w:r w:rsidRPr="00E8638A">
        <w:rPr>
          <w:rFonts w:cs="Calibri"/>
        </w:rPr>
        <w:t xml:space="preserve"> terrain a permis </w:t>
      </w:r>
      <w:r>
        <w:rPr>
          <w:rFonts w:cs="Calibri"/>
        </w:rPr>
        <w:t xml:space="preserve">de répondre aux interrogations et </w:t>
      </w:r>
      <w:r w:rsidRPr="00E8638A">
        <w:rPr>
          <w:rFonts w:cs="Calibri"/>
        </w:rPr>
        <w:t>d’atténuer les tensions chez les jeunes provoquées par le</w:t>
      </w:r>
      <w:r>
        <w:rPr>
          <w:rFonts w:cs="Calibri"/>
        </w:rPr>
        <w:t xml:space="preserve"> changement de partenaires de mise en œuvre du projet </w:t>
      </w:r>
      <w:r w:rsidRPr="00E8638A">
        <w:rPr>
          <w:rFonts w:cs="Calibri"/>
        </w:rPr>
        <w:t xml:space="preserve">à </w:t>
      </w:r>
      <w:r>
        <w:rPr>
          <w:rFonts w:cs="Calibri"/>
        </w:rPr>
        <w:t xml:space="preserve">Nzérékoré et à Conakry. </w:t>
      </w:r>
      <w:r w:rsidR="0007284C">
        <w:rPr>
          <w:rFonts w:cs="Calibri"/>
        </w:rPr>
        <w:t xml:space="preserve">3 cas de consommations de substances addictives ont été répertoriés et traités. </w:t>
      </w:r>
    </w:p>
    <w:p w:rsidR="005C6D88" w:rsidRDefault="005C6D88" w:rsidP="0036668E">
      <w:pPr>
        <w:jc w:val="both"/>
        <w:rPr>
          <w:rFonts w:cs="Calibri"/>
        </w:rPr>
      </w:pPr>
    </w:p>
    <w:p w:rsidR="0007284C" w:rsidRDefault="00225E6B" w:rsidP="0036668E">
      <w:pPr>
        <w:jc w:val="both"/>
        <w:rPr>
          <w:rFonts w:cs="Calibri"/>
        </w:rPr>
      </w:pPr>
      <w:r>
        <w:rPr>
          <w:noProof/>
          <w:lang w:val="en-US" w:eastAsia="en-US"/>
        </w:rPr>
        <mc:AlternateContent>
          <mc:Choice Requires="wps">
            <w:drawing>
              <wp:anchor distT="0" distB="0" distL="114300" distR="114300" simplePos="0" relativeHeight="251666944" behindDoc="0" locked="0" layoutInCell="1" allowOverlap="1" wp14:anchorId="54E34C3A" wp14:editId="2EF03645">
                <wp:simplePos x="0" y="0"/>
                <wp:positionH relativeFrom="column">
                  <wp:posOffset>2540</wp:posOffset>
                </wp:positionH>
                <wp:positionV relativeFrom="paragraph">
                  <wp:posOffset>1964055</wp:posOffset>
                </wp:positionV>
                <wp:extent cx="3771900" cy="635"/>
                <wp:effectExtent l="0" t="0" r="0" b="8255"/>
                <wp:wrapThrough wrapText="bothSides">
                  <wp:wrapPolygon edited="0">
                    <wp:start x="0" y="0"/>
                    <wp:lineTo x="0" y="20698"/>
                    <wp:lineTo x="21491" y="20698"/>
                    <wp:lineTo x="21491" y="0"/>
                    <wp:lineTo x="0" y="0"/>
                  </wp:wrapPolygon>
                </wp:wrapThrough>
                <wp:docPr id="13" name="Text Box 13"/>
                <wp:cNvGraphicFramePr/>
                <a:graphic xmlns:a="http://schemas.openxmlformats.org/drawingml/2006/main">
                  <a:graphicData uri="http://schemas.microsoft.com/office/word/2010/wordprocessingShape">
                    <wps:wsp>
                      <wps:cNvSpPr txBox="1"/>
                      <wps:spPr>
                        <a:xfrm>
                          <a:off x="0" y="0"/>
                          <a:ext cx="3771900" cy="635"/>
                        </a:xfrm>
                        <a:prstGeom prst="rect">
                          <a:avLst/>
                        </a:prstGeom>
                        <a:solidFill>
                          <a:prstClr val="white"/>
                        </a:solidFill>
                        <a:ln>
                          <a:noFill/>
                        </a:ln>
                        <a:effectLst/>
                      </wps:spPr>
                      <wps:txbx>
                        <w:txbxContent>
                          <w:p w:rsidR="007320CA" w:rsidRPr="0000366B" w:rsidRDefault="007320CA" w:rsidP="00B3500B">
                            <w:pPr>
                              <w:pStyle w:val="Caption"/>
                              <w:jc w:val="center"/>
                              <w:rPr>
                                <w:rFonts w:cs="Calibri"/>
                                <w:noProof/>
                                <w:sz w:val="24"/>
                                <w:szCs w:val="24"/>
                              </w:rPr>
                            </w:pPr>
                            <w:r>
                              <w:t>Elèves du CFP de Kankan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54E34C3A" id="Text Box 13" o:spid="_x0000_s1028" type="#_x0000_t202" style="position:absolute;left:0;text-align:left;margin-left:.2pt;margin-top:154.65pt;width:297pt;height:.0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" stroked="f">
                <v:textbox style="mso-fit-shape-to-text:t" inset="0,0,0,0">
                  <w:txbxContent>
                    <w:p w:rsidR="007320CA" w:rsidRPr="0000366B" w:rsidRDefault="007320CA" w:rsidP="00B3500B">
                      <w:pPr>
                        <w:pStyle w:val="Caption"/>
                        <w:jc w:val="center"/>
                        <w:rPr>
                          <w:rFonts w:cs="Calibri"/>
                          <w:noProof/>
                          <w:sz w:val="24"/>
                          <w:szCs w:val="24"/>
                        </w:rPr>
                      </w:pPr>
                      <w:r>
                        <w:t>Elèves du CFP de Kankan</w:t>
                      </w:r>
                    </w:p>
                  </w:txbxContent>
                </v:textbox>
                <w10:wrap type="through"/>
              </v:shape>
            </w:pict>
          </mc:Fallback>
        </mc:AlternateContent>
      </w:r>
      <w:r>
        <w:rPr>
          <w:rFonts w:cs="Calibri"/>
          <w:noProof/>
          <w:lang w:val="en-US" w:eastAsia="en-US"/>
        </w:rPr>
        <w:drawing>
          <wp:anchor distT="0" distB="0" distL="114300" distR="114300" simplePos="0" relativeHeight="251664896" behindDoc="1" locked="0" layoutInCell="1" allowOverlap="1" wp14:anchorId="578257CF" wp14:editId="3E6F74DE">
            <wp:simplePos x="0" y="0"/>
            <wp:positionH relativeFrom="column">
              <wp:posOffset>2540</wp:posOffset>
            </wp:positionH>
            <wp:positionV relativeFrom="paragraph">
              <wp:posOffset>-607695</wp:posOffset>
            </wp:positionV>
            <wp:extent cx="3771900" cy="2505075"/>
            <wp:effectExtent l="0" t="0" r="0" b="9525"/>
            <wp:wrapThrough wrapText="bothSides">
              <wp:wrapPolygon edited="0">
                <wp:start x="0" y="0"/>
                <wp:lineTo x="0" y="21518"/>
                <wp:lineTo x="21491" y="21518"/>
                <wp:lineTo x="21491" y="0"/>
                <wp:lineTo x="0" y="0"/>
              </wp:wrapPolygon>
            </wp:wrapThrough>
            <wp:docPr id="12" name="Picture 12" descr="C:\Users\jdubois\Desktop\Unicef\PBF ex Kaléah\photos\kankan 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dubois\Desktop\Unicef\PBF ex Kaléah\photos\kankan 03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71900" cy="250507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68E">
        <w:rPr>
          <w:rFonts w:cs="Calibri"/>
        </w:rPr>
        <w:t xml:space="preserve">Par ailleurs, </w:t>
      </w:r>
      <w:r w:rsidR="004F612B">
        <w:rPr>
          <w:rFonts w:cs="Calibri"/>
        </w:rPr>
        <w:t>l’</w:t>
      </w:r>
      <w:r w:rsidR="0036668E">
        <w:rPr>
          <w:rFonts w:cs="Calibri"/>
        </w:rPr>
        <w:t>UNICEF a fait une donation à la maison des jeunes de Kankan et Kérouané, ainsi</w:t>
      </w:r>
      <w:r w:rsidR="00920E4B">
        <w:rPr>
          <w:rFonts w:cs="Calibri"/>
        </w:rPr>
        <w:t xml:space="preserve"> qu’au CFP de Kankan et au CFPP</w:t>
      </w:r>
      <w:r w:rsidR="0036668E">
        <w:rPr>
          <w:rFonts w:cs="Calibri"/>
        </w:rPr>
        <w:t xml:space="preserve"> de Kérouané durant le premier trimestre 2013. Le matériel donné </w:t>
      </w:r>
      <w:r w:rsidR="004F612B">
        <w:rPr>
          <w:rFonts w:cs="Calibri"/>
        </w:rPr>
        <w:t>concernait les équipements de base</w:t>
      </w:r>
      <w:r w:rsidR="0058052B">
        <w:rPr>
          <w:rFonts w:cs="Calibri"/>
        </w:rPr>
        <w:t xml:space="preserve"> pour l’organisation d’évènements culturels et sportifs (chaine musicale, groupe électrogène, chaises, équipements pour le football, handball, volleyball et basketball). Ces équipements doivent s</w:t>
      </w:r>
      <w:r w:rsidR="0058052B" w:rsidRPr="0058052B">
        <w:rPr>
          <w:rFonts w:cs="Calibri"/>
        </w:rPr>
        <w:t xml:space="preserve">outenir </w:t>
      </w:r>
      <w:r w:rsidR="0058052B">
        <w:rPr>
          <w:rFonts w:cs="Calibri"/>
        </w:rPr>
        <w:t xml:space="preserve">les </w:t>
      </w:r>
      <w:r w:rsidR="0058052B" w:rsidRPr="0058052B">
        <w:rPr>
          <w:rFonts w:cs="Calibri"/>
        </w:rPr>
        <w:t>1.829 jeunes à s'engager dans l</w:t>
      </w:r>
      <w:r w:rsidR="0058052B">
        <w:rPr>
          <w:rFonts w:cs="Calibri"/>
        </w:rPr>
        <w:t xml:space="preserve">es activités socio-récréatives ainsi que </w:t>
      </w:r>
      <w:r w:rsidR="0058052B" w:rsidRPr="0058052B">
        <w:rPr>
          <w:rFonts w:cs="Calibri"/>
        </w:rPr>
        <w:t>d'autr</w:t>
      </w:r>
      <w:r w:rsidR="0058052B">
        <w:rPr>
          <w:rFonts w:cs="Calibri"/>
        </w:rPr>
        <w:t>es jeunes dans les communautés. De fait,</w:t>
      </w:r>
      <w:r w:rsidR="0058052B" w:rsidRPr="0058052B">
        <w:rPr>
          <w:rFonts w:cs="Calibri"/>
        </w:rPr>
        <w:t xml:space="preserve"> cinq matchs de football ont été organisés durant ce premier semestre 2013, à </w:t>
      </w:r>
      <w:r w:rsidR="00920E4B" w:rsidRPr="0058052B">
        <w:rPr>
          <w:rFonts w:cs="Calibri"/>
        </w:rPr>
        <w:t>Nzérékoré</w:t>
      </w:r>
      <w:r w:rsidR="0058052B" w:rsidRPr="0058052B">
        <w:rPr>
          <w:rFonts w:cs="Calibri"/>
        </w:rPr>
        <w:t xml:space="preserve"> (2), à Macenta (2) et à Kérouané (1) par le partenaire ARC PN ont regroupés un total de 1 515 jeunes (bénéficiaires et communautés d’accueil).</w:t>
      </w:r>
    </w:p>
    <w:p w:rsidR="000B0D45" w:rsidRDefault="000B0D45" w:rsidP="0036668E">
      <w:pPr>
        <w:jc w:val="both"/>
        <w:rPr>
          <w:rFonts w:cs="Calibri"/>
        </w:rPr>
      </w:pPr>
    </w:p>
    <w:p w:rsidR="0036668E" w:rsidRDefault="0007284C" w:rsidP="0036668E">
      <w:pPr>
        <w:jc w:val="both"/>
        <w:rPr>
          <w:rFonts w:cs="Calibri"/>
        </w:rPr>
      </w:pPr>
      <w:r>
        <w:rPr>
          <w:rFonts w:cs="Calibri"/>
        </w:rPr>
        <w:t xml:space="preserve">Pour le deuxième semestre 2013, 22 activités socio-récréatives ont été menées avec les jeunes en formation. </w:t>
      </w:r>
      <w:r w:rsidR="0058052B">
        <w:rPr>
          <w:rFonts w:cs="Calibri"/>
        </w:rPr>
        <w:t xml:space="preserve">Par contre, la production d’un film </w:t>
      </w:r>
      <w:r w:rsidR="0058052B" w:rsidRPr="0058052B">
        <w:rPr>
          <w:rFonts w:cs="Calibri"/>
        </w:rPr>
        <w:t>donnant aux j</w:t>
      </w:r>
      <w:r w:rsidR="0058052B">
        <w:rPr>
          <w:rFonts w:cs="Calibri"/>
        </w:rPr>
        <w:t>eunes et d'autres acteurs locaux</w:t>
      </w:r>
      <w:r w:rsidR="0058052B" w:rsidRPr="0058052B">
        <w:rPr>
          <w:rFonts w:cs="Calibri"/>
        </w:rPr>
        <w:t xml:space="preserve"> l'occasion de raconter leurs histoires du processus de réintégration soutenu par le PBF</w:t>
      </w:r>
      <w:r w:rsidR="0058052B">
        <w:rPr>
          <w:rFonts w:cs="Calibri"/>
        </w:rPr>
        <w:t xml:space="preserve"> n’a pu être réalisée</w:t>
      </w:r>
      <w:r w:rsidR="000B0D45">
        <w:rPr>
          <w:rFonts w:cs="Calibri"/>
        </w:rPr>
        <w:t>,</w:t>
      </w:r>
      <w:r w:rsidR="0058052B">
        <w:rPr>
          <w:rFonts w:cs="Calibri"/>
        </w:rPr>
        <w:t xml:space="preserve"> faut</w:t>
      </w:r>
      <w:r w:rsidR="007F0E38">
        <w:rPr>
          <w:rFonts w:cs="Calibri"/>
        </w:rPr>
        <w:t>e</w:t>
      </w:r>
      <w:r w:rsidR="0058052B">
        <w:rPr>
          <w:rFonts w:cs="Calibri"/>
        </w:rPr>
        <w:t xml:space="preserve"> de moyens suffisants</w:t>
      </w:r>
      <w:r w:rsidR="0058052B" w:rsidRPr="0058052B">
        <w:rPr>
          <w:rFonts w:cs="Calibri"/>
        </w:rPr>
        <w:t>.</w:t>
      </w:r>
    </w:p>
    <w:p w:rsidR="0036668E" w:rsidRPr="00D73C50" w:rsidRDefault="0036668E" w:rsidP="0036668E">
      <w:pPr>
        <w:jc w:val="both"/>
        <w:rPr>
          <w:rFonts w:cs="Calibri"/>
        </w:rPr>
      </w:pPr>
    </w:p>
    <w:p w:rsidR="00E8638A" w:rsidRDefault="00E8638A" w:rsidP="0036668E">
      <w:pPr>
        <w:jc w:val="both"/>
        <w:rPr>
          <w:rFonts w:cs="Calibri"/>
        </w:rPr>
      </w:pPr>
      <w:r>
        <w:rPr>
          <w:rFonts w:cs="Calibri"/>
        </w:rPr>
        <w:t>Toutes les activités menées pour que les</w:t>
      </w:r>
      <w:r w:rsidRPr="00E8638A">
        <w:rPr>
          <w:rFonts w:cs="Calibri"/>
        </w:rPr>
        <w:t xml:space="preserve"> jeunes reçoivent un so</w:t>
      </w:r>
      <w:r>
        <w:rPr>
          <w:rFonts w:cs="Calibri"/>
        </w:rPr>
        <w:t>utien psychosocial et affectif ont permis de diminuer les troubles du comportement des jeunes. Déjà, à</w:t>
      </w:r>
      <w:r w:rsidR="0036668E" w:rsidRPr="0036668E">
        <w:rPr>
          <w:rFonts w:cs="Calibri"/>
        </w:rPr>
        <w:t xml:space="preserve"> partir de la rentrée scolaire 2012 – 2013, une nette baisse des troubles du comportement et d</w:t>
      </w:r>
      <w:r>
        <w:rPr>
          <w:rFonts w:cs="Calibri"/>
        </w:rPr>
        <w:t>’agressivité envers un tiers a</w:t>
      </w:r>
      <w:r w:rsidR="0036668E" w:rsidRPr="0036668E">
        <w:rPr>
          <w:rFonts w:cs="Calibri"/>
        </w:rPr>
        <w:t xml:space="preserve"> été noté</w:t>
      </w:r>
      <w:r>
        <w:rPr>
          <w:rFonts w:cs="Calibri"/>
        </w:rPr>
        <w:t>e</w:t>
      </w:r>
      <w:r w:rsidR="0036668E" w:rsidRPr="0036668E">
        <w:rPr>
          <w:rFonts w:cs="Calibri"/>
        </w:rPr>
        <w:t xml:space="preserve">. </w:t>
      </w:r>
      <w:r>
        <w:rPr>
          <w:rFonts w:cs="Calibri"/>
        </w:rPr>
        <w:t xml:space="preserve">Pour la rentrée 2013-2014, ce ne sont que quelques cas </w:t>
      </w:r>
      <w:r w:rsidRPr="00E8638A">
        <w:rPr>
          <w:rFonts w:cs="Calibri"/>
        </w:rPr>
        <w:t>de trouble</w:t>
      </w:r>
      <w:r w:rsidR="00221499">
        <w:rPr>
          <w:rFonts w:cs="Calibri"/>
        </w:rPr>
        <w:t>s du comportement</w:t>
      </w:r>
      <w:r w:rsidRPr="00E8638A">
        <w:rPr>
          <w:rFonts w:cs="Calibri"/>
        </w:rPr>
        <w:t xml:space="preserve"> chez certains jeunes</w:t>
      </w:r>
      <w:r w:rsidR="00AE7679">
        <w:rPr>
          <w:rFonts w:cs="Calibri"/>
        </w:rPr>
        <w:t xml:space="preserve"> qui ont été recensé</w:t>
      </w:r>
      <w:r>
        <w:rPr>
          <w:rFonts w:cs="Calibri"/>
        </w:rPr>
        <w:t>s (</w:t>
      </w:r>
      <w:r w:rsidR="00AE7679">
        <w:rPr>
          <w:rFonts w:cs="Calibri"/>
        </w:rPr>
        <w:t xml:space="preserve">trois cas </w:t>
      </w:r>
      <w:r>
        <w:rPr>
          <w:rFonts w:cs="Calibri"/>
        </w:rPr>
        <w:t>qui sont liés à la consom</w:t>
      </w:r>
      <w:r w:rsidR="00AE7679">
        <w:rPr>
          <w:rFonts w:cs="Calibri"/>
        </w:rPr>
        <w:t>mation de substances addictives) et douze cas « moins lourds ».</w:t>
      </w:r>
      <w:r w:rsidR="0007284C">
        <w:rPr>
          <w:rFonts w:cs="Calibri"/>
        </w:rPr>
        <w:t xml:space="preserve"> Les faits de violence n’ont concerné que 8 jeunes d</w:t>
      </w:r>
      <w:r w:rsidR="000B0D45">
        <w:rPr>
          <w:rFonts w:cs="Calibri"/>
        </w:rPr>
        <w:t>urant ce dernier semestre 2013.</w:t>
      </w:r>
    </w:p>
    <w:p w:rsidR="000B0D45" w:rsidRDefault="000B0D45" w:rsidP="0036668E">
      <w:pPr>
        <w:jc w:val="both"/>
        <w:rPr>
          <w:rFonts w:cs="Calibri"/>
        </w:rPr>
      </w:pPr>
    </w:p>
    <w:p w:rsidR="0036668E" w:rsidRPr="00D73C50" w:rsidRDefault="006E07E6" w:rsidP="0036668E">
      <w:pPr>
        <w:jc w:val="both"/>
        <w:rPr>
          <w:rFonts w:cs="Calibri"/>
        </w:rPr>
      </w:pPr>
      <w:r>
        <w:rPr>
          <w:rFonts w:cs="Calibri"/>
        </w:rPr>
        <w:t xml:space="preserve">Cette baisse des cas de troubles du comportement est </w:t>
      </w:r>
      <w:r w:rsidR="0036668E" w:rsidRPr="0036668E">
        <w:rPr>
          <w:rFonts w:cs="Calibri"/>
        </w:rPr>
        <w:t xml:space="preserve"> imputable au fait que la plupart des jeunes bénéficiaires ont compris l’importance de la formation comme moyen d’une réinsertion socio-économique, et non comme un moyen d’obtenir des distributions de vivres ou autres bénéfices au travers du projet. Les stages pratiques, les activités extrascolaires en lien avec leur formation qui leur ont permis d’obtenir un revenu financier, ainsi que </w:t>
      </w:r>
      <w:r>
        <w:rPr>
          <w:rFonts w:cs="Calibri"/>
        </w:rPr>
        <w:t>tout le travail de</w:t>
      </w:r>
      <w:r w:rsidR="0036668E" w:rsidRPr="0036668E">
        <w:rPr>
          <w:rFonts w:cs="Calibri"/>
        </w:rPr>
        <w:t xml:space="preserve"> sensibilisation (entretien individuel, groupe de parole, médiation familia</w:t>
      </w:r>
      <w:r w:rsidR="00A24C5A">
        <w:rPr>
          <w:rFonts w:cs="Calibri"/>
        </w:rPr>
        <w:t>le, etc.) ont contribué à l’obtention de ce résultat</w:t>
      </w:r>
      <w:r w:rsidR="0036668E" w:rsidRPr="0036668E">
        <w:rPr>
          <w:rFonts w:cs="Calibri"/>
        </w:rPr>
        <w:t>.</w:t>
      </w:r>
    </w:p>
    <w:p w:rsidR="00950D56" w:rsidRPr="00F850AB" w:rsidRDefault="00950D56" w:rsidP="00F850AB">
      <w:pPr>
        <w:jc w:val="both"/>
        <w:rPr>
          <w:rFonts w:cs="Calibri"/>
        </w:rPr>
      </w:pPr>
    </w:p>
    <w:p w:rsidR="004710AD" w:rsidRPr="0043308D" w:rsidRDefault="007500D6" w:rsidP="00AC08E7">
      <w:pPr>
        <w:pStyle w:val="Heading1"/>
      </w:pPr>
      <w:bookmarkStart w:id="10" w:name="_Toc381108748"/>
      <w:r>
        <w:lastRenderedPageBreak/>
        <w:t>LECONS APPRISES</w:t>
      </w:r>
      <w:bookmarkEnd w:id="10"/>
    </w:p>
    <w:p w:rsidR="00C344F7" w:rsidRPr="00C344F7" w:rsidRDefault="00C344F7" w:rsidP="00C344F7">
      <w:pPr>
        <w:pStyle w:val="BodyText"/>
        <w:keepNext/>
        <w:keepLines/>
        <w:jc w:val="both"/>
        <w:rPr>
          <w:rFonts w:ascii="Times New Roman" w:hAnsi="Times New Roman"/>
          <w:bCs/>
          <w:sz w:val="24"/>
          <w:lang w:val="fr-FR"/>
        </w:rPr>
      </w:pPr>
    </w:p>
    <w:p w:rsidR="00C344F7" w:rsidRPr="00C344F7" w:rsidRDefault="00386337" w:rsidP="00C344F7">
      <w:pPr>
        <w:pStyle w:val="BodyText"/>
        <w:keepNext/>
        <w:keepLines/>
        <w:jc w:val="both"/>
        <w:rPr>
          <w:rFonts w:ascii="Times New Roman" w:hAnsi="Times New Roman"/>
          <w:bCs/>
          <w:sz w:val="24"/>
          <w:lang w:val="fr-FR"/>
        </w:rPr>
      </w:pPr>
      <w:r>
        <w:rPr>
          <w:rFonts w:ascii="Times New Roman" w:hAnsi="Times New Roman"/>
          <w:bCs/>
          <w:sz w:val="24"/>
          <w:lang w:val="fr-FR"/>
        </w:rPr>
        <w:t>A travers ce projet, l</w:t>
      </w:r>
      <w:r w:rsidR="00C344F7" w:rsidRPr="00C344F7">
        <w:rPr>
          <w:rFonts w:ascii="Times New Roman" w:hAnsi="Times New Roman"/>
          <w:bCs/>
          <w:sz w:val="24"/>
          <w:lang w:val="fr-FR"/>
        </w:rPr>
        <w:t xml:space="preserve">es jeunes </w:t>
      </w:r>
      <w:r>
        <w:rPr>
          <w:rFonts w:ascii="Times New Roman" w:hAnsi="Times New Roman"/>
          <w:bCs/>
          <w:sz w:val="24"/>
          <w:lang w:val="fr-FR"/>
        </w:rPr>
        <w:t xml:space="preserve">ont acquis de meilleures connaissances sur </w:t>
      </w:r>
      <w:r w:rsidR="00C344F7" w:rsidRPr="00C344F7">
        <w:rPr>
          <w:rFonts w:ascii="Times New Roman" w:hAnsi="Times New Roman"/>
          <w:bCs/>
          <w:sz w:val="24"/>
          <w:lang w:val="fr-FR"/>
        </w:rPr>
        <w:t xml:space="preserve">le rôle qu’ils peuvent jouer dans la société et dans la prise en charge active de leur vie.  Ils </w:t>
      </w:r>
      <w:r w:rsidR="00A73F7E">
        <w:rPr>
          <w:rFonts w:ascii="Times New Roman" w:hAnsi="Times New Roman"/>
          <w:bCs/>
          <w:sz w:val="24"/>
          <w:lang w:val="fr-FR"/>
        </w:rPr>
        <w:t>ont identifié les</w:t>
      </w:r>
      <w:r w:rsidR="00C344F7" w:rsidRPr="00C344F7">
        <w:rPr>
          <w:rFonts w:ascii="Times New Roman" w:hAnsi="Times New Roman"/>
          <w:bCs/>
          <w:sz w:val="24"/>
          <w:lang w:val="fr-FR"/>
        </w:rPr>
        <w:t xml:space="preserve"> personnes </w:t>
      </w:r>
      <w:r w:rsidR="00A73F7E">
        <w:rPr>
          <w:rFonts w:ascii="Times New Roman" w:hAnsi="Times New Roman"/>
          <w:bCs/>
          <w:sz w:val="24"/>
          <w:lang w:val="fr-FR"/>
        </w:rPr>
        <w:t>ressources dans les centres de formation, dans les ONG</w:t>
      </w:r>
      <w:r w:rsidR="00C344F7" w:rsidRPr="00C344F7">
        <w:rPr>
          <w:rFonts w:ascii="Times New Roman" w:hAnsi="Times New Roman"/>
          <w:bCs/>
          <w:sz w:val="24"/>
          <w:lang w:val="fr-FR"/>
        </w:rPr>
        <w:t xml:space="preserve"> et les services étatiques  vers lesquels ils peuvent se tourner s’ils ont des problèmes et des difficultés. Ils </w:t>
      </w:r>
      <w:r w:rsidR="00551486">
        <w:rPr>
          <w:rFonts w:ascii="Times New Roman" w:hAnsi="Times New Roman"/>
          <w:bCs/>
          <w:sz w:val="24"/>
          <w:lang w:val="fr-FR"/>
        </w:rPr>
        <w:t xml:space="preserve">ont ainsi une meilleure </w:t>
      </w:r>
      <w:r w:rsidR="00FE3CCD">
        <w:rPr>
          <w:rFonts w:ascii="Times New Roman" w:hAnsi="Times New Roman"/>
          <w:bCs/>
          <w:sz w:val="24"/>
          <w:lang w:val="fr-FR"/>
        </w:rPr>
        <w:t>connaissance</w:t>
      </w:r>
      <w:r w:rsidR="00551486">
        <w:rPr>
          <w:rFonts w:ascii="Times New Roman" w:hAnsi="Times New Roman"/>
          <w:bCs/>
          <w:sz w:val="24"/>
          <w:lang w:val="fr-FR"/>
        </w:rPr>
        <w:t xml:space="preserve"> </w:t>
      </w:r>
      <w:r w:rsidR="00FE3CCD">
        <w:rPr>
          <w:rFonts w:ascii="Times New Roman" w:hAnsi="Times New Roman"/>
          <w:bCs/>
          <w:sz w:val="24"/>
          <w:lang w:val="fr-FR"/>
        </w:rPr>
        <w:t>des</w:t>
      </w:r>
      <w:r w:rsidR="00551486">
        <w:rPr>
          <w:rFonts w:ascii="Times New Roman" w:hAnsi="Times New Roman"/>
          <w:bCs/>
          <w:sz w:val="24"/>
          <w:lang w:val="fr-FR"/>
        </w:rPr>
        <w:t xml:space="preserve"> acteurs susceptibles de répondre à leurs besoins spécifiques et se sentent mieux écoutés, ce qui contribue à </w:t>
      </w:r>
      <w:r w:rsidR="00FE3CCD">
        <w:rPr>
          <w:rFonts w:ascii="Times New Roman" w:hAnsi="Times New Roman"/>
          <w:bCs/>
          <w:sz w:val="24"/>
          <w:lang w:val="fr-FR"/>
        </w:rPr>
        <w:t xml:space="preserve">une </w:t>
      </w:r>
      <w:r w:rsidR="00551486">
        <w:rPr>
          <w:rFonts w:ascii="Times New Roman" w:hAnsi="Times New Roman"/>
          <w:bCs/>
          <w:sz w:val="24"/>
          <w:lang w:val="fr-FR"/>
        </w:rPr>
        <w:t>meilleur</w:t>
      </w:r>
      <w:r w:rsidR="00FE3CCD">
        <w:rPr>
          <w:rFonts w:ascii="Times New Roman" w:hAnsi="Times New Roman"/>
          <w:bCs/>
          <w:sz w:val="24"/>
          <w:lang w:val="fr-FR"/>
        </w:rPr>
        <w:t>e</w:t>
      </w:r>
      <w:r w:rsidR="00551486">
        <w:rPr>
          <w:rFonts w:ascii="Times New Roman" w:hAnsi="Times New Roman"/>
          <w:bCs/>
          <w:sz w:val="24"/>
          <w:lang w:val="fr-FR"/>
        </w:rPr>
        <w:t xml:space="preserve"> insertion dans la société. </w:t>
      </w:r>
    </w:p>
    <w:p w:rsidR="00C344F7" w:rsidRPr="00C344F7" w:rsidRDefault="00C344F7" w:rsidP="00C344F7">
      <w:pPr>
        <w:pStyle w:val="BodyText"/>
        <w:keepNext/>
        <w:keepLines/>
        <w:jc w:val="both"/>
        <w:rPr>
          <w:rFonts w:ascii="Times New Roman" w:hAnsi="Times New Roman"/>
          <w:bCs/>
          <w:sz w:val="24"/>
          <w:lang w:val="fr-FR"/>
        </w:rPr>
      </w:pPr>
    </w:p>
    <w:p w:rsidR="00551486" w:rsidRPr="00FE3CCD" w:rsidRDefault="00551486" w:rsidP="00FE3CCD">
      <w:pPr>
        <w:jc w:val="both"/>
        <w:rPr>
          <w:rFonts w:cs="Calibri"/>
        </w:rPr>
      </w:pPr>
      <w:r w:rsidRPr="00FE3CCD">
        <w:rPr>
          <w:rFonts w:cs="Calibri"/>
        </w:rPr>
        <w:t>De même, les jeunes ont su mobiliser leurs connaissances et expériences acquises en cours de formation afin de subvenir à leurs besoins quotidiens : 41% des jeunes en cours de formation travaillent dans un domaine en lien avec leur formation. Ceci démontre la bonne compréhension du projet par les jeunes et leur grande volonté de saisir cette opportunité qui leur est donné. Ce résultat, issu de la détermination des jeunes, n’était pas prévu au départ du projet et a satisfait l’</w:t>
      </w:r>
      <w:r w:rsidR="00FE3CCD">
        <w:rPr>
          <w:rFonts w:cs="Calibri"/>
        </w:rPr>
        <w:t>ensemble des acteurs du projet.</w:t>
      </w:r>
    </w:p>
    <w:p w:rsidR="00C344F7" w:rsidRDefault="00C344F7" w:rsidP="00C344F7">
      <w:pPr>
        <w:pStyle w:val="BodyText"/>
        <w:keepNext/>
        <w:keepLines/>
        <w:jc w:val="both"/>
        <w:rPr>
          <w:rFonts w:ascii="Times New Roman" w:hAnsi="Times New Roman"/>
          <w:bCs/>
          <w:sz w:val="24"/>
          <w:lang w:val="fr-FR"/>
        </w:rPr>
      </w:pPr>
    </w:p>
    <w:p w:rsidR="00A45AAE" w:rsidRPr="0043308D" w:rsidRDefault="00A45AAE" w:rsidP="00AC08E7">
      <w:pPr>
        <w:pStyle w:val="Heading1"/>
      </w:pPr>
      <w:bookmarkStart w:id="11" w:name="_Toc381108749"/>
      <w:r w:rsidRPr="0043308D">
        <w:t>D</w:t>
      </w:r>
      <w:r w:rsidR="007500D6">
        <w:t>EFIS</w:t>
      </w:r>
      <w:bookmarkEnd w:id="11"/>
    </w:p>
    <w:p w:rsidR="00C344F7" w:rsidRDefault="00C344F7" w:rsidP="003620EA">
      <w:pPr>
        <w:pStyle w:val="BodyText"/>
        <w:keepNext/>
        <w:keepLines/>
        <w:jc w:val="both"/>
        <w:rPr>
          <w:rFonts w:ascii="Times New Roman" w:hAnsi="Times New Roman"/>
          <w:bCs/>
          <w:sz w:val="24"/>
          <w:lang w:val="fr-FR"/>
        </w:rPr>
      </w:pPr>
    </w:p>
    <w:p w:rsidR="00B0486A" w:rsidRDefault="00B0486A" w:rsidP="003620EA">
      <w:pPr>
        <w:pStyle w:val="BodyText"/>
        <w:keepNext/>
        <w:keepLines/>
        <w:jc w:val="both"/>
        <w:rPr>
          <w:rFonts w:ascii="Times New Roman" w:hAnsi="Times New Roman"/>
          <w:bCs/>
          <w:sz w:val="24"/>
          <w:lang w:val="fr-FR"/>
        </w:rPr>
      </w:pPr>
      <w:r>
        <w:rPr>
          <w:rFonts w:ascii="Times New Roman" w:hAnsi="Times New Roman"/>
          <w:bCs/>
          <w:sz w:val="24"/>
          <w:lang w:val="fr-FR"/>
        </w:rPr>
        <w:t xml:space="preserve">Le principal défi du projet pour l’année 2013 a été de faire face au manque de moyens dont souffrent les centres de formations. Même si les centres ont été et continuent d’être appuyés notamment en ce qui concerne la matière d’œuvre, cet appui ne peut suffire à combler les lacunes matérielles de centres de formation professionnelle faiblement </w:t>
      </w:r>
      <w:r w:rsidR="0035188C">
        <w:rPr>
          <w:rFonts w:ascii="Times New Roman" w:hAnsi="Times New Roman"/>
          <w:bCs/>
          <w:sz w:val="24"/>
          <w:lang w:val="fr-FR"/>
        </w:rPr>
        <w:t>appuyés</w:t>
      </w:r>
      <w:r>
        <w:rPr>
          <w:rFonts w:ascii="Times New Roman" w:hAnsi="Times New Roman"/>
          <w:bCs/>
          <w:sz w:val="24"/>
          <w:lang w:val="fr-FR"/>
        </w:rPr>
        <w:t xml:space="preserve"> par l’</w:t>
      </w:r>
      <w:r w:rsidR="0035188C">
        <w:rPr>
          <w:rFonts w:ascii="Times New Roman" w:hAnsi="Times New Roman"/>
          <w:bCs/>
          <w:sz w:val="24"/>
          <w:lang w:val="fr-FR"/>
        </w:rPr>
        <w:t>E</w:t>
      </w:r>
      <w:r>
        <w:rPr>
          <w:rFonts w:ascii="Times New Roman" w:hAnsi="Times New Roman"/>
          <w:bCs/>
          <w:sz w:val="24"/>
          <w:lang w:val="fr-FR"/>
        </w:rPr>
        <w:t xml:space="preserve">tat alors même que la formation qui y est enseignée est très couteuse. </w:t>
      </w:r>
      <w:r w:rsidR="0035188C">
        <w:rPr>
          <w:rFonts w:ascii="Times New Roman" w:hAnsi="Times New Roman"/>
          <w:bCs/>
          <w:sz w:val="24"/>
          <w:lang w:val="fr-FR"/>
        </w:rPr>
        <w:t xml:space="preserve">A cela s’ajoute l’effectif croissant des apprenants et le manque de salles d’enseignement. </w:t>
      </w:r>
      <w:r w:rsidR="00FE3CCD">
        <w:rPr>
          <w:rFonts w:ascii="Times New Roman" w:hAnsi="Times New Roman"/>
          <w:bCs/>
          <w:sz w:val="24"/>
          <w:lang w:val="fr-FR"/>
        </w:rPr>
        <w:t>En outre, durant le 1</w:t>
      </w:r>
      <w:r w:rsidR="00FE3CCD" w:rsidRPr="00FE3CCD">
        <w:rPr>
          <w:rFonts w:ascii="Times New Roman" w:hAnsi="Times New Roman"/>
          <w:bCs/>
          <w:sz w:val="24"/>
          <w:vertAlign w:val="superscript"/>
          <w:lang w:val="fr-FR"/>
        </w:rPr>
        <w:t>er</w:t>
      </w:r>
      <w:r w:rsidR="00FE3CCD">
        <w:rPr>
          <w:rFonts w:ascii="Times New Roman" w:hAnsi="Times New Roman"/>
          <w:bCs/>
          <w:sz w:val="24"/>
          <w:lang w:val="fr-FR"/>
        </w:rPr>
        <w:t xml:space="preserve"> semestre de 2013, la suspension du financement du projet par PBF et la diminution progressive de l’assistance alimentaire aux jeunes a engendré certaines tensions qu’il a fallu gérer avec beaucoup d’attention.</w:t>
      </w:r>
    </w:p>
    <w:p w:rsidR="00A80FC8" w:rsidRDefault="00A80FC8" w:rsidP="003620EA">
      <w:pPr>
        <w:pStyle w:val="BodyText"/>
        <w:keepNext/>
        <w:keepLines/>
        <w:jc w:val="both"/>
        <w:rPr>
          <w:rFonts w:ascii="Times New Roman" w:hAnsi="Times New Roman"/>
          <w:bCs/>
          <w:sz w:val="24"/>
          <w:lang w:val="fr-FR"/>
        </w:rPr>
      </w:pPr>
    </w:p>
    <w:p w:rsidR="00B3500B" w:rsidRDefault="00B3500B" w:rsidP="00AC08E7">
      <w:pPr>
        <w:pStyle w:val="Heading1"/>
        <w:rPr>
          <w:lang w:eastAsia="en-US"/>
        </w:rPr>
      </w:pPr>
      <w:bookmarkStart w:id="12" w:name="_Toc381108750"/>
      <w:r>
        <w:rPr>
          <w:noProof/>
          <w:lang w:val="en-US" w:eastAsia="en-US"/>
        </w:rPr>
        <w:drawing>
          <wp:anchor distT="0" distB="0" distL="114300" distR="114300" simplePos="0" relativeHeight="251667968" behindDoc="1" locked="0" layoutInCell="1" allowOverlap="1" wp14:anchorId="5D21B927" wp14:editId="71C8F4CB">
            <wp:simplePos x="0" y="0"/>
            <wp:positionH relativeFrom="column">
              <wp:posOffset>59055</wp:posOffset>
            </wp:positionH>
            <wp:positionV relativeFrom="paragraph">
              <wp:posOffset>40640</wp:posOffset>
            </wp:positionV>
            <wp:extent cx="3419475" cy="2271395"/>
            <wp:effectExtent l="0" t="0" r="9525" b="0"/>
            <wp:wrapThrough wrapText="bothSides">
              <wp:wrapPolygon edited="0">
                <wp:start x="0" y="0"/>
                <wp:lineTo x="0" y="21377"/>
                <wp:lineTo x="21540" y="21377"/>
                <wp:lineTo x="21540" y="0"/>
                <wp:lineTo x="0" y="0"/>
              </wp:wrapPolygon>
            </wp:wrapThrough>
            <wp:docPr id="15" name="Picture 15" descr="C:\Users\jdubois\Desktop\Unicef\PBF ex Kaléah\photos\NZ 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dubois\Desktop\Unicef\PBF ex Kaléah\photos\NZ 078.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19475" cy="22713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2"/>
    </w:p>
    <w:p w:rsidR="00B3500B" w:rsidRDefault="00B3500B" w:rsidP="00AC08E7">
      <w:pPr>
        <w:pStyle w:val="Heading1"/>
        <w:rPr>
          <w:lang w:eastAsia="en-US"/>
        </w:rPr>
      </w:pPr>
    </w:p>
    <w:p w:rsidR="00B3500B" w:rsidRDefault="00B3500B" w:rsidP="00AC08E7">
      <w:pPr>
        <w:pStyle w:val="Heading1"/>
        <w:rPr>
          <w:lang w:eastAsia="en-US"/>
        </w:rPr>
      </w:pPr>
    </w:p>
    <w:p w:rsidR="00B3500B" w:rsidRDefault="00B3500B" w:rsidP="00AC08E7">
      <w:pPr>
        <w:pStyle w:val="Heading1"/>
        <w:rPr>
          <w:lang w:eastAsia="en-US"/>
        </w:rPr>
      </w:pPr>
    </w:p>
    <w:bookmarkStart w:id="13" w:name="_Toc381108751"/>
    <w:p w:rsidR="00B3500B" w:rsidRDefault="00A80FC8" w:rsidP="00AC08E7">
      <w:pPr>
        <w:pStyle w:val="Heading1"/>
        <w:rPr>
          <w:lang w:eastAsia="en-US"/>
        </w:rPr>
      </w:pPr>
      <w:r>
        <w:rPr>
          <w:noProof/>
          <w:lang w:val="en-US" w:eastAsia="en-US"/>
        </w:rPr>
        <mc:AlternateContent>
          <mc:Choice Requires="wps">
            <w:drawing>
              <wp:anchor distT="0" distB="0" distL="114300" distR="114300" simplePos="0" relativeHeight="251670016" behindDoc="0" locked="0" layoutInCell="1" allowOverlap="1" wp14:anchorId="6E436F07" wp14:editId="2C074718">
                <wp:simplePos x="0" y="0"/>
                <wp:positionH relativeFrom="column">
                  <wp:posOffset>143510</wp:posOffset>
                </wp:positionH>
                <wp:positionV relativeFrom="paragraph">
                  <wp:posOffset>481965</wp:posOffset>
                </wp:positionV>
                <wp:extent cx="3028950" cy="635"/>
                <wp:effectExtent l="0" t="0" r="0" b="8255"/>
                <wp:wrapThrough wrapText="bothSides">
                  <wp:wrapPolygon edited="0">
                    <wp:start x="0" y="0"/>
                    <wp:lineTo x="0" y="20698"/>
                    <wp:lineTo x="21464" y="20698"/>
                    <wp:lineTo x="21464" y="0"/>
                    <wp:lineTo x="0" y="0"/>
                  </wp:wrapPolygon>
                </wp:wrapThrough>
                <wp:docPr id="16" name="Text Box 16"/>
                <wp:cNvGraphicFramePr/>
                <a:graphic xmlns:a="http://schemas.openxmlformats.org/drawingml/2006/main">
                  <a:graphicData uri="http://schemas.microsoft.com/office/word/2010/wordprocessingShape">
                    <wps:wsp>
                      <wps:cNvSpPr txBox="1"/>
                      <wps:spPr>
                        <a:xfrm>
                          <a:off x="0" y="0"/>
                          <a:ext cx="3028950" cy="635"/>
                        </a:xfrm>
                        <a:prstGeom prst="rect">
                          <a:avLst/>
                        </a:prstGeom>
                        <a:solidFill>
                          <a:prstClr val="white"/>
                        </a:solidFill>
                        <a:ln>
                          <a:noFill/>
                        </a:ln>
                        <a:effectLst/>
                      </wps:spPr>
                      <wps:txbx>
                        <w:txbxContent>
                          <w:p w:rsidR="007320CA" w:rsidRPr="003033BB" w:rsidRDefault="007320CA" w:rsidP="00225E6B">
                            <w:pPr>
                              <w:pStyle w:val="Caption"/>
                              <w:rPr>
                                <w:rFonts w:cs="Arial"/>
                                <w:noProof/>
                                <w:color w:val="auto"/>
                                <w:sz w:val="24"/>
                                <w:szCs w:val="24"/>
                                <w:u w:val="single"/>
                              </w:rPr>
                            </w:pPr>
                            <w:r>
                              <w:t>Une classe surchargée du CFP de Nzérékoré</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5="http://schemas.microsoft.com/office/word/2012/wordml">
            <w:pict>
              <v:shape w14:anchorId="6E436F07" id="Text Box 16" o:spid="_x0000_s1029" type="#_x0000_t202" style="position:absolute;left:0;text-align:left;margin-left:11.3pt;margin-top:37.95pt;width:238.5pt;height:.05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" stroked="f">
                <v:textbox style="mso-fit-shape-to-text:t" inset="0,0,0,0">
                  <w:txbxContent>
                    <w:p w:rsidR="007320CA" w:rsidRPr="003033BB" w:rsidRDefault="007320CA" w:rsidP="00225E6B">
                      <w:pPr>
                        <w:pStyle w:val="Caption"/>
                        <w:rPr>
                          <w:rFonts w:cs="Arial"/>
                          <w:noProof/>
                          <w:color w:val="auto"/>
                          <w:sz w:val="24"/>
                          <w:szCs w:val="24"/>
                          <w:u w:val="single"/>
                        </w:rPr>
                      </w:pPr>
                      <w:r>
                        <w:t>Une classe surchargée du CFP de Nzérékoré</w:t>
                      </w:r>
                    </w:p>
                  </w:txbxContent>
                </v:textbox>
                <w10:wrap type="through"/>
              </v:shape>
            </w:pict>
          </mc:Fallback>
        </mc:AlternateContent>
      </w:r>
      <w:bookmarkEnd w:id="13"/>
    </w:p>
    <w:p w:rsidR="00B3500B" w:rsidRDefault="00B3500B" w:rsidP="00AC08E7">
      <w:pPr>
        <w:pStyle w:val="Heading1"/>
        <w:rPr>
          <w:lang w:eastAsia="en-US"/>
        </w:rPr>
      </w:pPr>
    </w:p>
    <w:p w:rsidR="00B3500B" w:rsidRDefault="00B3500B" w:rsidP="00AC08E7">
      <w:pPr>
        <w:pStyle w:val="Heading1"/>
        <w:rPr>
          <w:lang w:eastAsia="en-US"/>
        </w:rPr>
      </w:pPr>
    </w:p>
    <w:p w:rsidR="00B3500B" w:rsidRDefault="00B3500B" w:rsidP="00AC08E7">
      <w:pPr>
        <w:pStyle w:val="Heading1"/>
        <w:rPr>
          <w:lang w:eastAsia="en-US"/>
        </w:rPr>
      </w:pPr>
    </w:p>
    <w:p w:rsidR="00B3500B" w:rsidRDefault="00B3500B" w:rsidP="00AC08E7">
      <w:pPr>
        <w:pStyle w:val="Heading1"/>
        <w:rPr>
          <w:lang w:eastAsia="en-US"/>
        </w:rPr>
      </w:pPr>
    </w:p>
    <w:p w:rsidR="00B3500B" w:rsidRDefault="00B3500B" w:rsidP="00AC08E7">
      <w:pPr>
        <w:pStyle w:val="Heading1"/>
        <w:rPr>
          <w:lang w:eastAsia="en-US"/>
        </w:rPr>
      </w:pPr>
    </w:p>
    <w:p w:rsidR="00B3500B" w:rsidRDefault="00B3500B" w:rsidP="00AC08E7">
      <w:pPr>
        <w:pStyle w:val="Heading1"/>
        <w:rPr>
          <w:lang w:eastAsia="en-US"/>
        </w:rPr>
      </w:pPr>
    </w:p>
    <w:p w:rsidR="00B3500B" w:rsidRDefault="00B3500B" w:rsidP="00AC08E7">
      <w:pPr>
        <w:pStyle w:val="Heading1"/>
        <w:rPr>
          <w:lang w:eastAsia="en-US"/>
        </w:rPr>
      </w:pPr>
    </w:p>
    <w:p w:rsidR="00A80FC8" w:rsidRPr="00641C39" w:rsidRDefault="00A80FC8" w:rsidP="00A80FC8">
      <w:pPr>
        <w:pStyle w:val="Heading1"/>
        <w:rPr>
          <w:lang w:eastAsia="en-US"/>
        </w:rPr>
      </w:pPr>
      <w:bookmarkStart w:id="14" w:name="_Toc381108752"/>
      <w:r w:rsidRPr="00641C39">
        <w:rPr>
          <w:lang w:eastAsia="en-US"/>
        </w:rPr>
        <w:t>P</w:t>
      </w:r>
      <w:r>
        <w:rPr>
          <w:lang w:eastAsia="en-US"/>
        </w:rPr>
        <w:t>ESPECTIVES</w:t>
      </w:r>
      <w:bookmarkEnd w:id="14"/>
    </w:p>
    <w:p w:rsidR="00A80FC8" w:rsidRDefault="00A80FC8" w:rsidP="00A80FC8">
      <w:pPr>
        <w:pStyle w:val="BodyText"/>
        <w:keepNext/>
        <w:keepLines/>
        <w:jc w:val="both"/>
        <w:rPr>
          <w:rFonts w:ascii="Times New Roman" w:hAnsi="Times New Roman"/>
          <w:bCs/>
          <w:sz w:val="24"/>
          <w:lang w:val="fr-FR"/>
        </w:rPr>
      </w:pPr>
    </w:p>
    <w:p w:rsidR="00857450" w:rsidRPr="00857450" w:rsidRDefault="00A80FC8" w:rsidP="000D4A21">
      <w:pPr>
        <w:pStyle w:val="BodyText"/>
        <w:jc w:val="both"/>
        <w:rPr>
          <w:rFonts w:ascii="Times New Roman" w:hAnsi="Times New Roman"/>
          <w:bCs/>
          <w:sz w:val="24"/>
          <w:lang w:val="fr-FR"/>
        </w:rPr>
      </w:pPr>
      <w:r w:rsidRPr="00C344F7">
        <w:rPr>
          <w:rFonts w:ascii="Times New Roman" w:hAnsi="Times New Roman"/>
          <w:bCs/>
          <w:sz w:val="24"/>
          <w:lang w:val="fr-FR"/>
        </w:rPr>
        <w:t xml:space="preserve">Concernant les prochaines étapes </w:t>
      </w:r>
      <w:r>
        <w:rPr>
          <w:rFonts w:ascii="Times New Roman" w:hAnsi="Times New Roman"/>
          <w:bCs/>
          <w:sz w:val="24"/>
          <w:lang w:val="fr-FR"/>
        </w:rPr>
        <w:t xml:space="preserve">du projet, </w:t>
      </w:r>
      <w:r w:rsidRPr="00C344F7">
        <w:rPr>
          <w:rFonts w:ascii="Times New Roman" w:hAnsi="Times New Roman"/>
          <w:bCs/>
          <w:sz w:val="24"/>
          <w:lang w:val="fr-FR"/>
        </w:rPr>
        <w:t>le suivi des</w:t>
      </w:r>
      <w:r>
        <w:rPr>
          <w:rFonts w:ascii="Times New Roman" w:hAnsi="Times New Roman"/>
          <w:bCs/>
          <w:sz w:val="24"/>
          <w:lang w:val="fr-FR"/>
        </w:rPr>
        <w:t xml:space="preserve"> 1018</w:t>
      </w:r>
      <w:r w:rsidRPr="00C344F7">
        <w:rPr>
          <w:rFonts w:ascii="Times New Roman" w:hAnsi="Times New Roman"/>
          <w:bCs/>
          <w:sz w:val="24"/>
          <w:lang w:val="fr-FR"/>
        </w:rPr>
        <w:t xml:space="preserve"> jeunes dans</w:t>
      </w:r>
      <w:r>
        <w:rPr>
          <w:rFonts w:ascii="Times New Roman" w:hAnsi="Times New Roman"/>
          <w:bCs/>
          <w:sz w:val="24"/>
          <w:lang w:val="fr-FR"/>
        </w:rPr>
        <w:t xml:space="preserve"> les centres et communautés va se poursuivre, les jeunes vont voire leurs capacités en compétences de vie commune (CVC) renforcées et vont être formés en entreprenariat. Les 304 jeunes de l’ENAE de Macenta vont faire leur rentrée scolaire pour la 3</w:t>
      </w:r>
      <w:r w:rsidRPr="0035188C">
        <w:rPr>
          <w:rFonts w:ascii="Times New Roman" w:hAnsi="Times New Roman"/>
          <w:bCs/>
          <w:sz w:val="24"/>
          <w:vertAlign w:val="superscript"/>
          <w:lang w:val="fr-FR"/>
        </w:rPr>
        <w:t>ème</w:t>
      </w:r>
      <w:r>
        <w:rPr>
          <w:rFonts w:ascii="Times New Roman" w:hAnsi="Times New Roman"/>
          <w:bCs/>
          <w:sz w:val="24"/>
          <w:lang w:val="fr-FR"/>
        </w:rPr>
        <w:t xml:space="preserve"> et dernière année (rentrée prévue en mars 2014). </w:t>
      </w:r>
      <w:r w:rsidR="00225E6B">
        <w:rPr>
          <w:rFonts w:ascii="Times New Roman" w:hAnsi="Times New Roman"/>
          <w:bCs/>
          <w:sz w:val="24"/>
          <w:lang w:val="fr-FR"/>
        </w:rPr>
        <w:t xml:space="preserve">Un accent </w:t>
      </w:r>
      <w:r w:rsidR="00D83CED">
        <w:rPr>
          <w:rFonts w:ascii="Times New Roman" w:hAnsi="Times New Roman"/>
          <w:bCs/>
          <w:sz w:val="24"/>
          <w:lang w:val="fr-FR"/>
        </w:rPr>
        <w:t xml:space="preserve">particulier </w:t>
      </w:r>
      <w:r w:rsidR="00225E6B">
        <w:rPr>
          <w:rFonts w:ascii="Times New Roman" w:hAnsi="Times New Roman"/>
          <w:bCs/>
          <w:sz w:val="24"/>
          <w:lang w:val="fr-FR"/>
        </w:rPr>
        <w:t>va être mis sur l’</w:t>
      </w:r>
      <w:r w:rsidR="00714883">
        <w:rPr>
          <w:rFonts w:ascii="Times New Roman" w:hAnsi="Times New Roman"/>
          <w:bCs/>
          <w:sz w:val="24"/>
          <w:lang w:val="fr-FR"/>
        </w:rPr>
        <w:t>instauration</w:t>
      </w:r>
      <w:r w:rsidR="00225E6B">
        <w:rPr>
          <w:rFonts w:ascii="Times New Roman" w:hAnsi="Times New Roman"/>
          <w:bCs/>
          <w:sz w:val="24"/>
          <w:lang w:val="fr-FR"/>
        </w:rPr>
        <w:t xml:space="preserve"> d’un cadre d’échanges entre les acteurs socio-économiques et les jeunes afin de faciliter leur insertion professionnelle à la sortie de la formation. </w:t>
      </w:r>
    </w:p>
    <w:p w:rsidR="00264361" w:rsidRPr="00334073" w:rsidRDefault="00264361" w:rsidP="00857450">
      <w:pPr>
        <w:pStyle w:val="BodyText"/>
        <w:ind w:left="1080"/>
        <w:jc w:val="both"/>
        <w:rPr>
          <w:rFonts w:ascii="Times New Roman" w:hAnsi="Times New Roman"/>
          <w:bCs/>
          <w:sz w:val="24"/>
          <w:lang w:val="fr-FR"/>
        </w:rPr>
        <w:sectPr w:rsidR="00264361" w:rsidRPr="00334073" w:rsidSect="00D811FB">
          <w:headerReference w:type="default" r:id="rId19"/>
          <w:footerReference w:type="default" r:id="rId20"/>
          <w:footerReference w:type="first" r:id="rId21"/>
          <w:pgSz w:w="12240" w:h="15840" w:code="1"/>
          <w:pgMar w:top="142" w:right="990" w:bottom="851" w:left="806" w:header="720" w:footer="418" w:gutter="0"/>
          <w:cols w:space="720"/>
          <w:docGrid w:linePitch="360"/>
        </w:sectPr>
      </w:pPr>
    </w:p>
    <w:p w:rsidR="00264361" w:rsidRPr="00334073" w:rsidRDefault="00264361" w:rsidP="004D18B1">
      <w:pPr>
        <w:pStyle w:val="BodyText"/>
        <w:tabs>
          <w:tab w:val="left" w:pos="360"/>
        </w:tabs>
        <w:ind w:left="720"/>
        <w:jc w:val="both"/>
        <w:rPr>
          <w:rFonts w:ascii="Times New Roman" w:hAnsi="Times New Roman"/>
          <w:bCs/>
          <w:sz w:val="24"/>
          <w:lang w:val="fr-FR"/>
        </w:rPr>
      </w:pPr>
    </w:p>
    <w:p w:rsidR="00920E4B" w:rsidRDefault="00920E4B" w:rsidP="005D5E80">
      <w:pPr>
        <w:pStyle w:val="BodyText"/>
        <w:ind w:left="360"/>
        <w:jc w:val="both"/>
        <w:rPr>
          <w:rFonts w:ascii="Times New Roman" w:hAnsi="Times New Roman" w:cs="Times New Roman"/>
          <w:bCs/>
          <w:sz w:val="24"/>
          <w:szCs w:val="24"/>
          <w:lang w:val="fr-FR"/>
        </w:rPr>
        <w:sectPr w:rsidR="00920E4B" w:rsidSect="00595EB4">
          <w:pgSz w:w="15840" w:h="12240" w:orient="landscape" w:code="1"/>
          <w:pgMar w:top="806" w:right="810" w:bottom="810" w:left="1354" w:header="720" w:footer="418" w:gutter="0"/>
          <w:cols w:space="720"/>
          <w:docGrid w:linePitch="360"/>
        </w:sectPr>
      </w:pPr>
    </w:p>
    <w:p w:rsidR="00920E4B" w:rsidRDefault="00920E4B" w:rsidP="005D5E80">
      <w:pPr>
        <w:pStyle w:val="BodyText"/>
        <w:ind w:left="360"/>
        <w:jc w:val="both"/>
        <w:rPr>
          <w:rFonts w:ascii="Times New Roman" w:hAnsi="Times New Roman" w:cs="Times New Roman"/>
          <w:bCs/>
          <w:sz w:val="24"/>
          <w:szCs w:val="24"/>
          <w:lang w:val="fr-FR"/>
        </w:rPr>
      </w:pPr>
    </w:p>
    <w:p w:rsidR="00920E4B" w:rsidRDefault="00920E4B" w:rsidP="005D5E80">
      <w:pPr>
        <w:pStyle w:val="BodyText"/>
        <w:ind w:left="360"/>
        <w:jc w:val="both"/>
        <w:rPr>
          <w:rFonts w:ascii="Times New Roman" w:hAnsi="Times New Roman" w:cs="Times New Roman"/>
          <w:bCs/>
          <w:sz w:val="24"/>
          <w:szCs w:val="24"/>
          <w:lang w:val="fr-FR"/>
        </w:rPr>
      </w:pPr>
    </w:p>
    <w:p w:rsidR="00920E4B" w:rsidRDefault="00A80FC8" w:rsidP="005D5E80">
      <w:pPr>
        <w:pStyle w:val="BodyText"/>
        <w:ind w:left="360"/>
        <w:jc w:val="both"/>
        <w:rPr>
          <w:rFonts w:ascii="Times New Roman" w:hAnsi="Times New Roman" w:cs="Times New Roman"/>
          <w:bCs/>
          <w:sz w:val="24"/>
          <w:szCs w:val="24"/>
          <w:lang w:val="fr-FR"/>
        </w:rPr>
      </w:pPr>
      <w:r>
        <w:rPr>
          <w:noProof/>
        </w:rPr>
        <mc:AlternateContent>
          <mc:Choice Requires="wps">
            <w:drawing>
              <wp:anchor distT="0" distB="0" distL="114300" distR="114300" simplePos="0" relativeHeight="251677184" behindDoc="0" locked="0" layoutInCell="1" allowOverlap="1" wp14:anchorId="17348A12" wp14:editId="55A19B58">
                <wp:simplePos x="0" y="0"/>
                <wp:positionH relativeFrom="column">
                  <wp:posOffset>-365760</wp:posOffset>
                </wp:positionH>
                <wp:positionV relativeFrom="paragraph">
                  <wp:posOffset>-315595</wp:posOffset>
                </wp:positionV>
                <wp:extent cx="9446260" cy="291465"/>
                <wp:effectExtent l="0" t="0" r="21590" b="1333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6260" cy="291465"/>
                        </a:xfrm>
                        <a:prstGeom prst="rect">
                          <a:avLst/>
                        </a:prstGeom>
                        <a:solidFill>
                          <a:srgbClr val="F2F2F2"/>
                        </a:solidFill>
                        <a:ln w="9525">
                          <a:solidFill>
                            <a:srgbClr val="D8D8D8"/>
                          </a:solidFill>
                          <a:miter lim="800000"/>
                          <a:headEnd/>
                          <a:tailEnd/>
                        </a:ln>
                      </wps:spPr>
                      <wps:txbx>
                        <w:txbxContent>
                          <w:p w:rsidR="007320CA" w:rsidRPr="004001D8" w:rsidRDefault="007320CA" w:rsidP="00A80FC8">
                            <w:pPr>
                              <w:pStyle w:val="Heading1"/>
                            </w:pPr>
                            <w:r w:rsidRPr="004001D8">
                              <w:t xml:space="preserve"> E</w:t>
                            </w:r>
                            <w:r>
                              <w:t>VALUATION DE LA PERFOMANCE A PARTIR D’INDICATEURS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7348A12" id="Text Box 6" o:spid="_x0000_s1030" type="#_x0000_t202" style="position:absolute;left:0;text-align:left;margin-left:-28.8pt;margin-top:-24.85pt;width:743.8pt;height:22.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" fillcolor="#f2f2f2" strokecolor="#d8d8d8">
                <v:textbox>
                  <w:txbxContent>
                    <w:p w:rsidR="007320CA" w:rsidRPr="004001D8" w:rsidRDefault="007320CA" w:rsidP="00A80FC8">
                      <w:pPr>
                        <w:pStyle w:val="Heading1"/>
                      </w:pPr>
                      <w:r w:rsidRPr="004001D8">
                        <w:t xml:space="preserve"> E</w:t>
                      </w:r>
                      <w:r>
                        <w:t>VALUATION DE LA PERFOMANCE A PARTIR D’INDICATEURS :</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42632FC8" wp14:editId="722CEAAA">
                <wp:simplePos x="0" y="0"/>
                <wp:positionH relativeFrom="column">
                  <wp:posOffset>-516890</wp:posOffset>
                </wp:positionH>
                <wp:positionV relativeFrom="paragraph">
                  <wp:posOffset>-1992630</wp:posOffset>
                </wp:positionV>
                <wp:extent cx="9448800" cy="295275"/>
                <wp:effectExtent l="0" t="0" r="19050" b="2857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0" cy="295275"/>
                        </a:xfrm>
                        <a:prstGeom prst="rect">
                          <a:avLst/>
                        </a:prstGeom>
                        <a:solidFill>
                          <a:srgbClr val="F2F2F2"/>
                        </a:solidFill>
                        <a:ln w="9525">
                          <a:solidFill>
                            <a:srgbClr val="D8D8D8"/>
                          </a:solidFill>
                          <a:miter lim="800000"/>
                          <a:headEnd/>
                          <a:tailEnd/>
                        </a:ln>
                      </wps:spPr>
                      <wps:txbx>
                        <w:txbxContent>
                          <w:p w:rsidR="007320CA" w:rsidRPr="004001D8" w:rsidRDefault="007320CA" w:rsidP="00AC08E7">
                            <w:pPr>
                              <w:pStyle w:val="Heading1"/>
                            </w:pPr>
                            <w:r w:rsidRPr="004001D8">
                              <w:t xml:space="preserve"> </w:t>
                            </w:r>
                            <w:bookmarkStart w:id="15" w:name="_Toc381108753"/>
                            <w:r w:rsidRPr="004001D8">
                              <w:t>E</w:t>
                            </w:r>
                            <w:r>
                              <w:t>VALUATION DE LA PERFOMANCE A PARTIR D’INDICATEURS :</w:t>
                            </w:r>
                            <w:bookmarkEnd w:id="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2632FC8" id="_x0000_s1031" type="#_x0000_t202" style="position:absolute;left:0;text-align:left;margin-left:-40.7pt;margin-top:-156.9pt;width:744pt;height:2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" fillcolor="#f2f2f2" strokecolor="#d8d8d8">
                <v:textbox>
                  <w:txbxContent>
                    <w:p w:rsidR="007320CA" w:rsidRPr="004001D8" w:rsidRDefault="007320CA" w:rsidP="00AC08E7">
                      <w:pPr>
                        <w:pStyle w:val="Heading1"/>
                      </w:pPr>
                      <w:r w:rsidRPr="004001D8">
                        <w:t xml:space="preserve"> </w:t>
                      </w:r>
                      <w:bookmarkStart w:id="16" w:name="_Toc381108753"/>
                      <w:r w:rsidRPr="004001D8">
                        <w:t>E</w:t>
                      </w:r>
                      <w:r>
                        <w:t>VALUATION DE LA PERFOMANCE A PARTIR D’INDICATEURS :</w:t>
                      </w:r>
                      <w:bookmarkEnd w:id="16"/>
                    </w:p>
                  </w:txbxContent>
                </v:textbox>
              </v:shape>
            </w:pict>
          </mc:Fallback>
        </mc:AlternateContent>
      </w:r>
    </w:p>
    <w:p w:rsidR="00920E4B" w:rsidRDefault="00920E4B" w:rsidP="005D5E80">
      <w:pPr>
        <w:pStyle w:val="BodyText"/>
        <w:ind w:left="360"/>
        <w:jc w:val="both"/>
        <w:rPr>
          <w:rFonts w:ascii="Times New Roman" w:hAnsi="Times New Roman" w:cs="Times New Roman"/>
          <w:bCs/>
          <w:sz w:val="24"/>
          <w:szCs w:val="24"/>
          <w:lang w:val="fr-FR"/>
        </w:rPr>
      </w:pPr>
    </w:p>
    <w:p w:rsidR="00920E4B" w:rsidRDefault="00920E4B" w:rsidP="005D5E80">
      <w:pPr>
        <w:pStyle w:val="BodyText"/>
        <w:ind w:left="360"/>
        <w:jc w:val="both"/>
        <w:rPr>
          <w:rFonts w:ascii="Times New Roman" w:hAnsi="Times New Roman" w:cs="Times New Roman"/>
          <w:bCs/>
          <w:sz w:val="24"/>
          <w:szCs w:val="24"/>
          <w:lang w:val="fr-FR"/>
        </w:rPr>
      </w:pPr>
    </w:p>
    <w:p w:rsidR="00920E4B" w:rsidRDefault="00920E4B" w:rsidP="00920E4B">
      <w:pPr>
        <w:pStyle w:val="BodyText"/>
        <w:jc w:val="both"/>
        <w:rPr>
          <w:rFonts w:ascii="Times New Roman" w:hAnsi="Times New Roman" w:cs="Times New Roman"/>
          <w:bCs/>
          <w:sz w:val="24"/>
          <w:szCs w:val="24"/>
          <w:lang w:val="fr-FR"/>
        </w:rPr>
        <w:sectPr w:rsidR="00920E4B" w:rsidSect="00920E4B">
          <w:type w:val="continuous"/>
          <w:pgSz w:w="15840" w:h="12240" w:orient="landscape" w:code="1"/>
          <w:pgMar w:top="806" w:right="810" w:bottom="810" w:left="1354" w:header="720" w:footer="418" w:gutter="0"/>
          <w:cols w:space="720"/>
          <w:docGrid w:linePitch="360"/>
        </w:sectPr>
      </w:pPr>
    </w:p>
    <w:p w:rsidR="00264361" w:rsidRPr="005D5E80" w:rsidRDefault="00264361" w:rsidP="00920E4B">
      <w:pPr>
        <w:pStyle w:val="BodyText"/>
        <w:jc w:val="both"/>
        <w:rPr>
          <w:rFonts w:ascii="Times New Roman" w:hAnsi="Times New Roman" w:cs="Times New Roman"/>
          <w:bCs/>
          <w:color w:val="FF0000"/>
          <w:sz w:val="24"/>
          <w:szCs w:val="24"/>
          <w:lang w:val="fr-FR"/>
        </w:rPr>
      </w:pPr>
    </w:p>
    <w:tbl>
      <w:tblPr>
        <w:tblpPr w:leftFromText="180" w:rightFromText="180" w:vertAnchor="text" w:horzAnchor="margin" w:tblpXSpec="center" w:tblpY="-4660"/>
        <w:tblW w:w="15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28"/>
        <w:gridCol w:w="3150"/>
        <w:gridCol w:w="2880"/>
        <w:gridCol w:w="2700"/>
        <w:gridCol w:w="2790"/>
      </w:tblGrid>
      <w:tr w:rsidR="001E7D90" w:rsidRPr="00B7063F" w:rsidTr="001E7D90">
        <w:trPr>
          <w:trHeight w:val="890"/>
        </w:trPr>
        <w:tc>
          <w:tcPr>
            <w:tcW w:w="3528" w:type="dxa"/>
            <w:shd w:val="clear" w:color="auto" w:fill="EEECE1"/>
          </w:tcPr>
          <w:p w:rsidR="001E7D90" w:rsidRDefault="001E7D90" w:rsidP="001E7D90">
            <w:pPr>
              <w:rPr>
                <w:rFonts w:cs="Arial"/>
                <w:b/>
                <w:sz w:val="22"/>
                <w:szCs w:val="22"/>
              </w:rPr>
            </w:pPr>
            <w:r w:rsidRPr="00B7063F">
              <w:rPr>
                <w:rFonts w:cs="Arial"/>
                <w:b/>
                <w:sz w:val="22"/>
                <w:szCs w:val="22"/>
              </w:rPr>
              <w:lastRenderedPageBreak/>
              <w:t>Objectifs</w:t>
            </w:r>
          </w:p>
          <w:p w:rsidR="001E7D90" w:rsidRPr="001E7D90" w:rsidRDefault="001E7D90" w:rsidP="001E7D90">
            <w:pPr>
              <w:rPr>
                <w:rFonts w:cs="Arial"/>
                <w:sz w:val="22"/>
                <w:szCs w:val="22"/>
              </w:rPr>
            </w:pPr>
          </w:p>
        </w:tc>
        <w:tc>
          <w:tcPr>
            <w:tcW w:w="3150" w:type="dxa"/>
            <w:shd w:val="clear" w:color="auto" w:fill="EEECE1"/>
          </w:tcPr>
          <w:p w:rsidR="001E7D90" w:rsidRPr="00B7063F" w:rsidRDefault="001E7D90" w:rsidP="00914F6A">
            <w:pPr>
              <w:jc w:val="center"/>
              <w:rPr>
                <w:rFonts w:cs="Arial"/>
                <w:b/>
                <w:sz w:val="22"/>
                <w:szCs w:val="22"/>
              </w:rPr>
            </w:pPr>
            <w:r w:rsidRPr="00B7063F">
              <w:rPr>
                <w:rFonts w:cs="Arial"/>
                <w:b/>
                <w:sz w:val="22"/>
                <w:szCs w:val="22"/>
              </w:rPr>
              <w:t>Indicateurs mesurables</w:t>
            </w:r>
          </w:p>
        </w:tc>
        <w:tc>
          <w:tcPr>
            <w:tcW w:w="2880" w:type="dxa"/>
            <w:shd w:val="clear" w:color="auto" w:fill="EEECE1"/>
          </w:tcPr>
          <w:p w:rsidR="001E7D90" w:rsidRPr="00B7063F" w:rsidRDefault="001E7D90" w:rsidP="00914F6A">
            <w:pPr>
              <w:jc w:val="center"/>
              <w:rPr>
                <w:rFonts w:cs="Arial"/>
                <w:b/>
                <w:sz w:val="22"/>
                <w:szCs w:val="22"/>
              </w:rPr>
            </w:pPr>
            <w:r w:rsidRPr="001E7D90">
              <w:rPr>
                <w:rFonts w:cs="Arial"/>
                <w:b/>
                <w:sz w:val="22"/>
                <w:szCs w:val="22"/>
              </w:rPr>
              <w:t>Objectifs atteints en liaison avec les indicateurs</w:t>
            </w:r>
          </w:p>
        </w:tc>
        <w:tc>
          <w:tcPr>
            <w:tcW w:w="2700" w:type="dxa"/>
            <w:shd w:val="clear" w:color="auto" w:fill="EEECE1"/>
          </w:tcPr>
          <w:p w:rsidR="001E7D90" w:rsidRPr="00B7063F" w:rsidRDefault="001E7D90" w:rsidP="00914F6A">
            <w:pPr>
              <w:jc w:val="center"/>
              <w:rPr>
                <w:rFonts w:cs="Arial"/>
                <w:b/>
                <w:sz w:val="22"/>
                <w:szCs w:val="22"/>
              </w:rPr>
            </w:pPr>
            <w:r w:rsidRPr="001E7D90">
              <w:rPr>
                <w:rFonts w:cs="Arial"/>
                <w:b/>
                <w:sz w:val="22"/>
                <w:szCs w:val="22"/>
              </w:rPr>
              <w:t>Raisons des écarts éventuels par rapport aux objectifs fixés à l’origine</w:t>
            </w:r>
          </w:p>
        </w:tc>
        <w:tc>
          <w:tcPr>
            <w:tcW w:w="2790" w:type="dxa"/>
            <w:shd w:val="clear" w:color="auto" w:fill="EEECE1"/>
          </w:tcPr>
          <w:p w:rsidR="001E7D90" w:rsidRPr="00B7063F" w:rsidRDefault="001E7D90" w:rsidP="001E7D90">
            <w:pPr>
              <w:ind w:right="612"/>
              <w:jc w:val="center"/>
              <w:rPr>
                <w:rFonts w:cs="Arial"/>
                <w:b/>
                <w:sz w:val="22"/>
                <w:szCs w:val="22"/>
              </w:rPr>
            </w:pPr>
            <w:r w:rsidRPr="00B7063F">
              <w:rPr>
                <w:rFonts w:cs="Arial"/>
                <w:b/>
                <w:sz w:val="22"/>
                <w:szCs w:val="22"/>
              </w:rPr>
              <w:t>Moyens de vérification</w:t>
            </w:r>
          </w:p>
        </w:tc>
      </w:tr>
      <w:tr w:rsidR="001E7D90" w:rsidRPr="009F68BF" w:rsidTr="00E97C7F">
        <w:trPr>
          <w:trHeight w:val="3680"/>
        </w:trPr>
        <w:tc>
          <w:tcPr>
            <w:tcW w:w="3528" w:type="dxa"/>
            <w:tcBorders>
              <w:bottom w:val="single" w:sz="4" w:space="0" w:color="000000"/>
            </w:tcBorders>
          </w:tcPr>
          <w:p w:rsidR="001E7D90" w:rsidRPr="00B7063F" w:rsidRDefault="001E7D90" w:rsidP="00914F6A">
            <w:pPr>
              <w:rPr>
                <w:rFonts w:cs="Arial"/>
                <w:b/>
                <w:sz w:val="22"/>
                <w:szCs w:val="22"/>
              </w:rPr>
            </w:pPr>
            <w:r w:rsidRPr="00B7063F">
              <w:rPr>
                <w:rFonts w:cs="Arial"/>
                <w:b/>
                <w:sz w:val="22"/>
                <w:szCs w:val="22"/>
              </w:rPr>
              <w:t xml:space="preserve">OBJECTIF GENERAL: </w:t>
            </w:r>
            <w:r w:rsidRPr="00B7063F">
              <w:rPr>
                <w:rFonts w:cs="Arial"/>
                <w:sz w:val="22"/>
                <w:szCs w:val="22"/>
              </w:rPr>
              <w:t>Faciliter la réinsertion socio-économique de 1.829 jeunes associés aux forces armées et les jeunes vulnérables, réduisant le risque qu'ils s'engagent dans la violence et la criminalité, contribuant ainsi à la stabilité en Guinée</w:t>
            </w:r>
          </w:p>
        </w:tc>
        <w:tc>
          <w:tcPr>
            <w:tcW w:w="3150" w:type="dxa"/>
            <w:tcBorders>
              <w:bottom w:val="single" w:sz="4" w:space="0" w:color="000000"/>
            </w:tcBorders>
          </w:tcPr>
          <w:p w:rsidR="001E7D90" w:rsidRDefault="001E7D90" w:rsidP="00914F6A">
            <w:pPr>
              <w:numPr>
                <w:ilvl w:val="0"/>
                <w:numId w:val="29"/>
              </w:numPr>
              <w:ind w:left="193" w:hanging="193"/>
              <w:rPr>
                <w:rFonts w:cs="Arial"/>
                <w:sz w:val="22"/>
                <w:szCs w:val="22"/>
              </w:rPr>
            </w:pPr>
            <w:r w:rsidRPr="00B7063F">
              <w:rPr>
                <w:rFonts w:cs="Arial"/>
                <w:sz w:val="22"/>
                <w:szCs w:val="22"/>
              </w:rPr>
              <w:t>% de jeunes qui déclarent une augmentation de leur bien-être et leur confiance dans leur capacité à être économiquement indépendants</w:t>
            </w:r>
          </w:p>
          <w:p w:rsidR="00E97C7F" w:rsidRPr="00B7063F" w:rsidRDefault="00E97C7F" w:rsidP="00E97C7F">
            <w:pPr>
              <w:ind w:left="193"/>
              <w:rPr>
                <w:rFonts w:cs="Arial"/>
                <w:sz w:val="22"/>
                <w:szCs w:val="22"/>
              </w:rPr>
            </w:pPr>
          </w:p>
          <w:p w:rsidR="001E7D90" w:rsidRDefault="001E7D90" w:rsidP="00914F6A">
            <w:pPr>
              <w:numPr>
                <w:ilvl w:val="0"/>
                <w:numId w:val="29"/>
              </w:numPr>
              <w:ind w:left="193" w:hanging="193"/>
              <w:rPr>
                <w:rFonts w:cs="Arial"/>
                <w:sz w:val="22"/>
                <w:szCs w:val="22"/>
              </w:rPr>
            </w:pPr>
            <w:r w:rsidRPr="00B7063F">
              <w:rPr>
                <w:rFonts w:cs="Arial"/>
                <w:sz w:val="22"/>
                <w:szCs w:val="22"/>
              </w:rPr>
              <w:t xml:space="preserve"># de jeunes qui s’engagent dans des actes de violence et de criminalité </w:t>
            </w:r>
          </w:p>
          <w:p w:rsidR="00E97C7F" w:rsidRPr="00B7063F" w:rsidRDefault="00E97C7F" w:rsidP="00E97C7F">
            <w:pPr>
              <w:ind w:left="193"/>
              <w:rPr>
                <w:rFonts w:cs="Arial"/>
                <w:sz w:val="22"/>
                <w:szCs w:val="22"/>
              </w:rPr>
            </w:pPr>
          </w:p>
          <w:p w:rsidR="001E7D90" w:rsidRPr="00B7063F" w:rsidRDefault="001E7D90" w:rsidP="00914F6A">
            <w:pPr>
              <w:numPr>
                <w:ilvl w:val="0"/>
                <w:numId w:val="29"/>
              </w:numPr>
              <w:ind w:left="193" w:hanging="193"/>
              <w:rPr>
                <w:rFonts w:cs="Arial"/>
                <w:sz w:val="22"/>
                <w:szCs w:val="22"/>
              </w:rPr>
            </w:pPr>
            <w:r w:rsidRPr="00B7063F">
              <w:rPr>
                <w:rFonts w:cs="Arial"/>
                <w:sz w:val="22"/>
                <w:szCs w:val="22"/>
              </w:rPr>
              <w:t># de jeunes qui trouvent un emploi ou créent une entreprise génératrice de revenus</w:t>
            </w:r>
            <w:r>
              <w:rPr>
                <w:rFonts w:cs="Arial"/>
                <w:sz w:val="22"/>
                <w:szCs w:val="22"/>
              </w:rPr>
              <w:t xml:space="preserve"> et d’emploi</w:t>
            </w:r>
          </w:p>
        </w:tc>
        <w:tc>
          <w:tcPr>
            <w:tcW w:w="2880" w:type="dxa"/>
            <w:tcBorders>
              <w:bottom w:val="single" w:sz="4" w:space="0" w:color="000000"/>
            </w:tcBorders>
          </w:tcPr>
          <w:p w:rsidR="001E7D90" w:rsidRPr="000D4A21" w:rsidRDefault="00E97C7F" w:rsidP="00E97C7F">
            <w:pPr>
              <w:pStyle w:val="ListParagraph"/>
              <w:numPr>
                <w:ilvl w:val="0"/>
                <w:numId w:val="29"/>
              </w:numPr>
              <w:ind w:left="162" w:hanging="162"/>
              <w:rPr>
                <w:rFonts w:cs="Arial"/>
                <w:sz w:val="22"/>
                <w:szCs w:val="22"/>
                <w:lang w:val="fr-FR"/>
              </w:rPr>
            </w:pPr>
            <w:r w:rsidRPr="000D4A21">
              <w:rPr>
                <w:rFonts w:cs="Arial"/>
                <w:sz w:val="22"/>
                <w:szCs w:val="22"/>
                <w:lang w:val="fr-FR"/>
              </w:rPr>
              <w:t>Doit être évalué à la fin du projet (</w:t>
            </w:r>
            <w:r w:rsidR="00EA7271" w:rsidRPr="000D4A21">
              <w:rPr>
                <w:rFonts w:cs="Arial"/>
                <w:sz w:val="22"/>
                <w:szCs w:val="22"/>
                <w:lang w:val="fr-FR"/>
              </w:rPr>
              <w:t>fin de 2014</w:t>
            </w:r>
            <w:r w:rsidRPr="000D4A21">
              <w:rPr>
                <w:rFonts w:cs="Arial"/>
                <w:sz w:val="22"/>
                <w:szCs w:val="22"/>
                <w:lang w:val="fr-FR"/>
              </w:rPr>
              <w:t>)</w:t>
            </w:r>
          </w:p>
          <w:p w:rsidR="00E97C7F" w:rsidRPr="000D4A21" w:rsidRDefault="00E97C7F" w:rsidP="00EA7271">
            <w:pPr>
              <w:rPr>
                <w:rFonts w:cs="Arial"/>
                <w:sz w:val="22"/>
                <w:szCs w:val="22"/>
              </w:rPr>
            </w:pPr>
          </w:p>
          <w:p w:rsidR="00E97C7F" w:rsidRPr="000D4A21" w:rsidRDefault="00E97C7F" w:rsidP="00EA7271">
            <w:pPr>
              <w:rPr>
                <w:rFonts w:cs="Arial"/>
                <w:sz w:val="22"/>
                <w:szCs w:val="22"/>
              </w:rPr>
            </w:pPr>
          </w:p>
          <w:p w:rsidR="00EA7271" w:rsidRPr="000D4A21" w:rsidRDefault="00EA7271" w:rsidP="00EA7271">
            <w:pPr>
              <w:rPr>
                <w:rFonts w:cs="Arial"/>
                <w:sz w:val="22"/>
                <w:szCs w:val="22"/>
              </w:rPr>
            </w:pPr>
          </w:p>
          <w:p w:rsidR="00E97C7F" w:rsidRPr="000D4A21" w:rsidRDefault="00E97C7F" w:rsidP="00EA7271">
            <w:pPr>
              <w:rPr>
                <w:rFonts w:cs="Arial"/>
                <w:sz w:val="22"/>
                <w:szCs w:val="22"/>
              </w:rPr>
            </w:pPr>
          </w:p>
          <w:p w:rsidR="00EA7271" w:rsidRPr="000D4A21" w:rsidRDefault="00211E51" w:rsidP="00E97C7F">
            <w:pPr>
              <w:pStyle w:val="ListParagraph"/>
              <w:numPr>
                <w:ilvl w:val="0"/>
                <w:numId w:val="29"/>
              </w:numPr>
              <w:ind w:left="252" w:hanging="252"/>
              <w:rPr>
                <w:rFonts w:cs="Arial"/>
                <w:lang w:val="fr-FR"/>
              </w:rPr>
            </w:pPr>
            <w:r w:rsidRPr="000D4A21">
              <w:rPr>
                <w:rFonts w:cs="Arial"/>
                <w:sz w:val="22"/>
                <w:szCs w:val="22"/>
                <w:lang w:val="fr-FR"/>
              </w:rPr>
              <w:t>16</w:t>
            </w:r>
            <w:r w:rsidR="00E97C7F" w:rsidRPr="000D4A21">
              <w:rPr>
                <w:rFonts w:cs="Arial"/>
                <w:sz w:val="22"/>
                <w:szCs w:val="22"/>
                <w:lang w:val="fr-FR"/>
              </w:rPr>
              <w:t xml:space="preserve"> cas sur les 1809 jeunes soit </w:t>
            </w:r>
            <w:r w:rsidRPr="000D4A21">
              <w:rPr>
                <w:rFonts w:cs="Arial"/>
                <w:sz w:val="22"/>
                <w:szCs w:val="22"/>
                <w:lang w:val="fr-FR"/>
              </w:rPr>
              <w:t>moins de 1% en 2013</w:t>
            </w:r>
            <w:r w:rsidR="00E97C7F" w:rsidRPr="000D4A21">
              <w:rPr>
                <w:rFonts w:cs="Arial"/>
                <w:lang w:val="fr-FR"/>
              </w:rPr>
              <w:t xml:space="preserve"> </w:t>
            </w:r>
          </w:p>
          <w:p w:rsidR="00EA7271" w:rsidRPr="000D4A21" w:rsidRDefault="00EA7271" w:rsidP="00EA7271">
            <w:pPr>
              <w:rPr>
                <w:rFonts w:cs="Arial"/>
                <w:sz w:val="22"/>
                <w:szCs w:val="22"/>
              </w:rPr>
            </w:pPr>
          </w:p>
          <w:p w:rsidR="0007284C" w:rsidRPr="000D4A21" w:rsidRDefault="0007284C" w:rsidP="00EA7271">
            <w:pPr>
              <w:rPr>
                <w:rFonts w:cs="Arial"/>
                <w:sz w:val="22"/>
                <w:szCs w:val="22"/>
              </w:rPr>
            </w:pPr>
          </w:p>
          <w:p w:rsidR="00EA7271" w:rsidRPr="000D4A21" w:rsidRDefault="00E97C7F" w:rsidP="00211E51">
            <w:pPr>
              <w:numPr>
                <w:ilvl w:val="0"/>
                <w:numId w:val="29"/>
              </w:numPr>
              <w:ind w:left="193" w:hanging="193"/>
              <w:rPr>
                <w:rFonts w:cs="Arial"/>
              </w:rPr>
            </w:pPr>
            <w:r w:rsidRPr="000D4A21">
              <w:rPr>
                <w:rFonts w:cs="Arial"/>
                <w:sz w:val="22"/>
                <w:szCs w:val="22"/>
              </w:rPr>
              <w:t>30% des diplômés de 2012 pratiquent leurs métiers en privé ou en équipe</w:t>
            </w:r>
            <w:r w:rsidR="00211E51" w:rsidRPr="000D4A21">
              <w:rPr>
                <w:rFonts w:cs="Arial"/>
                <w:sz w:val="22"/>
                <w:szCs w:val="22"/>
              </w:rPr>
              <w:t xml:space="preserve"> et 59% de l’effectif total des jeunes sont en emploi dont 41% en lien avec leur filière.</w:t>
            </w:r>
          </w:p>
        </w:tc>
        <w:tc>
          <w:tcPr>
            <w:tcW w:w="2700" w:type="dxa"/>
            <w:tcBorders>
              <w:bottom w:val="single" w:sz="4" w:space="0" w:color="000000"/>
            </w:tcBorders>
          </w:tcPr>
          <w:p w:rsidR="001E7D90" w:rsidRPr="00B7063F" w:rsidRDefault="001E7D90" w:rsidP="00914F6A">
            <w:pPr>
              <w:numPr>
                <w:ilvl w:val="0"/>
                <w:numId w:val="29"/>
              </w:numPr>
              <w:ind w:left="193" w:hanging="193"/>
              <w:rPr>
                <w:rFonts w:cs="Arial"/>
                <w:sz w:val="22"/>
                <w:szCs w:val="22"/>
              </w:rPr>
            </w:pPr>
          </w:p>
        </w:tc>
        <w:tc>
          <w:tcPr>
            <w:tcW w:w="2790" w:type="dxa"/>
            <w:tcBorders>
              <w:bottom w:val="single" w:sz="4" w:space="0" w:color="000000"/>
            </w:tcBorders>
          </w:tcPr>
          <w:p w:rsidR="001E7D90" w:rsidRPr="00B7063F" w:rsidRDefault="001E7D90" w:rsidP="00914F6A">
            <w:pPr>
              <w:numPr>
                <w:ilvl w:val="0"/>
                <w:numId w:val="29"/>
              </w:numPr>
              <w:ind w:left="193" w:hanging="193"/>
              <w:rPr>
                <w:rFonts w:cs="Arial"/>
                <w:sz w:val="22"/>
                <w:szCs w:val="22"/>
              </w:rPr>
            </w:pPr>
            <w:r w:rsidRPr="00B7063F">
              <w:rPr>
                <w:rFonts w:cs="Arial"/>
                <w:sz w:val="22"/>
                <w:szCs w:val="22"/>
              </w:rPr>
              <w:t>Une évaluation de bien-être et la confiance, menée par les jeunes,</w:t>
            </w:r>
          </w:p>
          <w:p w:rsidR="001E7D90" w:rsidRPr="00B7063F" w:rsidRDefault="001E7D90" w:rsidP="00914F6A">
            <w:pPr>
              <w:numPr>
                <w:ilvl w:val="0"/>
                <w:numId w:val="29"/>
              </w:numPr>
              <w:ind w:left="193" w:hanging="193"/>
              <w:rPr>
                <w:rFonts w:cs="Arial"/>
                <w:sz w:val="22"/>
                <w:szCs w:val="22"/>
              </w:rPr>
            </w:pPr>
            <w:r w:rsidRPr="00B7063F">
              <w:rPr>
                <w:rFonts w:cs="Arial"/>
                <w:sz w:val="22"/>
                <w:szCs w:val="22"/>
              </w:rPr>
              <w:t>Discussions de groupe (FGD) avec les jeunes</w:t>
            </w:r>
          </w:p>
          <w:p w:rsidR="001E7D90" w:rsidRPr="00B7063F" w:rsidRDefault="001E7D90" w:rsidP="00914F6A">
            <w:pPr>
              <w:numPr>
                <w:ilvl w:val="0"/>
                <w:numId w:val="29"/>
              </w:numPr>
              <w:ind w:left="193" w:hanging="193"/>
              <w:rPr>
                <w:rFonts w:cs="Arial"/>
                <w:sz w:val="22"/>
                <w:szCs w:val="22"/>
              </w:rPr>
            </w:pPr>
            <w:r w:rsidRPr="00B7063F">
              <w:rPr>
                <w:rFonts w:cs="Arial"/>
                <w:sz w:val="22"/>
                <w:szCs w:val="22"/>
              </w:rPr>
              <w:t xml:space="preserve">Les rapports de suivi des autorités locales et des ONG </w:t>
            </w:r>
          </w:p>
          <w:p w:rsidR="001E7D90" w:rsidRPr="00B7063F" w:rsidRDefault="001E7D90" w:rsidP="00914F6A">
            <w:pPr>
              <w:numPr>
                <w:ilvl w:val="0"/>
                <w:numId w:val="29"/>
              </w:numPr>
              <w:ind w:left="193" w:hanging="193"/>
              <w:rPr>
                <w:rFonts w:cs="Arial"/>
                <w:sz w:val="22"/>
                <w:szCs w:val="22"/>
              </w:rPr>
            </w:pPr>
            <w:r w:rsidRPr="00B7063F">
              <w:rPr>
                <w:rFonts w:cs="Arial"/>
                <w:sz w:val="22"/>
                <w:szCs w:val="22"/>
              </w:rPr>
              <w:t>Les rapports des partenaires d'exécution</w:t>
            </w:r>
          </w:p>
          <w:p w:rsidR="001E7D90" w:rsidRPr="00B7063F" w:rsidRDefault="001E7D90" w:rsidP="00914F6A">
            <w:pPr>
              <w:numPr>
                <w:ilvl w:val="0"/>
                <w:numId w:val="29"/>
              </w:numPr>
              <w:ind w:left="193" w:hanging="193"/>
              <w:rPr>
                <w:rFonts w:cs="Arial"/>
                <w:sz w:val="22"/>
                <w:szCs w:val="22"/>
              </w:rPr>
            </w:pPr>
            <w:r w:rsidRPr="00B7063F">
              <w:rPr>
                <w:rFonts w:cs="Arial"/>
                <w:sz w:val="22"/>
                <w:szCs w:val="22"/>
              </w:rPr>
              <w:t>Une évaluation externe</w:t>
            </w:r>
          </w:p>
        </w:tc>
      </w:tr>
      <w:tr w:rsidR="001E7D90" w:rsidRPr="009F68BF" w:rsidTr="001E7D90">
        <w:trPr>
          <w:trHeight w:val="278"/>
        </w:trPr>
        <w:tc>
          <w:tcPr>
            <w:tcW w:w="3528" w:type="dxa"/>
            <w:tcBorders>
              <w:bottom w:val="single" w:sz="4" w:space="0" w:color="000000"/>
            </w:tcBorders>
          </w:tcPr>
          <w:p w:rsidR="001E7D90" w:rsidRPr="00B7063F" w:rsidRDefault="001E7D90" w:rsidP="00914F6A">
            <w:pPr>
              <w:jc w:val="both"/>
              <w:rPr>
                <w:bCs/>
                <w:sz w:val="22"/>
                <w:szCs w:val="22"/>
              </w:rPr>
            </w:pPr>
            <w:r w:rsidRPr="00B7063F">
              <w:rPr>
                <w:rFonts w:cs="Arial"/>
                <w:b/>
                <w:sz w:val="22"/>
                <w:szCs w:val="22"/>
              </w:rPr>
              <w:t>OBJECTIFS IMMEDIATS </w:t>
            </w:r>
            <w:r w:rsidRPr="00B7063F">
              <w:rPr>
                <w:rFonts w:cs="Arial"/>
                <w:sz w:val="22"/>
                <w:szCs w:val="22"/>
              </w:rPr>
              <w:t xml:space="preserve">: S’assurer que : </w:t>
            </w:r>
          </w:p>
          <w:p w:rsidR="001E7D90" w:rsidRPr="00B7063F" w:rsidRDefault="001E7D90" w:rsidP="00914F6A">
            <w:pPr>
              <w:numPr>
                <w:ilvl w:val="0"/>
                <w:numId w:val="34"/>
              </w:numPr>
              <w:contextualSpacing/>
              <w:jc w:val="both"/>
              <w:rPr>
                <w:bCs/>
                <w:sz w:val="22"/>
                <w:szCs w:val="22"/>
              </w:rPr>
            </w:pPr>
            <w:r w:rsidRPr="00B7063F">
              <w:rPr>
                <w:rFonts w:cs="Arial"/>
                <w:sz w:val="22"/>
                <w:szCs w:val="22"/>
              </w:rPr>
              <w:t>1.829 jeunes acquièrent des compétences et des qualifications qui leur permettront de concourir pour des opportunités d’emplois durables et de la génération de revenus sur le marché du travail ;</w:t>
            </w:r>
          </w:p>
          <w:p w:rsidR="001E7D90" w:rsidRPr="00B7063F" w:rsidRDefault="001E7D90" w:rsidP="00914F6A">
            <w:pPr>
              <w:numPr>
                <w:ilvl w:val="0"/>
                <w:numId w:val="34"/>
              </w:numPr>
              <w:contextualSpacing/>
              <w:jc w:val="both"/>
              <w:rPr>
                <w:bCs/>
                <w:sz w:val="22"/>
                <w:szCs w:val="22"/>
              </w:rPr>
            </w:pPr>
            <w:r w:rsidRPr="00B7063F">
              <w:rPr>
                <w:rFonts w:cs="Arial"/>
                <w:sz w:val="22"/>
                <w:szCs w:val="22"/>
              </w:rPr>
              <w:t xml:space="preserve"> 1.829 jeunes ont une bonne compréhension des possibilités d'emploi durable et de la génération de revenus sur le marché du travail et de la façon de les exploiter</w:t>
            </w:r>
          </w:p>
          <w:p w:rsidR="001E7D90" w:rsidRPr="00B7063F" w:rsidRDefault="001E7D90" w:rsidP="00914F6A">
            <w:pPr>
              <w:numPr>
                <w:ilvl w:val="0"/>
                <w:numId w:val="34"/>
              </w:numPr>
              <w:contextualSpacing/>
              <w:jc w:val="both"/>
              <w:rPr>
                <w:bCs/>
                <w:sz w:val="22"/>
                <w:szCs w:val="22"/>
              </w:rPr>
            </w:pPr>
            <w:r w:rsidRPr="00B7063F">
              <w:rPr>
                <w:rFonts w:cs="Arial"/>
                <w:sz w:val="22"/>
                <w:szCs w:val="22"/>
              </w:rPr>
              <w:t>1.829 jeunes sont réhabilités dans la communauté</w:t>
            </w:r>
          </w:p>
        </w:tc>
        <w:tc>
          <w:tcPr>
            <w:tcW w:w="3150" w:type="dxa"/>
            <w:tcBorders>
              <w:bottom w:val="single" w:sz="4" w:space="0" w:color="000000"/>
            </w:tcBorders>
          </w:tcPr>
          <w:p w:rsidR="001E7D90" w:rsidRDefault="001E7D90" w:rsidP="00914F6A">
            <w:pPr>
              <w:numPr>
                <w:ilvl w:val="0"/>
                <w:numId w:val="29"/>
              </w:numPr>
              <w:ind w:left="193" w:hanging="193"/>
              <w:rPr>
                <w:rFonts w:cs="Arial"/>
                <w:sz w:val="22"/>
                <w:szCs w:val="22"/>
              </w:rPr>
            </w:pPr>
            <w:r w:rsidRPr="00B7063F">
              <w:rPr>
                <w:rFonts w:cs="Arial"/>
                <w:sz w:val="22"/>
                <w:szCs w:val="22"/>
              </w:rPr>
              <w:t>% des jeunes qui passent l'examen final et acquièrent une qualification formelle</w:t>
            </w:r>
          </w:p>
          <w:p w:rsidR="00E97C7F" w:rsidRDefault="00E97C7F" w:rsidP="00E97C7F">
            <w:pPr>
              <w:rPr>
                <w:rFonts w:cs="Arial"/>
                <w:sz w:val="22"/>
                <w:szCs w:val="22"/>
              </w:rPr>
            </w:pPr>
          </w:p>
          <w:p w:rsidR="00E97C7F" w:rsidRDefault="00E97C7F" w:rsidP="00E97C7F">
            <w:pPr>
              <w:rPr>
                <w:rFonts w:cs="Arial"/>
                <w:sz w:val="22"/>
                <w:szCs w:val="22"/>
              </w:rPr>
            </w:pPr>
          </w:p>
          <w:p w:rsidR="00E97C7F" w:rsidRPr="00B7063F" w:rsidRDefault="00E97C7F" w:rsidP="00E97C7F">
            <w:pPr>
              <w:rPr>
                <w:rFonts w:cs="Arial"/>
                <w:sz w:val="22"/>
                <w:szCs w:val="22"/>
              </w:rPr>
            </w:pPr>
          </w:p>
          <w:p w:rsidR="001E7D90" w:rsidRPr="00E97C7F" w:rsidRDefault="001E7D90" w:rsidP="00914F6A">
            <w:pPr>
              <w:numPr>
                <w:ilvl w:val="0"/>
                <w:numId w:val="29"/>
              </w:numPr>
              <w:ind w:left="193" w:hanging="193"/>
              <w:rPr>
                <w:rFonts w:cs="Arial"/>
                <w:sz w:val="22"/>
                <w:szCs w:val="22"/>
              </w:rPr>
            </w:pPr>
            <w:r w:rsidRPr="00E97C7F">
              <w:rPr>
                <w:rFonts w:cs="Arial"/>
                <w:sz w:val="22"/>
                <w:szCs w:val="22"/>
              </w:rPr>
              <w:t>% des jeunes qui produisent un plan d'affaires, énonçant leurs plans de recherche d'emploi / générer des revenus, et ont la propriété de celui-ci</w:t>
            </w:r>
          </w:p>
          <w:p w:rsidR="00E97C7F" w:rsidRDefault="00E97C7F" w:rsidP="00E97C7F">
            <w:pPr>
              <w:ind w:left="193"/>
              <w:rPr>
                <w:rFonts w:cs="Arial"/>
                <w:sz w:val="22"/>
                <w:szCs w:val="22"/>
              </w:rPr>
            </w:pPr>
          </w:p>
          <w:p w:rsidR="0007284C" w:rsidRDefault="0007284C" w:rsidP="00E97C7F">
            <w:pPr>
              <w:ind w:left="193"/>
              <w:rPr>
                <w:rFonts w:cs="Arial"/>
                <w:sz w:val="22"/>
                <w:szCs w:val="22"/>
              </w:rPr>
            </w:pPr>
          </w:p>
          <w:p w:rsidR="0007284C" w:rsidRDefault="0007284C" w:rsidP="00E97C7F">
            <w:pPr>
              <w:ind w:left="193"/>
              <w:rPr>
                <w:rFonts w:cs="Arial"/>
                <w:sz w:val="22"/>
                <w:szCs w:val="22"/>
              </w:rPr>
            </w:pPr>
          </w:p>
          <w:p w:rsidR="0007284C" w:rsidRDefault="0007284C" w:rsidP="00E97C7F">
            <w:pPr>
              <w:ind w:left="193"/>
              <w:rPr>
                <w:rFonts w:cs="Arial"/>
                <w:sz w:val="22"/>
                <w:szCs w:val="22"/>
              </w:rPr>
            </w:pPr>
          </w:p>
          <w:p w:rsidR="0084419A" w:rsidRPr="00E97C7F" w:rsidRDefault="0084419A" w:rsidP="00E97C7F">
            <w:pPr>
              <w:ind w:left="193"/>
              <w:rPr>
                <w:rFonts w:cs="Arial"/>
                <w:sz w:val="22"/>
                <w:szCs w:val="22"/>
              </w:rPr>
            </w:pPr>
          </w:p>
          <w:p w:rsidR="001E7D90" w:rsidRPr="00B7063F" w:rsidRDefault="001E7D90" w:rsidP="00914F6A">
            <w:pPr>
              <w:numPr>
                <w:ilvl w:val="0"/>
                <w:numId w:val="29"/>
              </w:numPr>
              <w:ind w:left="193" w:hanging="193"/>
              <w:rPr>
                <w:rFonts w:cs="Arial"/>
                <w:sz w:val="22"/>
                <w:szCs w:val="22"/>
              </w:rPr>
            </w:pPr>
            <w:r w:rsidRPr="00B7063F">
              <w:rPr>
                <w:rFonts w:cs="Arial"/>
                <w:sz w:val="22"/>
                <w:szCs w:val="22"/>
              </w:rPr>
              <w:t>% de jeunes qui sont membres d'organisations sociales / communautaires</w:t>
            </w:r>
          </w:p>
          <w:p w:rsidR="001E7D90" w:rsidRPr="00B7063F" w:rsidRDefault="001E7D90" w:rsidP="00914F6A">
            <w:pPr>
              <w:ind w:left="193"/>
              <w:rPr>
                <w:rFonts w:cs="Arial"/>
                <w:sz w:val="22"/>
                <w:szCs w:val="22"/>
              </w:rPr>
            </w:pPr>
          </w:p>
        </w:tc>
        <w:tc>
          <w:tcPr>
            <w:tcW w:w="2880" w:type="dxa"/>
            <w:tcBorders>
              <w:bottom w:val="single" w:sz="4" w:space="0" w:color="000000"/>
            </w:tcBorders>
          </w:tcPr>
          <w:p w:rsidR="00E97C7F" w:rsidRPr="000D4A21" w:rsidRDefault="00E97C7F" w:rsidP="00E97C7F">
            <w:pPr>
              <w:pStyle w:val="ListParagraph"/>
              <w:numPr>
                <w:ilvl w:val="0"/>
                <w:numId w:val="29"/>
              </w:numPr>
              <w:ind w:left="162" w:hanging="162"/>
              <w:rPr>
                <w:rFonts w:cs="Arial"/>
                <w:lang w:val="fr-FR"/>
              </w:rPr>
            </w:pPr>
            <w:r w:rsidRPr="000D4A21">
              <w:rPr>
                <w:rFonts w:cs="Arial"/>
                <w:sz w:val="22"/>
                <w:szCs w:val="22"/>
                <w:lang w:val="fr-FR"/>
              </w:rPr>
              <w:t>À la fin de l’année scolaire 2012-2013, 43,</w:t>
            </w:r>
            <w:r w:rsidR="00620383" w:rsidRPr="000D4A21">
              <w:rPr>
                <w:rFonts w:cs="Arial"/>
                <w:sz w:val="22"/>
                <w:szCs w:val="22"/>
                <w:lang w:val="fr-FR"/>
              </w:rPr>
              <w:t>72</w:t>
            </w:r>
            <w:r w:rsidRPr="000D4A21">
              <w:rPr>
                <w:rFonts w:cs="Arial"/>
                <w:sz w:val="22"/>
                <w:szCs w:val="22"/>
                <w:lang w:val="fr-FR"/>
              </w:rPr>
              <w:t xml:space="preserve">%  soit 791 jeunes sont diplômés </w:t>
            </w:r>
            <w:r w:rsidR="00620383" w:rsidRPr="000D4A21">
              <w:rPr>
                <w:rFonts w:cs="Arial"/>
                <w:sz w:val="22"/>
                <w:szCs w:val="22"/>
                <w:lang w:val="fr-FR"/>
              </w:rPr>
              <w:t>.</w:t>
            </w:r>
          </w:p>
          <w:p w:rsidR="00E97C7F" w:rsidRPr="000D4A21" w:rsidRDefault="00E97C7F" w:rsidP="00E97C7F">
            <w:pPr>
              <w:pStyle w:val="ListParagraph"/>
              <w:ind w:left="162"/>
              <w:rPr>
                <w:rFonts w:cs="Arial"/>
                <w:sz w:val="22"/>
                <w:szCs w:val="22"/>
                <w:lang w:val="fr-FR"/>
              </w:rPr>
            </w:pPr>
          </w:p>
          <w:p w:rsidR="00620383" w:rsidRPr="000D4A21" w:rsidRDefault="00620383" w:rsidP="00E97C7F">
            <w:pPr>
              <w:pStyle w:val="ListParagraph"/>
              <w:ind w:left="162"/>
              <w:rPr>
                <w:rFonts w:cs="Arial"/>
                <w:sz w:val="22"/>
                <w:szCs w:val="22"/>
                <w:lang w:val="fr-FR"/>
              </w:rPr>
            </w:pPr>
          </w:p>
          <w:p w:rsidR="001E7D90" w:rsidRPr="000D4A21" w:rsidRDefault="00E97C7F" w:rsidP="001E7D90">
            <w:pPr>
              <w:pStyle w:val="ListParagraph"/>
              <w:numPr>
                <w:ilvl w:val="0"/>
                <w:numId w:val="29"/>
              </w:numPr>
              <w:ind w:left="162" w:hanging="162"/>
              <w:rPr>
                <w:rFonts w:cs="Arial"/>
                <w:sz w:val="22"/>
                <w:szCs w:val="22"/>
                <w:lang w:val="fr-FR"/>
              </w:rPr>
            </w:pPr>
            <w:r w:rsidRPr="000D4A21">
              <w:rPr>
                <w:rFonts w:cs="Arial"/>
                <w:sz w:val="22"/>
                <w:szCs w:val="22"/>
                <w:lang w:val="fr-FR"/>
              </w:rPr>
              <w:t>Doit être évalué à la fin du projet</w:t>
            </w:r>
          </w:p>
          <w:p w:rsidR="0007284C" w:rsidRPr="000D4A21" w:rsidRDefault="0007284C" w:rsidP="0007284C">
            <w:pPr>
              <w:rPr>
                <w:rFonts w:cs="Arial"/>
                <w:sz w:val="22"/>
                <w:szCs w:val="22"/>
              </w:rPr>
            </w:pPr>
            <w:r w:rsidRPr="000D4A21">
              <w:rPr>
                <w:rFonts w:cs="Arial"/>
                <w:sz w:val="22"/>
                <w:szCs w:val="22"/>
                <w:lang w:eastAsia="en-US"/>
              </w:rPr>
              <w:t xml:space="preserve">Cependant, sur 429 jeunes enquêtés, 41% des jeunes envisagent l’auto- </w:t>
            </w:r>
            <w:r w:rsidR="0084419A" w:rsidRPr="000D4A21">
              <w:rPr>
                <w:rFonts w:cs="Arial"/>
                <w:sz w:val="22"/>
                <w:szCs w:val="22"/>
                <w:lang w:eastAsia="en-US"/>
              </w:rPr>
              <w:t>entreprenariat dont 90% veulent se mettre en groupement avec des amis de classe</w:t>
            </w:r>
          </w:p>
          <w:p w:rsidR="00EA7271" w:rsidRPr="000D4A21" w:rsidRDefault="00EA7271" w:rsidP="00EA7271">
            <w:pPr>
              <w:rPr>
                <w:rFonts w:cs="Arial"/>
                <w:sz w:val="22"/>
                <w:szCs w:val="22"/>
              </w:rPr>
            </w:pPr>
          </w:p>
          <w:p w:rsidR="00620383" w:rsidRPr="000D4A21" w:rsidRDefault="00620383" w:rsidP="00EA7271">
            <w:pPr>
              <w:rPr>
                <w:rFonts w:cs="Arial"/>
                <w:sz w:val="22"/>
                <w:szCs w:val="22"/>
              </w:rPr>
            </w:pPr>
          </w:p>
          <w:p w:rsidR="00E97C7F" w:rsidRPr="000D4A21" w:rsidRDefault="00E97C7F" w:rsidP="00E97C7F">
            <w:pPr>
              <w:pStyle w:val="ListParagraph"/>
              <w:numPr>
                <w:ilvl w:val="0"/>
                <w:numId w:val="29"/>
              </w:numPr>
              <w:ind w:left="162" w:hanging="162"/>
              <w:rPr>
                <w:rFonts w:cs="Arial"/>
                <w:sz w:val="22"/>
                <w:szCs w:val="22"/>
                <w:lang w:val="fr-FR"/>
              </w:rPr>
            </w:pPr>
            <w:r w:rsidRPr="000D4A21">
              <w:rPr>
                <w:rFonts w:cs="Arial"/>
                <w:sz w:val="22"/>
                <w:szCs w:val="22"/>
                <w:lang w:val="fr-FR"/>
              </w:rPr>
              <w:t>Doit être évalué à la fin du projet</w:t>
            </w:r>
          </w:p>
          <w:p w:rsidR="00EA7271" w:rsidRPr="000D4A21" w:rsidRDefault="00EA7271" w:rsidP="00E97C7F">
            <w:pPr>
              <w:pStyle w:val="ListParagraph"/>
              <w:ind w:left="162"/>
              <w:rPr>
                <w:rFonts w:cs="Arial"/>
                <w:sz w:val="22"/>
                <w:szCs w:val="22"/>
                <w:lang w:val="fr-FR"/>
              </w:rPr>
            </w:pPr>
          </w:p>
        </w:tc>
        <w:tc>
          <w:tcPr>
            <w:tcW w:w="2700" w:type="dxa"/>
            <w:tcBorders>
              <w:bottom w:val="single" w:sz="4" w:space="0" w:color="000000"/>
            </w:tcBorders>
          </w:tcPr>
          <w:p w:rsidR="001E7D90" w:rsidRPr="00B7063F" w:rsidRDefault="001E7D90" w:rsidP="00914F6A">
            <w:pPr>
              <w:numPr>
                <w:ilvl w:val="0"/>
                <w:numId w:val="29"/>
              </w:numPr>
              <w:ind w:left="193" w:hanging="193"/>
              <w:rPr>
                <w:rFonts w:cs="Arial"/>
                <w:sz w:val="22"/>
                <w:szCs w:val="22"/>
              </w:rPr>
            </w:pPr>
          </w:p>
        </w:tc>
        <w:tc>
          <w:tcPr>
            <w:tcW w:w="2790" w:type="dxa"/>
            <w:tcBorders>
              <w:bottom w:val="single" w:sz="4" w:space="0" w:color="000000"/>
            </w:tcBorders>
          </w:tcPr>
          <w:p w:rsidR="001E7D90" w:rsidRPr="00B7063F" w:rsidRDefault="001E7D90" w:rsidP="00914F6A">
            <w:pPr>
              <w:numPr>
                <w:ilvl w:val="0"/>
                <w:numId w:val="29"/>
              </w:numPr>
              <w:ind w:left="193" w:hanging="193"/>
              <w:rPr>
                <w:rFonts w:cs="Arial"/>
                <w:sz w:val="22"/>
                <w:szCs w:val="22"/>
              </w:rPr>
            </w:pPr>
            <w:r w:rsidRPr="00B7063F">
              <w:rPr>
                <w:rFonts w:cs="Arial"/>
                <w:sz w:val="22"/>
                <w:szCs w:val="22"/>
              </w:rPr>
              <w:t>Tab</w:t>
            </w:r>
            <w:r w:rsidR="008B2958">
              <w:rPr>
                <w:rFonts w:cs="Arial"/>
                <w:sz w:val="22"/>
                <w:szCs w:val="22"/>
              </w:rPr>
              <w:t>les de résultats des Cfp/</w:t>
            </w:r>
            <w:proofErr w:type="spellStart"/>
            <w:r w:rsidR="008B2958">
              <w:rPr>
                <w:rFonts w:cs="Arial"/>
                <w:sz w:val="22"/>
                <w:szCs w:val="22"/>
              </w:rPr>
              <w:t>CFPP</w:t>
            </w:r>
            <w:r w:rsidRPr="00B7063F">
              <w:rPr>
                <w:rFonts w:cs="Arial"/>
                <w:sz w:val="22"/>
                <w:szCs w:val="22"/>
              </w:rPr>
              <w:t>s</w:t>
            </w:r>
            <w:proofErr w:type="spellEnd"/>
          </w:p>
          <w:p w:rsidR="001E7D90" w:rsidRPr="00B7063F" w:rsidRDefault="001E7D90" w:rsidP="00914F6A">
            <w:pPr>
              <w:numPr>
                <w:ilvl w:val="0"/>
                <w:numId w:val="29"/>
              </w:numPr>
              <w:ind w:left="193" w:hanging="193"/>
              <w:rPr>
                <w:rFonts w:cs="Arial"/>
                <w:sz w:val="22"/>
                <w:szCs w:val="22"/>
              </w:rPr>
            </w:pPr>
            <w:r w:rsidRPr="00B7063F">
              <w:rPr>
                <w:rFonts w:cs="Arial"/>
                <w:sz w:val="22"/>
                <w:szCs w:val="22"/>
              </w:rPr>
              <w:t>Les rapports de suivi des ONG locales</w:t>
            </w:r>
          </w:p>
          <w:p w:rsidR="001E7D90" w:rsidRPr="00B7063F" w:rsidRDefault="001E7D90" w:rsidP="00914F6A">
            <w:pPr>
              <w:numPr>
                <w:ilvl w:val="0"/>
                <w:numId w:val="29"/>
              </w:numPr>
              <w:ind w:left="193" w:hanging="193"/>
              <w:rPr>
                <w:rFonts w:cs="Arial"/>
                <w:sz w:val="22"/>
                <w:szCs w:val="22"/>
              </w:rPr>
            </w:pPr>
            <w:r w:rsidRPr="00B7063F">
              <w:rPr>
                <w:rFonts w:cs="Arial"/>
                <w:sz w:val="22"/>
                <w:szCs w:val="22"/>
              </w:rPr>
              <w:t>Les rapports des partenaires d'exécution</w:t>
            </w:r>
          </w:p>
          <w:p w:rsidR="001E7D90" w:rsidRPr="00B7063F" w:rsidRDefault="001E7D90" w:rsidP="003B51B9">
            <w:pPr>
              <w:ind w:left="193"/>
              <w:rPr>
                <w:rFonts w:cs="Arial"/>
                <w:sz w:val="22"/>
                <w:szCs w:val="22"/>
              </w:rPr>
            </w:pPr>
          </w:p>
        </w:tc>
      </w:tr>
      <w:tr w:rsidR="001E7D90" w:rsidRPr="009F68BF" w:rsidTr="00AC08E7">
        <w:tc>
          <w:tcPr>
            <w:tcW w:w="15048" w:type="dxa"/>
            <w:gridSpan w:val="5"/>
            <w:tcBorders>
              <w:bottom w:val="single" w:sz="4" w:space="0" w:color="000000"/>
            </w:tcBorders>
            <w:shd w:val="clear" w:color="auto" w:fill="D9D9D9"/>
          </w:tcPr>
          <w:p w:rsidR="001E7D90" w:rsidRPr="000D4A21" w:rsidRDefault="001E7D90" w:rsidP="00914F6A">
            <w:pPr>
              <w:rPr>
                <w:rFonts w:cs="Arial"/>
                <w:b/>
                <w:sz w:val="22"/>
                <w:szCs w:val="22"/>
              </w:rPr>
            </w:pPr>
            <w:r w:rsidRPr="000D4A21">
              <w:rPr>
                <w:rFonts w:cs="Arial"/>
                <w:b/>
                <w:sz w:val="22"/>
                <w:szCs w:val="22"/>
              </w:rPr>
              <w:t>PRODUIT 1: 1.829 jeunes ont terminées leur</w:t>
            </w:r>
            <w:r w:rsidR="00DD6CFE" w:rsidRPr="000D4A21">
              <w:rPr>
                <w:rFonts w:cs="Arial"/>
                <w:b/>
                <w:sz w:val="22"/>
                <w:szCs w:val="22"/>
              </w:rPr>
              <w:t xml:space="preserve"> formation dans les </w:t>
            </w:r>
            <w:proofErr w:type="spellStart"/>
            <w:r w:rsidR="00DD6CFE" w:rsidRPr="000D4A21">
              <w:rPr>
                <w:rFonts w:cs="Arial"/>
                <w:b/>
                <w:sz w:val="22"/>
                <w:szCs w:val="22"/>
              </w:rPr>
              <w:t>CFPs</w:t>
            </w:r>
            <w:proofErr w:type="spellEnd"/>
            <w:r w:rsidR="00DD6CFE" w:rsidRPr="000D4A21">
              <w:rPr>
                <w:rFonts w:cs="Arial"/>
                <w:b/>
                <w:sz w:val="22"/>
                <w:szCs w:val="22"/>
              </w:rPr>
              <w:t xml:space="preserve"> et </w:t>
            </w:r>
            <w:proofErr w:type="spellStart"/>
            <w:r w:rsidR="00DD6CFE" w:rsidRPr="000D4A21">
              <w:rPr>
                <w:rFonts w:cs="Arial"/>
                <w:b/>
                <w:sz w:val="22"/>
                <w:szCs w:val="22"/>
              </w:rPr>
              <w:t>CF</w:t>
            </w:r>
            <w:r w:rsidRPr="000D4A21">
              <w:rPr>
                <w:rFonts w:cs="Arial"/>
                <w:b/>
                <w:sz w:val="22"/>
                <w:szCs w:val="22"/>
              </w:rPr>
              <w:t>PPs</w:t>
            </w:r>
            <w:proofErr w:type="spellEnd"/>
            <w:r w:rsidRPr="000D4A21">
              <w:rPr>
                <w:rFonts w:cs="Arial"/>
                <w:b/>
                <w:sz w:val="22"/>
                <w:szCs w:val="22"/>
              </w:rPr>
              <w:t xml:space="preserve">, et 70% d’entre eux passent les examens finaux </w:t>
            </w:r>
          </w:p>
        </w:tc>
      </w:tr>
      <w:tr w:rsidR="001E7D90" w:rsidRPr="009F68BF" w:rsidTr="001E7D90">
        <w:tc>
          <w:tcPr>
            <w:tcW w:w="3528" w:type="dxa"/>
            <w:tcBorders>
              <w:bottom w:val="single" w:sz="4" w:space="0" w:color="000000"/>
            </w:tcBorders>
          </w:tcPr>
          <w:p w:rsidR="001E7D90" w:rsidRPr="00B7063F" w:rsidRDefault="001E7D90" w:rsidP="00914F6A">
            <w:pPr>
              <w:pStyle w:val="FootnoteText"/>
              <w:widowControl w:val="0"/>
              <w:numPr>
                <w:ilvl w:val="1"/>
                <w:numId w:val="31"/>
              </w:numPr>
              <w:tabs>
                <w:tab w:val="left" w:pos="284"/>
              </w:tabs>
              <w:jc w:val="both"/>
              <w:rPr>
                <w:rFonts w:cs="Arial"/>
                <w:color w:val="000000"/>
                <w:sz w:val="22"/>
                <w:szCs w:val="22"/>
                <w:lang w:val="fr-FR"/>
              </w:rPr>
            </w:pPr>
            <w:r w:rsidRPr="00B7063F">
              <w:rPr>
                <w:rFonts w:cs="Arial"/>
                <w:sz w:val="22"/>
                <w:szCs w:val="22"/>
                <w:lang w:val="fr-FR"/>
              </w:rPr>
              <w:t xml:space="preserve"> Fournir du matériel scolaire (livres, stylos) à 1.438 jeunes qui entrent dans une deuxième année de formation </w:t>
            </w:r>
          </w:p>
        </w:tc>
        <w:tc>
          <w:tcPr>
            <w:tcW w:w="3150" w:type="dxa"/>
            <w:tcBorders>
              <w:bottom w:val="single" w:sz="4" w:space="0" w:color="000000"/>
            </w:tcBorders>
          </w:tcPr>
          <w:p w:rsidR="001E7D90" w:rsidRPr="00B7063F" w:rsidRDefault="001E7D90" w:rsidP="00914F6A">
            <w:pPr>
              <w:numPr>
                <w:ilvl w:val="0"/>
                <w:numId w:val="29"/>
              </w:numPr>
              <w:ind w:left="193" w:hanging="193"/>
              <w:rPr>
                <w:rFonts w:cs="Arial"/>
                <w:sz w:val="22"/>
                <w:szCs w:val="22"/>
              </w:rPr>
            </w:pPr>
            <w:r w:rsidRPr="00B7063F">
              <w:rPr>
                <w:rFonts w:cs="Arial"/>
                <w:sz w:val="22"/>
                <w:szCs w:val="22"/>
              </w:rPr>
              <w:t># de jeunes qui reçoivent du matériel scolaire</w:t>
            </w:r>
          </w:p>
        </w:tc>
        <w:tc>
          <w:tcPr>
            <w:tcW w:w="2880" w:type="dxa"/>
            <w:tcBorders>
              <w:bottom w:val="single" w:sz="4" w:space="0" w:color="000000"/>
            </w:tcBorders>
          </w:tcPr>
          <w:p w:rsidR="003B51B9" w:rsidRPr="000D4A21" w:rsidRDefault="003B51B9" w:rsidP="00620383">
            <w:pPr>
              <w:numPr>
                <w:ilvl w:val="0"/>
                <w:numId w:val="29"/>
              </w:numPr>
              <w:ind w:left="193" w:hanging="193"/>
              <w:rPr>
                <w:rFonts w:cs="Arial"/>
                <w:sz w:val="22"/>
                <w:szCs w:val="22"/>
              </w:rPr>
            </w:pPr>
            <w:r w:rsidRPr="000D4A21">
              <w:rPr>
                <w:rFonts w:cs="Arial"/>
                <w:sz w:val="22"/>
                <w:szCs w:val="22"/>
              </w:rPr>
              <w:t xml:space="preserve">Pour l’année scolaire 2013-2014, 714 kits ont été distribué et </w:t>
            </w:r>
            <w:r w:rsidR="008B2958" w:rsidRPr="000D4A21">
              <w:rPr>
                <w:rFonts w:cs="Arial"/>
                <w:sz w:val="22"/>
                <w:szCs w:val="22"/>
              </w:rPr>
              <w:t>304</w:t>
            </w:r>
            <w:r w:rsidRPr="000D4A21">
              <w:rPr>
                <w:rFonts w:cs="Arial"/>
                <w:sz w:val="22"/>
                <w:szCs w:val="22"/>
              </w:rPr>
              <w:t xml:space="preserve"> doivent être distribués en mars pour </w:t>
            </w:r>
            <w:r w:rsidR="00620383" w:rsidRPr="000D4A21">
              <w:rPr>
                <w:rFonts w:cs="Arial"/>
                <w:sz w:val="22"/>
                <w:szCs w:val="22"/>
              </w:rPr>
              <w:t>304</w:t>
            </w:r>
            <w:r w:rsidRPr="000D4A21">
              <w:rPr>
                <w:rFonts w:cs="Arial"/>
                <w:sz w:val="22"/>
                <w:szCs w:val="22"/>
              </w:rPr>
              <w:t xml:space="preserve"> </w:t>
            </w:r>
            <w:r w:rsidRPr="000D4A21">
              <w:rPr>
                <w:rFonts w:cs="Arial"/>
                <w:sz w:val="22"/>
                <w:szCs w:val="22"/>
              </w:rPr>
              <w:lastRenderedPageBreak/>
              <w:t>élèves de l’ENAE de Macenta</w:t>
            </w:r>
          </w:p>
        </w:tc>
        <w:tc>
          <w:tcPr>
            <w:tcW w:w="2700" w:type="dxa"/>
            <w:tcBorders>
              <w:bottom w:val="single" w:sz="4" w:space="0" w:color="000000"/>
            </w:tcBorders>
          </w:tcPr>
          <w:p w:rsidR="001E7D90" w:rsidRPr="00B7063F" w:rsidRDefault="003B51B9" w:rsidP="00914F6A">
            <w:pPr>
              <w:numPr>
                <w:ilvl w:val="0"/>
                <w:numId w:val="29"/>
              </w:numPr>
              <w:ind w:left="193" w:hanging="193"/>
              <w:rPr>
                <w:rFonts w:cs="Arial"/>
                <w:sz w:val="22"/>
                <w:szCs w:val="22"/>
              </w:rPr>
            </w:pPr>
            <w:r>
              <w:rPr>
                <w:rFonts w:cs="Arial"/>
                <w:sz w:val="22"/>
                <w:szCs w:val="22"/>
              </w:rPr>
              <w:lastRenderedPageBreak/>
              <w:t xml:space="preserve">L’incertitude sur le financement du projet n’a pas permis de prendre en charge les kits scolaires </w:t>
            </w:r>
            <w:r>
              <w:rPr>
                <w:rFonts w:cs="Arial"/>
                <w:sz w:val="22"/>
                <w:szCs w:val="22"/>
              </w:rPr>
              <w:lastRenderedPageBreak/>
              <w:t>pour la deuxième année du projet</w:t>
            </w:r>
          </w:p>
        </w:tc>
        <w:tc>
          <w:tcPr>
            <w:tcW w:w="2790" w:type="dxa"/>
            <w:tcBorders>
              <w:bottom w:val="single" w:sz="4" w:space="0" w:color="000000"/>
            </w:tcBorders>
          </w:tcPr>
          <w:p w:rsidR="001E7D90" w:rsidRPr="00B7063F" w:rsidRDefault="001E7D90" w:rsidP="00914F6A">
            <w:pPr>
              <w:numPr>
                <w:ilvl w:val="0"/>
                <w:numId w:val="29"/>
              </w:numPr>
              <w:ind w:left="193" w:hanging="193"/>
              <w:rPr>
                <w:rFonts w:cs="Arial"/>
                <w:sz w:val="22"/>
                <w:szCs w:val="22"/>
              </w:rPr>
            </w:pPr>
            <w:r w:rsidRPr="00B7063F">
              <w:rPr>
                <w:rFonts w:cs="Arial"/>
                <w:sz w:val="22"/>
                <w:szCs w:val="22"/>
              </w:rPr>
              <w:lastRenderedPageBreak/>
              <w:t>Rapports des partenaires d'exécution</w:t>
            </w:r>
          </w:p>
          <w:p w:rsidR="001E7D90" w:rsidRPr="00B7063F" w:rsidRDefault="001E7D90" w:rsidP="003B51B9">
            <w:pPr>
              <w:rPr>
                <w:rFonts w:cs="Arial"/>
                <w:sz w:val="22"/>
                <w:szCs w:val="22"/>
              </w:rPr>
            </w:pPr>
          </w:p>
        </w:tc>
      </w:tr>
      <w:tr w:rsidR="001E7D90" w:rsidRPr="009F68BF" w:rsidTr="001E7D90">
        <w:tc>
          <w:tcPr>
            <w:tcW w:w="3528" w:type="dxa"/>
            <w:tcBorders>
              <w:bottom w:val="single" w:sz="4" w:space="0" w:color="000000"/>
            </w:tcBorders>
          </w:tcPr>
          <w:p w:rsidR="001E7D90" w:rsidRPr="00B7063F" w:rsidRDefault="001E7D90" w:rsidP="00914F6A">
            <w:pPr>
              <w:pStyle w:val="FootnoteText"/>
              <w:widowControl w:val="0"/>
              <w:numPr>
                <w:ilvl w:val="1"/>
                <w:numId w:val="30"/>
              </w:numPr>
              <w:tabs>
                <w:tab w:val="left" w:pos="426"/>
              </w:tabs>
              <w:jc w:val="both"/>
              <w:rPr>
                <w:rFonts w:cs="Arial"/>
                <w:color w:val="000000"/>
                <w:sz w:val="22"/>
                <w:szCs w:val="22"/>
                <w:lang w:val="fr-FR"/>
              </w:rPr>
            </w:pPr>
            <w:r w:rsidRPr="00B7063F">
              <w:rPr>
                <w:rFonts w:cs="Arial"/>
                <w:sz w:val="22"/>
                <w:szCs w:val="22"/>
                <w:lang w:val="fr-FR"/>
              </w:rPr>
              <w:lastRenderedPageBreak/>
              <w:t xml:space="preserve">Fournir des </w:t>
            </w:r>
            <w:r w:rsidRPr="00C822A5">
              <w:rPr>
                <w:rFonts w:cs="Arial"/>
                <w:sz w:val="22"/>
                <w:szCs w:val="22"/>
                <w:lang w:val="fr-FR"/>
              </w:rPr>
              <w:t>matières d’ouvres</w:t>
            </w:r>
            <w:r w:rsidRPr="00B7063F">
              <w:rPr>
                <w:rFonts w:cs="Arial"/>
                <w:sz w:val="22"/>
                <w:szCs w:val="22"/>
                <w:lang w:val="fr-FR"/>
              </w:rPr>
              <w:t xml:space="preserve"> aux 12 centres de formation pour soutenir le 1.438 jeunes qui entrent dans une deuxième année de formation</w:t>
            </w:r>
          </w:p>
        </w:tc>
        <w:tc>
          <w:tcPr>
            <w:tcW w:w="3150" w:type="dxa"/>
            <w:tcBorders>
              <w:bottom w:val="single" w:sz="4" w:space="0" w:color="000000"/>
            </w:tcBorders>
          </w:tcPr>
          <w:p w:rsidR="001E7D90" w:rsidRPr="00B7063F" w:rsidRDefault="001E7D90" w:rsidP="00914F6A">
            <w:pPr>
              <w:numPr>
                <w:ilvl w:val="0"/>
                <w:numId w:val="29"/>
              </w:numPr>
              <w:ind w:left="193" w:hanging="193"/>
              <w:rPr>
                <w:rFonts w:cs="Arial"/>
                <w:sz w:val="22"/>
                <w:szCs w:val="22"/>
              </w:rPr>
            </w:pPr>
            <w:r w:rsidRPr="00B7063F">
              <w:rPr>
                <w:rFonts w:cs="Arial"/>
                <w:sz w:val="22"/>
                <w:szCs w:val="22"/>
              </w:rPr>
              <w:t># de centres qui reçoivent du matériel, à une valeur qui correspond au nombre de jeunes placés dans le centre</w:t>
            </w:r>
          </w:p>
        </w:tc>
        <w:tc>
          <w:tcPr>
            <w:tcW w:w="2880" w:type="dxa"/>
            <w:tcBorders>
              <w:bottom w:val="single" w:sz="4" w:space="0" w:color="000000"/>
            </w:tcBorders>
          </w:tcPr>
          <w:p w:rsidR="001E7D90" w:rsidRPr="000D4A21" w:rsidRDefault="00E97C7F" w:rsidP="00E97C7F">
            <w:pPr>
              <w:pStyle w:val="ListParagraph"/>
              <w:numPr>
                <w:ilvl w:val="0"/>
                <w:numId w:val="29"/>
              </w:numPr>
              <w:ind w:left="162" w:hanging="180"/>
              <w:rPr>
                <w:rFonts w:cs="Arial"/>
                <w:sz w:val="22"/>
                <w:szCs w:val="22"/>
                <w:lang w:val="fr-FR"/>
              </w:rPr>
            </w:pPr>
            <w:r w:rsidRPr="000D4A21">
              <w:rPr>
                <w:rFonts w:cs="Arial"/>
                <w:sz w:val="22"/>
                <w:szCs w:val="22"/>
                <w:lang w:val="fr-FR"/>
              </w:rPr>
              <w:t xml:space="preserve">11 centres ont été évalués pour connaitre leurs besoins en matière d’œuvre et les besoins couverts </w:t>
            </w:r>
            <w:r w:rsidR="00620383" w:rsidRPr="000D4A21">
              <w:rPr>
                <w:rFonts w:cs="Arial"/>
                <w:sz w:val="22"/>
                <w:szCs w:val="22"/>
                <w:lang w:val="fr-FR"/>
              </w:rPr>
              <w:t xml:space="preserve">pour 9 centres </w:t>
            </w:r>
            <w:r w:rsidRPr="000D4A21">
              <w:rPr>
                <w:rFonts w:cs="Arial"/>
                <w:sz w:val="22"/>
                <w:szCs w:val="22"/>
                <w:lang w:val="fr-FR"/>
              </w:rPr>
              <w:t>selon les disponibilités budgétaires (environ 35% des besoins)</w:t>
            </w:r>
          </w:p>
        </w:tc>
        <w:tc>
          <w:tcPr>
            <w:tcW w:w="2700" w:type="dxa"/>
            <w:tcBorders>
              <w:bottom w:val="single" w:sz="4" w:space="0" w:color="000000"/>
            </w:tcBorders>
          </w:tcPr>
          <w:p w:rsidR="001E7D90" w:rsidRPr="00B7063F" w:rsidRDefault="001E7D90" w:rsidP="00914F6A">
            <w:pPr>
              <w:numPr>
                <w:ilvl w:val="0"/>
                <w:numId w:val="29"/>
              </w:numPr>
              <w:ind w:left="193" w:hanging="193"/>
              <w:rPr>
                <w:rFonts w:cs="Arial"/>
                <w:sz w:val="22"/>
                <w:szCs w:val="22"/>
              </w:rPr>
            </w:pPr>
          </w:p>
        </w:tc>
        <w:tc>
          <w:tcPr>
            <w:tcW w:w="2790" w:type="dxa"/>
            <w:tcBorders>
              <w:bottom w:val="single" w:sz="4" w:space="0" w:color="000000"/>
            </w:tcBorders>
          </w:tcPr>
          <w:p w:rsidR="001E7D90" w:rsidRPr="00B7063F" w:rsidRDefault="001E7D90" w:rsidP="00914F6A">
            <w:pPr>
              <w:numPr>
                <w:ilvl w:val="0"/>
                <w:numId w:val="29"/>
              </w:numPr>
              <w:ind w:left="193" w:hanging="193"/>
              <w:rPr>
                <w:rFonts w:cs="Arial"/>
                <w:sz w:val="22"/>
                <w:szCs w:val="22"/>
              </w:rPr>
            </w:pPr>
            <w:r w:rsidRPr="00B7063F">
              <w:rPr>
                <w:rFonts w:cs="Arial"/>
                <w:sz w:val="22"/>
                <w:szCs w:val="22"/>
              </w:rPr>
              <w:t>Rapports du système financier de l'UNICEF, VISION</w:t>
            </w:r>
          </w:p>
          <w:p w:rsidR="001E7D90" w:rsidRPr="00B7063F" w:rsidRDefault="001E7D90" w:rsidP="00914F6A">
            <w:pPr>
              <w:numPr>
                <w:ilvl w:val="0"/>
                <w:numId w:val="29"/>
              </w:numPr>
              <w:ind w:left="193" w:hanging="193"/>
              <w:rPr>
                <w:rFonts w:cs="Arial"/>
                <w:sz w:val="22"/>
                <w:szCs w:val="22"/>
              </w:rPr>
            </w:pPr>
            <w:r w:rsidRPr="00B7063F">
              <w:rPr>
                <w:rFonts w:cs="Arial"/>
                <w:sz w:val="22"/>
                <w:szCs w:val="22"/>
              </w:rPr>
              <w:t>Rapports des partenaires d'exécution</w:t>
            </w:r>
          </w:p>
          <w:p w:rsidR="001E7D90" w:rsidRPr="00B7063F" w:rsidRDefault="001E7D90" w:rsidP="00914F6A">
            <w:pPr>
              <w:numPr>
                <w:ilvl w:val="0"/>
                <w:numId w:val="29"/>
              </w:numPr>
              <w:ind w:left="193" w:hanging="193"/>
              <w:rPr>
                <w:rFonts w:cs="Arial"/>
                <w:sz w:val="22"/>
                <w:szCs w:val="22"/>
              </w:rPr>
            </w:pPr>
            <w:r w:rsidRPr="00B7063F">
              <w:rPr>
                <w:rFonts w:cs="Arial"/>
                <w:sz w:val="22"/>
                <w:szCs w:val="22"/>
              </w:rPr>
              <w:t>S&amp;E/Rapports de l’UNICEF</w:t>
            </w:r>
          </w:p>
        </w:tc>
      </w:tr>
      <w:tr w:rsidR="001E7D90" w:rsidRPr="009F68BF" w:rsidTr="001E7D90">
        <w:tc>
          <w:tcPr>
            <w:tcW w:w="3528" w:type="dxa"/>
            <w:tcBorders>
              <w:bottom w:val="single" w:sz="4" w:space="0" w:color="000000"/>
            </w:tcBorders>
          </w:tcPr>
          <w:p w:rsidR="001E7D90" w:rsidRPr="00B7063F" w:rsidRDefault="001E7D90" w:rsidP="00914F6A">
            <w:pPr>
              <w:numPr>
                <w:ilvl w:val="1"/>
                <w:numId w:val="30"/>
              </w:numPr>
              <w:contextualSpacing/>
              <w:jc w:val="both"/>
              <w:rPr>
                <w:rFonts w:cs="Arial"/>
                <w:color w:val="000000"/>
                <w:sz w:val="22"/>
                <w:szCs w:val="22"/>
              </w:rPr>
            </w:pPr>
            <w:r w:rsidRPr="00B7063F">
              <w:rPr>
                <w:rFonts w:cs="Arial"/>
                <w:sz w:val="22"/>
                <w:szCs w:val="22"/>
              </w:rPr>
              <w:t>Fournir une aide de subsistance à 1.438 jeunes et leurs familles, sous la forme transfert de cash, utilisant des coupons </w:t>
            </w:r>
          </w:p>
        </w:tc>
        <w:tc>
          <w:tcPr>
            <w:tcW w:w="3150" w:type="dxa"/>
            <w:tcBorders>
              <w:bottom w:val="single" w:sz="4" w:space="0" w:color="000000"/>
            </w:tcBorders>
          </w:tcPr>
          <w:p w:rsidR="001E7D90" w:rsidRPr="00B7063F" w:rsidRDefault="001E7D90" w:rsidP="00914F6A">
            <w:pPr>
              <w:numPr>
                <w:ilvl w:val="0"/>
                <w:numId w:val="29"/>
              </w:numPr>
              <w:ind w:left="193" w:hanging="193"/>
              <w:rPr>
                <w:rFonts w:cs="Arial"/>
                <w:sz w:val="22"/>
                <w:szCs w:val="22"/>
              </w:rPr>
            </w:pPr>
            <w:r w:rsidRPr="00B7063F">
              <w:rPr>
                <w:rFonts w:cs="Arial"/>
                <w:sz w:val="22"/>
                <w:szCs w:val="22"/>
              </w:rPr>
              <w:t>% de jeunes utilisant des coupons pour satisfaire leurs besoins de subsistance essentiels</w:t>
            </w:r>
          </w:p>
        </w:tc>
        <w:tc>
          <w:tcPr>
            <w:tcW w:w="2880" w:type="dxa"/>
            <w:tcBorders>
              <w:bottom w:val="single" w:sz="4" w:space="0" w:color="000000"/>
            </w:tcBorders>
          </w:tcPr>
          <w:p w:rsidR="001E7D90" w:rsidRPr="000D4A21" w:rsidRDefault="00620383" w:rsidP="00914F6A">
            <w:pPr>
              <w:numPr>
                <w:ilvl w:val="0"/>
                <w:numId w:val="29"/>
              </w:numPr>
              <w:ind w:left="193" w:hanging="193"/>
              <w:rPr>
                <w:rFonts w:cs="Arial"/>
                <w:sz w:val="22"/>
                <w:szCs w:val="22"/>
              </w:rPr>
            </w:pPr>
            <w:r w:rsidRPr="000D4A21">
              <w:rPr>
                <w:rFonts w:cs="Arial"/>
                <w:sz w:val="22"/>
                <w:szCs w:val="22"/>
              </w:rPr>
              <w:t>70</w:t>
            </w:r>
            <w:r w:rsidR="00566068" w:rsidRPr="000D4A21">
              <w:rPr>
                <w:rFonts w:cs="Arial"/>
                <w:sz w:val="22"/>
                <w:szCs w:val="22"/>
              </w:rPr>
              <w:t xml:space="preserve">% soit </w:t>
            </w:r>
            <w:r w:rsidR="007363B0" w:rsidRPr="000D4A21">
              <w:rPr>
                <w:rFonts w:cs="Arial"/>
                <w:sz w:val="22"/>
                <w:szCs w:val="22"/>
              </w:rPr>
              <w:t xml:space="preserve">714 </w:t>
            </w:r>
            <w:r w:rsidR="00566068" w:rsidRPr="000D4A21">
              <w:rPr>
                <w:rFonts w:cs="Arial"/>
                <w:sz w:val="22"/>
                <w:szCs w:val="22"/>
              </w:rPr>
              <w:t xml:space="preserve">sur 1018 jeune </w:t>
            </w:r>
            <w:r w:rsidR="007363B0" w:rsidRPr="000D4A21">
              <w:rPr>
                <w:rFonts w:cs="Arial"/>
                <w:sz w:val="22"/>
                <w:szCs w:val="22"/>
              </w:rPr>
              <w:t>ont reçu du cash transfert.</w:t>
            </w:r>
          </w:p>
        </w:tc>
        <w:tc>
          <w:tcPr>
            <w:tcW w:w="2700" w:type="dxa"/>
            <w:tcBorders>
              <w:bottom w:val="single" w:sz="4" w:space="0" w:color="000000"/>
            </w:tcBorders>
          </w:tcPr>
          <w:p w:rsidR="001E7D90" w:rsidRPr="00B7063F" w:rsidRDefault="00566068" w:rsidP="00914F6A">
            <w:pPr>
              <w:numPr>
                <w:ilvl w:val="0"/>
                <w:numId w:val="29"/>
              </w:numPr>
              <w:ind w:left="193" w:hanging="193"/>
              <w:rPr>
                <w:rFonts w:cs="Arial"/>
                <w:sz w:val="22"/>
                <w:szCs w:val="22"/>
              </w:rPr>
            </w:pPr>
            <w:r>
              <w:rPr>
                <w:rFonts w:cs="Arial"/>
                <w:sz w:val="22"/>
                <w:szCs w:val="22"/>
              </w:rPr>
              <w:t>Les 304 élèves de l’ENAE de Macenta doivent bénéficier de ces services à leur rentrée en mars 2014</w:t>
            </w:r>
          </w:p>
        </w:tc>
        <w:tc>
          <w:tcPr>
            <w:tcW w:w="2790" w:type="dxa"/>
            <w:tcBorders>
              <w:bottom w:val="single" w:sz="4" w:space="0" w:color="000000"/>
            </w:tcBorders>
          </w:tcPr>
          <w:p w:rsidR="001E7D90" w:rsidRPr="00B7063F" w:rsidRDefault="001E7D90" w:rsidP="00914F6A">
            <w:pPr>
              <w:numPr>
                <w:ilvl w:val="0"/>
                <w:numId w:val="29"/>
              </w:numPr>
              <w:ind w:left="193" w:hanging="193"/>
              <w:rPr>
                <w:rFonts w:cs="Arial"/>
                <w:sz w:val="22"/>
                <w:szCs w:val="22"/>
              </w:rPr>
            </w:pPr>
            <w:r w:rsidRPr="00B7063F">
              <w:rPr>
                <w:rFonts w:cs="Arial"/>
                <w:sz w:val="22"/>
                <w:szCs w:val="22"/>
              </w:rPr>
              <w:t>Rapports des partenaires d'exécution</w:t>
            </w:r>
          </w:p>
          <w:p w:rsidR="001E7D90" w:rsidRPr="00B7063F" w:rsidRDefault="001E7D90" w:rsidP="00914F6A">
            <w:pPr>
              <w:numPr>
                <w:ilvl w:val="0"/>
                <w:numId w:val="29"/>
              </w:numPr>
              <w:ind w:left="193" w:hanging="193"/>
              <w:rPr>
                <w:rFonts w:cs="Arial"/>
                <w:sz w:val="22"/>
                <w:szCs w:val="22"/>
              </w:rPr>
            </w:pPr>
            <w:r w:rsidRPr="00B7063F">
              <w:rPr>
                <w:rFonts w:cs="Arial"/>
                <w:sz w:val="22"/>
                <w:szCs w:val="22"/>
              </w:rPr>
              <w:t>S&amp;E/Rapports de l’UNICEF</w:t>
            </w:r>
          </w:p>
        </w:tc>
      </w:tr>
      <w:tr w:rsidR="001E7D90" w:rsidRPr="009F68BF" w:rsidTr="001E7D90">
        <w:trPr>
          <w:trHeight w:val="898"/>
        </w:trPr>
        <w:tc>
          <w:tcPr>
            <w:tcW w:w="3528" w:type="dxa"/>
            <w:tcBorders>
              <w:bottom w:val="single" w:sz="4" w:space="0" w:color="000000"/>
            </w:tcBorders>
          </w:tcPr>
          <w:p w:rsidR="001E7D90" w:rsidRPr="00B7063F" w:rsidRDefault="001E7D90" w:rsidP="00566068">
            <w:pPr>
              <w:pStyle w:val="FootnoteText"/>
              <w:widowControl w:val="0"/>
              <w:numPr>
                <w:ilvl w:val="1"/>
                <w:numId w:val="30"/>
              </w:numPr>
              <w:tabs>
                <w:tab w:val="left" w:pos="90"/>
              </w:tabs>
              <w:ind w:left="284" w:hanging="284"/>
              <w:jc w:val="both"/>
              <w:rPr>
                <w:rFonts w:cs="Arial"/>
                <w:color w:val="000000"/>
                <w:sz w:val="22"/>
                <w:szCs w:val="22"/>
                <w:lang w:val="fr-FR"/>
              </w:rPr>
            </w:pPr>
            <w:r w:rsidRPr="00B7063F">
              <w:rPr>
                <w:rFonts w:cs="Arial"/>
                <w:sz w:val="22"/>
                <w:szCs w:val="22"/>
                <w:lang w:val="fr-FR"/>
              </w:rPr>
              <w:t xml:space="preserve">Offrir aux 166 jeunes qui ont besoin d'une troisième année de la formation un paquet de soutien minimum </w:t>
            </w:r>
          </w:p>
        </w:tc>
        <w:tc>
          <w:tcPr>
            <w:tcW w:w="3150" w:type="dxa"/>
            <w:tcBorders>
              <w:bottom w:val="single" w:sz="4" w:space="0" w:color="000000"/>
            </w:tcBorders>
          </w:tcPr>
          <w:p w:rsidR="001E7D90" w:rsidRPr="00B7063F" w:rsidRDefault="001E7D90" w:rsidP="00914F6A">
            <w:pPr>
              <w:numPr>
                <w:ilvl w:val="0"/>
                <w:numId w:val="29"/>
              </w:numPr>
              <w:ind w:left="193" w:hanging="193"/>
              <w:rPr>
                <w:rFonts w:cs="Arial"/>
                <w:sz w:val="22"/>
                <w:szCs w:val="22"/>
              </w:rPr>
            </w:pPr>
            <w:r w:rsidRPr="00B7063F">
              <w:rPr>
                <w:rFonts w:cs="Arial"/>
                <w:sz w:val="22"/>
                <w:szCs w:val="22"/>
              </w:rPr>
              <w:t xml:space="preserve">% des jeunes dans les cours de 3 années qui entrent dans la 3ème année </w:t>
            </w:r>
          </w:p>
        </w:tc>
        <w:tc>
          <w:tcPr>
            <w:tcW w:w="2880" w:type="dxa"/>
            <w:tcBorders>
              <w:bottom w:val="single" w:sz="4" w:space="0" w:color="000000"/>
            </w:tcBorders>
          </w:tcPr>
          <w:p w:rsidR="001E7D90" w:rsidRPr="000D4A21" w:rsidRDefault="00620383" w:rsidP="00620383">
            <w:pPr>
              <w:numPr>
                <w:ilvl w:val="0"/>
                <w:numId w:val="29"/>
              </w:numPr>
              <w:ind w:left="193" w:hanging="193"/>
              <w:rPr>
                <w:rFonts w:cs="Arial"/>
                <w:sz w:val="22"/>
                <w:szCs w:val="22"/>
              </w:rPr>
            </w:pPr>
            <w:r w:rsidRPr="000D4A21">
              <w:rPr>
                <w:rFonts w:cs="Arial"/>
                <w:sz w:val="22"/>
                <w:szCs w:val="22"/>
              </w:rPr>
              <w:t>814/1018, soit 80</w:t>
            </w:r>
            <w:r w:rsidR="00474681" w:rsidRPr="000D4A21">
              <w:rPr>
                <w:rFonts w:cs="Arial"/>
                <w:sz w:val="22"/>
                <w:szCs w:val="22"/>
              </w:rPr>
              <w:t xml:space="preserve">% des </w:t>
            </w:r>
            <w:r w:rsidR="00566068" w:rsidRPr="000D4A21">
              <w:rPr>
                <w:rFonts w:cs="Arial"/>
                <w:sz w:val="22"/>
                <w:szCs w:val="22"/>
              </w:rPr>
              <w:t xml:space="preserve">jeunes </w:t>
            </w:r>
            <w:r w:rsidRPr="000D4A21">
              <w:rPr>
                <w:rFonts w:cs="Arial"/>
                <w:sz w:val="22"/>
                <w:szCs w:val="22"/>
              </w:rPr>
              <w:t xml:space="preserve">encore dans le circuit de formation </w:t>
            </w:r>
            <w:r w:rsidR="00474681" w:rsidRPr="000D4A21">
              <w:rPr>
                <w:rFonts w:cs="Arial"/>
                <w:sz w:val="22"/>
                <w:szCs w:val="22"/>
              </w:rPr>
              <w:t>entre</w:t>
            </w:r>
            <w:r w:rsidRPr="000D4A21">
              <w:rPr>
                <w:rFonts w:cs="Arial"/>
                <w:sz w:val="22"/>
                <w:szCs w:val="22"/>
              </w:rPr>
              <w:t>nt</w:t>
            </w:r>
            <w:r w:rsidR="00474681" w:rsidRPr="000D4A21">
              <w:rPr>
                <w:rFonts w:cs="Arial"/>
                <w:sz w:val="22"/>
                <w:szCs w:val="22"/>
              </w:rPr>
              <w:t xml:space="preserve"> dans les cours de 3</w:t>
            </w:r>
            <w:r w:rsidR="00474681" w:rsidRPr="000D4A21">
              <w:rPr>
                <w:rFonts w:cs="Arial"/>
                <w:sz w:val="22"/>
                <w:szCs w:val="22"/>
                <w:vertAlign w:val="superscript"/>
              </w:rPr>
              <w:t>ème</w:t>
            </w:r>
            <w:r w:rsidR="00474681" w:rsidRPr="000D4A21">
              <w:rPr>
                <w:rFonts w:cs="Arial"/>
                <w:sz w:val="22"/>
                <w:szCs w:val="22"/>
              </w:rPr>
              <w:t xml:space="preserve"> année</w:t>
            </w:r>
          </w:p>
        </w:tc>
        <w:tc>
          <w:tcPr>
            <w:tcW w:w="2700" w:type="dxa"/>
            <w:tcBorders>
              <w:bottom w:val="single" w:sz="4" w:space="0" w:color="000000"/>
            </w:tcBorders>
          </w:tcPr>
          <w:p w:rsidR="001E7D90" w:rsidRPr="00B7063F" w:rsidRDefault="00714883" w:rsidP="00914F6A">
            <w:pPr>
              <w:numPr>
                <w:ilvl w:val="0"/>
                <w:numId w:val="29"/>
              </w:numPr>
              <w:ind w:left="193" w:hanging="193"/>
              <w:rPr>
                <w:rFonts w:cs="Arial"/>
                <w:sz w:val="22"/>
                <w:szCs w:val="22"/>
              </w:rPr>
            </w:pPr>
            <w:r>
              <w:rPr>
                <w:rFonts w:cs="Arial"/>
                <w:sz w:val="22"/>
                <w:szCs w:val="22"/>
              </w:rPr>
              <w:t>Le nombre de redoublants et le nombre de jeunes inscrits dans une filière de formation de trois ans a été sous-évalué</w:t>
            </w:r>
          </w:p>
        </w:tc>
        <w:tc>
          <w:tcPr>
            <w:tcW w:w="2790" w:type="dxa"/>
            <w:tcBorders>
              <w:bottom w:val="single" w:sz="4" w:space="0" w:color="000000"/>
            </w:tcBorders>
          </w:tcPr>
          <w:p w:rsidR="001E7D90" w:rsidRPr="00B7063F" w:rsidRDefault="001E7D90" w:rsidP="00914F6A">
            <w:pPr>
              <w:numPr>
                <w:ilvl w:val="0"/>
                <w:numId w:val="29"/>
              </w:numPr>
              <w:ind w:left="193" w:hanging="193"/>
              <w:rPr>
                <w:rFonts w:cs="Arial"/>
                <w:sz w:val="22"/>
                <w:szCs w:val="22"/>
              </w:rPr>
            </w:pPr>
            <w:r w:rsidRPr="00B7063F">
              <w:rPr>
                <w:rFonts w:cs="Arial"/>
                <w:sz w:val="22"/>
                <w:szCs w:val="22"/>
              </w:rPr>
              <w:t>Rapports des partenaires d'exécution</w:t>
            </w:r>
          </w:p>
          <w:p w:rsidR="001E7D90" w:rsidRPr="00B7063F" w:rsidRDefault="001E7D90" w:rsidP="00D60EB6">
            <w:pPr>
              <w:ind w:left="193"/>
              <w:rPr>
                <w:rFonts w:cs="Arial"/>
                <w:sz w:val="22"/>
                <w:szCs w:val="22"/>
              </w:rPr>
            </w:pPr>
          </w:p>
        </w:tc>
      </w:tr>
      <w:tr w:rsidR="001E7D90" w:rsidRPr="009F68BF" w:rsidTr="001E7D90">
        <w:tc>
          <w:tcPr>
            <w:tcW w:w="3528" w:type="dxa"/>
            <w:tcBorders>
              <w:bottom w:val="single" w:sz="4" w:space="0" w:color="000000"/>
            </w:tcBorders>
          </w:tcPr>
          <w:p w:rsidR="001E7D90" w:rsidRPr="00B7063F" w:rsidRDefault="001E7D90" w:rsidP="00914F6A">
            <w:pPr>
              <w:pStyle w:val="FootnoteText"/>
              <w:tabs>
                <w:tab w:val="left" w:pos="284"/>
              </w:tabs>
              <w:jc w:val="both"/>
              <w:rPr>
                <w:rFonts w:cs="Arial"/>
                <w:color w:val="000000"/>
                <w:sz w:val="22"/>
                <w:szCs w:val="22"/>
                <w:lang w:val="fr-FR"/>
              </w:rPr>
            </w:pPr>
            <w:r w:rsidRPr="00B7063F">
              <w:rPr>
                <w:rFonts w:cs="Arial"/>
                <w:color w:val="000000"/>
                <w:sz w:val="22"/>
                <w:szCs w:val="22"/>
                <w:lang w:val="fr-FR"/>
              </w:rPr>
              <w:t xml:space="preserve">1.5  </w:t>
            </w:r>
            <w:r w:rsidRPr="00B7063F">
              <w:rPr>
                <w:rFonts w:cs="Arial"/>
                <w:sz w:val="22"/>
                <w:szCs w:val="22"/>
                <w:lang w:val="fr-FR"/>
              </w:rPr>
              <w:t>Sensibiliser les jeunes sur l'importance de</w:t>
            </w:r>
            <w:r>
              <w:rPr>
                <w:rFonts w:cs="Arial"/>
                <w:sz w:val="22"/>
                <w:szCs w:val="22"/>
                <w:lang w:val="fr-FR"/>
              </w:rPr>
              <w:t xml:space="preserve"> la formation, de l'éducation</w:t>
            </w:r>
            <w:r w:rsidRPr="00B7063F">
              <w:rPr>
                <w:rFonts w:cs="Arial"/>
                <w:sz w:val="22"/>
                <w:szCs w:val="22"/>
                <w:lang w:val="fr-FR"/>
              </w:rPr>
              <w:t xml:space="preserve"> et de la nécessité d'être indépendant lorsque la formation est terminée</w:t>
            </w:r>
          </w:p>
        </w:tc>
        <w:tc>
          <w:tcPr>
            <w:tcW w:w="3150" w:type="dxa"/>
            <w:tcBorders>
              <w:bottom w:val="single" w:sz="4" w:space="0" w:color="000000"/>
            </w:tcBorders>
          </w:tcPr>
          <w:p w:rsidR="001E7D90" w:rsidRPr="00EC537E" w:rsidRDefault="001E7D90" w:rsidP="00914F6A">
            <w:pPr>
              <w:numPr>
                <w:ilvl w:val="0"/>
                <w:numId w:val="29"/>
              </w:numPr>
              <w:ind w:left="193" w:hanging="193"/>
              <w:rPr>
                <w:rFonts w:cs="Arial"/>
                <w:color w:val="000000" w:themeColor="text1"/>
                <w:sz w:val="22"/>
                <w:szCs w:val="22"/>
              </w:rPr>
            </w:pPr>
            <w:r w:rsidRPr="00EC537E">
              <w:rPr>
                <w:rFonts w:cs="Arial"/>
                <w:color w:val="000000" w:themeColor="text1"/>
                <w:sz w:val="22"/>
                <w:szCs w:val="22"/>
              </w:rPr>
              <w:t xml:space="preserve"># de séances de sensibilisation </w:t>
            </w:r>
            <w:r w:rsidR="00EC537E" w:rsidRPr="00EC537E">
              <w:rPr>
                <w:rFonts w:cs="Arial"/>
                <w:color w:val="000000" w:themeColor="text1"/>
                <w:sz w:val="22"/>
                <w:szCs w:val="22"/>
              </w:rPr>
              <w:t xml:space="preserve"> sur l'importance de la formation, de l'éducation et de la nécessité d'être indépendant lorsque la formation est terminée</w:t>
            </w:r>
          </w:p>
          <w:p w:rsidR="001E7D90" w:rsidRPr="007363B0" w:rsidRDefault="001E7D90" w:rsidP="00914F6A">
            <w:pPr>
              <w:ind w:left="193"/>
              <w:rPr>
                <w:rFonts w:cs="Arial"/>
                <w:color w:val="FF0000"/>
                <w:sz w:val="22"/>
                <w:szCs w:val="22"/>
              </w:rPr>
            </w:pPr>
          </w:p>
        </w:tc>
        <w:tc>
          <w:tcPr>
            <w:tcW w:w="2880" w:type="dxa"/>
            <w:tcBorders>
              <w:bottom w:val="single" w:sz="4" w:space="0" w:color="000000"/>
            </w:tcBorders>
          </w:tcPr>
          <w:p w:rsidR="001E7D90" w:rsidRPr="000D4A21" w:rsidRDefault="00566068" w:rsidP="00566068">
            <w:pPr>
              <w:numPr>
                <w:ilvl w:val="0"/>
                <w:numId w:val="29"/>
              </w:numPr>
              <w:ind w:left="193" w:hanging="193"/>
              <w:rPr>
                <w:rFonts w:cs="Arial"/>
                <w:sz w:val="22"/>
                <w:szCs w:val="22"/>
              </w:rPr>
            </w:pPr>
            <w:r w:rsidRPr="000D4A21">
              <w:rPr>
                <w:rFonts w:cs="Arial"/>
                <w:sz w:val="22"/>
                <w:szCs w:val="22"/>
              </w:rPr>
              <w:t>232 séances de sensibilisation planifiées et réalisées soit deux séances par mois et par travailleur social</w:t>
            </w:r>
          </w:p>
        </w:tc>
        <w:tc>
          <w:tcPr>
            <w:tcW w:w="2700" w:type="dxa"/>
            <w:tcBorders>
              <w:bottom w:val="single" w:sz="4" w:space="0" w:color="000000"/>
            </w:tcBorders>
          </w:tcPr>
          <w:p w:rsidR="001E7D90" w:rsidRPr="00B7063F" w:rsidRDefault="001E7D90" w:rsidP="00566068">
            <w:pPr>
              <w:ind w:left="193"/>
              <w:rPr>
                <w:rFonts w:cs="Arial"/>
                <w:sz w:val="22"/>
                <w:szCs w:val="22"/>
              </w:rPr>
            </w:pPr>
          </w:p>
        </w:tc>
        <w:tc>
          <w:tcPr>
            <w:tcW w:w="2790" w:type="dxa"/>
            <w:tcBorders>
              <w:bottom w:val="single" w:sz="4" w:space="0" w:color="000000"/>
            </w:tcBorders>
          </w:tcPr>
          <w:p w:rsidR="001E7D90" w:rsidRPr="00B7063F" w:rsidRDefault="001E7D90" w:rsidP="00914F6A">
            <w:pPr>
              <w:numPr>
                <w:ilvl w:val="0"/>
                <w:numId w:val="29"/>
              </w:numPr>
              <w:ind w:left="193" w:hanging="193"/>
              <w:rPr>
                <w:rFonts w:cs="Arial"/>
                <w:sz w:val="22"/>
                <w:szCs w:val="22"/>
              </w:rPr>
            </w:pPr>
            <w:r w:rsidRPr="00B7063F">
              <w:rPr>
                <w:rFonts w:cs="Arial"/>
                <w:sz w:val="22"/>
                <w:szCs w:val="22"/>
              </w:rPr>
              <w:t>Rapports des partenaires d'exécution</w:t>
            </w:r>
          </w:p>
          <w:p w:rsidR="001E7D90" w:rsidRPr="00B7063F" w:rsidRDefault="001E7D90" w:rsidP="00914F6A">
            <w:pPr>
              <w:numPr>
                <w:ilvl w:val="0"/>
                <w:numId w:val="29"/>
              </w:numPr>
              <w:ind w:left="193" w:hanging="193"/>
              <w:rPr>
                <w:rFonts w:cs="Arial"/>
                <w:sz w:val="22"/>
                <w:szCs w:val="22"/>
              </w:rPr>
            </w:pPr>
            <w:r w:rsidRPr="00B7063F">
              <w:rPr>
                <w:rFonts w:cs="Arial"/>
                <w:sz w:val="22"/>
                <w:szCs w:val="22"/>
              </w:rPr>
              <w:t xml:space="preserve">S&amp;E/Rapports de l’UNICEF </w:t>
            </w:r>
          </w:p>
        </w:tc>
      </w:tr>
      <w:tr w:rsidR="001E7D90" w:rsidRPr="009F68BF" w:rsidTr="00AC08E7">
        <w:trPr>
          <w:trHeight w:val="339"/>
        </w:trPr>
        <w:tc>
          <w:tcPr>
            <w:tcW w:w="15048" w:type="dxa"/>
            <w:gridSpan w:val="5"/>
            <w:tcBorders>
              <w:bottom w:val="single" w:sz="4" w:space="0" w:color="000000"/>
            </w:tcBorders>
            <w:shd w:val="clear" w:color="auto" w:fill="D9D9D9"/>
          </w:tcPr>
          <w:p w:rsidR="001E7D90" w:rsidRPr="000D4A21" w:rsidRDefault="001E7D90" w:rsidP="00914F6A">
            <w:pPr>
              <w:rPr>
                <w:rFonts w:cs="Arial"/>
                <w:b/>
                <w:sz w:val="22"/>
                <w:szCs w:val="22"/>
              </w:rPr>
            </w:pPr>
            <w:r w:rsidRPr="000D4A21">
              <w:rPr>
                <w:rFonts w:cs="Arial"/>
                <w:b/>
                <w:sz w:val="22"/>
                <w:szCs w:val="22"/>
              </w:rPr>
              <w:t>PRODUIT 2: 1.829 jeunes bénéficient d'un soutien pour les orienter aux opportunités d’emplois durables et de la génération de revenus sur le marché du travail </w:t>
            </w:r>
          </w:p>
        </w:tc>
      </w:tr>
      <w:tr w:rsidR="001E7D90" w:rsidRPr="009F68BF" w:rsidTr="001E7D90">
        <w:trPr>
          <w:trHeight w:val="857"/>
        </w:trPr>
        <w:tc>
          <w:tcPr>
            <w:tcW w:w="3528" w:type="dxa"/>
            <w:tcBorders>
              <w:bottom w:val="single" w:sz="4" w:space="0" w:color="000000"/>
            </w:tcBorders>
          </w:tcPr>
          <w:p w:rsidR="001E7D90" w:rsidRPr="00B7063F" w:rsidRDefault="001E7D90" w:rsidP="00914F6A">
            <w:pPr>
              <w:numPr>
                <w:ilvl w:val="1"/>
                <w:numId w:val="32"/>
              </w:numPr>
              <w:contextualSpacing/>
              <w:jc w:val="both"/>
              <w:rPr>
                <w:rFonts w:cs="Arial"/>
                <w:sz w:val="22"/>
                <w:szCs w:val="22"/>
              </w:rPr>
            </w:pPr>
            <w:r w:rsidRPr="00B7063F">
              <w:rPr>
                <w:rFonts w:cs="Arial"/>
                <w:sz w:val="22"/>
                <w:szCs w:val="22"/>
              </w:rPr>
              <w:t>Soutenir les</w:t>
            </w:r>
            <w:r>
              <w:rPr>
                <w:rFonts w:cs="Arial"/>
                <w:sz w:val="22"/>
                <w:szCs w:val="22"/>
              </w:rPr>
              <w:t xml:space="preserve"> maisons des jeunes et les</w:t>
            </w:r>
            <w:r w:rsidRPr="00B7063F">
              <w:rPr>
                <w:rFonts w:cs="Arial"/>
                <w:sz w:val="22"/>
                <w:szCs w:val="22"/>
              </w:rPr>
              <w:t xml:space="preserve"> centres de formation pour informer les 1.829 jeunes sur les opportunités sur le marché de l'emploi et de la génération de revenus</w:t>
            </w:r>
          </w:p>
        </w:tc>
        <w:tc>
          <w:tcPr>
            <w:tcW w:w="3150" w:type="dxa"/>
            <w:tcBorders>
              <w:bottom w:val="single" w:sz="4" w:space="0" w:color="000000"/>
            </w:tcBorders>
          </w:tcPr>
          <w:p w:rsidR="001E7D90" w:rsidRPr="00B7063F" w:rsidRDefault="001E7D90" w:rsidP="00914F6A">
            <w:pPr>
              <w:numPr>
                <w:ilvl w:val="0"/>
                <w:numId w:val="29"/>
              </w:numPr>
              <w:ind w:left="193" w:hanging="193"/>
              <w:rPr>
                <w:rFonts w:cs="Arial"/>
                <w:sz w:val="22"/>
                <w:szCs w:val="22"/>
              </w:rPr>
            </w:pPr>
            <w:r w:rsidRPr="00B7063F">
              <w:rPr>
                <w:rFonts w:cs="Arial"/>
                <w:sz w:val="22"/>
                <w:szCs w:val="22"/>
              </w:rPr>
              <w:t># de séances de sensibilisation sur les opportunités sur le marché du travail</w:t>
            </w:r>
          </w:p>
        </w:tc>
        <w:tc>
          <w:tcPr>
            <w:tcW w:w="2880" w:type="dxa"/>
            <w:tcBorders>
              <w:bottom w:val="single" w:sz="4" w:space="0" w:color="000000"/>
            </w:tcBorders>
          </w:tcPr>
          <w:p w:rsidR="001E7D90" w:rsidRPr="000D4A21" w:rsidRDefault="00566068" w:rsidP="00566068">
            <w:pPr>
              <w:numPr>
                <w:ilvl w:val="0"/>
                <w:numId w:val="29"/>
              </w:numPr>
              <w:ind w:left="193" w:hanging="193"/>
              <w:rPr>
                <w:rFonts w:cs="Arial"/>
                <w:sz w:val="22"/>
                <w:szCs w:val="22"/>
              </w:rPr>
            </w:pPr>
            <w:r w:rsidRPr="000D4A21">
              <w:rPr>
                <w:rFonts w:cs="Arial"/>
                <w:sz w:val="22"/>
                <w:szCs w:val="22"/>
              </w:rPr>
              <w:t>Doit se faire en 2014</w:t>
            </w:r>
          </w:p>
        </w:tc>
        <w:tc>
          <w:tcPr>
            <w:tcW w:w="2700" w:type="dxa"/>
            <w:tcBorders>
              <w:bottom w:val="single" w:sz="4" w:space="0" w:color="000000"/>
            </w:tcBorders>
          </w:tcPr>
          <w:p w:rsidR="001E7D90" w:rsidRPr="00B7063F" w:rsidRDefault="001E7D90" w:rsidP="00566068">
            <w:pPr>
              <w:ind w:left="193"/>
              <w:rPr>
                <w:rFonts w:cs="Arial"/>
                <w:sz w:val="22"/>
                <w:szCs w:val="22"/>
              </w:rPr>
            </w:pPr>
          </w:p>
        </w:tc>
        <w:tc>
          <w:tcPr>
            <w:tcW w:w="2790" w:type="dxa"/>
            <w:tcBorders>
              <w:bottom w:val="single" w:sz="4" w:space="0" w:color="000000"/>
            </w:tcBorders>
          </w:tcPr>
          <w:p w:rsidR="001E7D90" w:rsidRPr="00B7063F" w:rsidRDefault="001E7D90" w:rsidP="00914F6A">
            <w:pPr>
              <w:numPr>
                <w:ilvl w:val="0"/>
                <w:numId w:val="29"/>
              </w:numPr>
              <w:ind w:left="193" w:hanging="193"/>
              <w:rPr>
                <w:rFonts w:cs="Arial"/>
                <w:sz w:val="22"/>
                <w:szCs w:val="22"/>
              </w:rPr>
            </w:pPr>
            <w:r w:rsidRPr="00B7063F">
              <w:rPr>
                <w:rFonts w:cs="Arial"/>
                <w:sz w:val="22"/>
                <w:szCs w:val="22"/>
              </w:rPr>
              <w:t>Rapports des partenaires d'exécution</w:t>
            </w:r>
          </w:p>
          <w:p w:rsidR="001E7D90" w:rsidRPr="00B7063F" w:rsidRDefault="001E7D90" w:rsidP="00914F6A">
            <w:pPr>
              <w:numPr>
                <w:ilvl w:val="0"/>
                <w:numId w:val="29"/>
              </w:numPr>
              <w:ind w:left="193" w:hanging="193"/>
              <w:rPr>
                <w:rFonts w:cs="Arial"/>
                <w:sz w:val="22"/>
                <w:szCs w:val="22"/>
              </w:rPr>
            </w:pPr>
            <w:r w:rsidRPr="00B7063F">
              <w:rPr>
                <w:rFonts w:cs="Arial"/>
                <w:sz w:val="22"/>
                <w:szCs w:val="22"/>
              </w:rPr>
              <w:t>S&amp;E/Rapports de l’UNICEF</w:t>
            </w:r>
          </w:p>
        </w:tc>
      </w:tr>
      <w:tr w:rsidR="001E7D90" w:rsidRPr="009F68BF" w:rsidTr="008F39A0">
        <w:trPr>
          <w:trHeight w:val="621"/>
        </w:trPr>
        <w:tc>
          <w:tcPr>
            <w:tcW w:w="3528" w:type="dxa"/>
            <w:tcBorders>
              <w:bottom w:val="single" w:sz="4" w:space="0" w:color="000000"/>
            </w:tcBorders>
          </w:tcPr>
          <w:p w:rsidR="001E7D90" w:rsidRPr="00B7063F" w:rsidRDefault="001E7D90" w:rsidP="00914F6A">
            <w:pPr>
              <w:numPr>
                <w:ilvl w:val="1"/>
                <w:numId w:val="32"/>
              </w:numPr>
              <w:contextualSpacing/>
              <w:jc w:val="both"/>
              <w:rPr>
                <w:rFonts w:cs="Arial"/>
                <w:sz w:val="22"/>
                <w:szCs w:val="22"/>
              </w:rPr>
            </w:pPr>
            <w:r w:rsidRPr="00B7063F">
              <w:rPr>
                <w:rFonts w:cs="Arial"/>
                <w:sz w:val="22"/>
                <w:szCs w:val="22"/>
              </w:rPr>
              <w:t>Soutenir les centres de formation à donner aux 1.829 jeunes une formation de base sur les compétences entrepreneuriales</w:t>
            </w:r>
          </w:p>
        </w:tc>
        <w:tc>
          <w:tcPr>
            <w:tcW w:w="3150" w:type="dxa"/>
            <w:tcBorders>
              <w:bottom w:val="single" w:sz="4" w:space="0" w:color="000000"/>
            </w:tcBorders>
          </w:tcPr>
          <w:p w:rsidR="001E7D90" w:rsidRPr="00B7063F" w:rsidRDefault="001E7D90" w:rsidP="00914F6A">
            <w:pPr>
              <w:numPr>
                <w:ilvl w:val="0"/>
                <w:numId w:val="29"/>
              </w:numPr>
              <w:ind w:left="193" w:hanging="193"/>
              <w:rPr>
                <w:rFonts w:cs="Arial"/>
                <w:sz w:val="22"/>
                <w:szCs w:val="22"/>
              </w:rPr>
            </w:pPr>
            <w:r w:rsidRPr="00B7063F">
              <w:rPr>
                <w:rFonts w:cs="Arial"/>
                <w:sz w:val="22"/>
                <w:szCs w:val="22"/>
              </w:rPr>
              <w:t># de séances de formation sur les compétences entrepreneuriales</w:t>
            </w:r>
          </w:p>
          <w:p w:rsidR="001E7D90" w:rsidRPr="00B7063F" w:rsidRDefault="001E7D90" w:rsidP="00914F6A">
            <w:pPr>
              <w:rPr>
                <w:rFonts w:cs="Arial"/>
                <w:sz w:val="22"/>
                <w:szCs w:val="22"/>
              </w:rPr>
            </w:pPr>
          </w:p>
        </w:tc>
        <w:tc>
          <w:tcPr>
            <w:tcW w:w="2880" w:type="dxa"/>
            <w:tcBorders>
              <w:bottom w:val="single" w:sz="4" w:space="0" w:color="000000"/>
            </w:tcBorders>
          </w:tcPr>
          <w:p w:rsidR="001E7D90" w:rsidRPr="000D4A21" w:rsidRDefault="00566068" w:rsidP="00914F6A">
            <w:pPr>
              <w:numPr>
                <w:ilvl w:val="0"/>
                <w:numId w:val="29"/>
              </w:numPr>
              <w:ind w:left="193" w:hanging="193"/>
              <w:rPr>
                <w:rFonts w:cs="Arial"/>
                <w:sz w:val="22"/>
                <w:szCs w:val="22"/>
              </w:rPr>
            </w:pPr>
            <w:r w:rsidRPr="000D4A21">
              <w:rPr>
                <w:rFonts w:cs="Arial"/>
                <w:sz w:val="22"/>
                <w:szCs w:val="22"/>
              </w:rPr>
              <w:t>Doit se faire en 2014</w:t>
            </w:r>
          </w:p>
        </w:tc>
        <w:tc>
          <w:tcPr>
            <w:tcW w:w="2700" w:type="dxa"/>
            <w:tcBorders>
              <w:bottom w:val="single" w:sz="4" w:space="0" w:color="000000"/>
            </w:tcBorders>
            <w:shd w:val="clear" w:color="auto" w:fill="auto"/>
          </w:tcPr>
          <w:p w:rsidR="001E7D90" w:rsidRPr="00B7063F" w:rsidRDefault="00566068" w:rsidP="00914F6A">
            <w:pPr>
              <w:numPr>
                <w:ilvl w:val="0"/>
                <w:numId w:val="29"/>
              </w:numPr>
              <w:ind w:left="193" w:hanging="193"/>
              <w:rPr>
                <w:rFonts w:cs="Arial"/>
                <w:sz w:val="22"/>
                <w:szCs w:val="22"/>
              </w:rPr>
            </w:pPr>
            <w:r w:rsidRPr="008F39A0">
              <w:rPr>
                <w:rFonts w:cs="Arial"/>
                <w:sz w:val="22"/>
                <w:szCs w:val="22"/>
              </w:rPr>
              <w:t xml:space="preserve">Activité planifiée pour 2014 : </w:t>
            </w:r>
            <w:r w:rsidRPr="008F39A0">
              <w:rPr>
                <w:rFonts w:cs="Arial"/>
              </w:rPr>
              <w:t xml:space="preserve">le module de formation est finalisé et la formation des </w:t>
            </w:r>
            <w:r w:rsidRPr="008F39A0">
              <w:rPr>
                <w:rFonts w:cs="Arial"/>
              </w:rPr>
              <w:lastRenderedPageBreak/>
              <w:t>formateurs planifiée</w:t>
            </w:r>
          </w:p>
        </w:tc>
        <w:tc>
          <w:tcPr>
            <w:tcW w:w="2790" w:type="dxa"/>
            <w:tcBorders>
              <w:bottom w:val="single" w:sz="4" w:space="0" w:color="000000"/>
            </w:tcBorders>
          </w:tcPr>
          <w:p w:rsidR="001E7D90" w:rsidRPr="00B7063F" w:rsidRDefault="001E7D90" w:rsidP="00914F6A">
            <w:pPr>
              <w:numPr>
                <w:ilvl w:val="0"/>
                <w:numId w:val="29"/>
              </w:numPr>
              <w:ind w:left="193" w:hanging="193"/>
              <w:rPr>
                <w:rFonts w:cs="Arial"/>
                <w:sz w:val="22"/>
                <w:szCs w:val="22"/>
              </w:rPr>
            </w:pPr>
            <w:r w:rsidRPr="00B7063F">
              <w:rPr>
                <w:rFonts w:cs="Arial"/>
                <w:sz w:val="22"/>
                <w:szCs w:val="22"/>
              </w:rPr>
              <w:lastRenderedPageBreak/>
              <w:t>Rapports des partenaires d'exécution</w:t>
            </w:r>
          </w:p>
          <w:p w:rsidR="001E7D90" w:rsidRPr="00B7063F" w:rsidRDefault="001E7D90" w:rsidP="00914F6A">
            <w:pPr>
              <w:numPr>
                <w:ilvl w:val="0"/>
                <w:numId w:val="29"/>
              </w:numPr>
              <w:ind w:left="193" w:hanging="193"/>
              <w:rPr>
                <w:rFonts w:cs="Arial"/>
                <w:sz w:val="22"/>
                <w:szCs w:val="22"/>
              </w:rPr>
            </w:pPr>
            <w:r w:rsidRPr="00B7063F">
              <w:rPr>
                <w:rFonts w:cs="Arial"/>
                <w:sz w:val="22"/>
                <w:szCs w:val="22"/>
              </w:rPr>
              <w:t>S&amp;E/Rapports de l’UNICEF</w:t>
            </w:r>
          </w:p>
        </w:tc>
      </w:tr>
      <w:tr w:rsidR="001E7D90" w:rsidRPr="009F68BF" w:rsidTr="001E7D90">
        <w:trPr>
          <w:trHeight w:val="857"/>
        </w:trPr>
        <w:tc>
          <w:tcPr>
            <w:tcW w:w="3528" w:type="dxa"/>
            <w:tcBorders>
              <w:bottom w:val="single" w:sz="4" w:space="0" w:color="000000"/>
            </w:tcBorders>
          </w:tcPr>
          <w:p w:rsidR="001E7D90" w:rsidRPr="00B7063F" w:rsidRDefault="001E7D90" w:rsidP="00914F6A">
            <w:pPr>
              <w:pStyle w:val="FootnoteText"/>
              <w:jc w:val="both"/>
              <w:rPr>
                <w:rFonts w:cs="Arial"/>
                <w:color w:val="000000"/>
                <w:sz w:val="22"/>
                <w:szCs w:val="22"/>
                <w:lang w:val="fr-FR"/>
              </w:rPr>
            </w:pPr>
            <w:r w:rsidRPr="00B7063F">
              <w:rPr>
                <w:rFonts w:cs="Arial"/>
                <w:color w:val="000000"/>
                <w:sz w:val="22"/>
                <w:szCs w:val="22"/>
                <w:lang w:val="fr-FR"/>
              </w:rPr>
              <w:lastRenderedPageBreak/>
              <w:t xml:space="preserve">2.3 </w:t>
            </w:r>
            <w:r w:rsidRPr="00B7063F">
              <w:rPr>
                <w:rFonts w:cs="Arial"/>
                <w:sz w:val="22"/>
                <w:szCs w:val="22"/>
                <w:lang w:val="fr-FR"/>
              </w:rPr>
              <w:t>Faire la liaison avec les entreprises internationales afin d'identifier les possibilités d'emploi</w:t>
            </w:r>
          </w:p>
        </w:tc>
        <w:tc>
          <w:tcPr>
            <w:tcW w:w="3150" w:type="dxa"/>
            <w:tcBorders>
              <w:bottom w:val="single" w:sz="4" w:space="0" w:color="000000"/>
            </w:tcBorders>
          </w:tcPr>
          <w:p w:rsidR="001E7D90" w:rsidRPr="00B7063F" w:rsidRDefault="001E7D90" w:rsidP="00914F6A">
            <w:pPr>
              <w:numPr>
                <w:ilvl w:val="0"/>
                <w:numId w:val="29"/>
              </w:numPr>
              <w:ind w:left="193" w:hanging="193"/>
              <w:rPr>
                <w:rFonts w:cs="Arial"/>
                <w:sz w:val="22"/>
                <w:szCs w:val="22"/>
              </w:rPr>
            </w:pPr>
            <w:r w:rsidRPr="00B7063F">
              <w:rPr>
                <w:rFonts w:cs="Arial"/>
                <w:sz w:val="22"/>
                <w:szCs w:val="22"/>
              </w:rPr>
              <w:t># de réunions entre les entreprises internationales et MJEJ, MEETFP et l'UNICEF</w:t>
            </w:r>
          </w:p>
        </w:tc>
        <w:tc>
          <w:tcPr>
            <w:tcW w:w="2880" w:type="dxa"/>
            <w:tcBorders>
              <w:bottom w:val="single" w:sz="4" w:space="0" w:color="000000"/>
            </w:tcBorders>
          </w:tcPr>
          <w:p w:rsidR="001E7D90" w:rsidRPr="000D4A21" w:rsidRDefault="00566068" w:rsidP="00914F6A">
            <w:pPr>
              <w:numPr>
                <w:ilvl w:val="0"/>
                <w:numId w:val="29"/>
              </w:numPr>
              <w:ind w:left="193" w:hanging="193"/>
              <w:rPr>
                <w:rFonts w:cs="Arial"/>
                <w:sz w:val="22"/>
                <w:szCs w:val="22"/>
              </w:rPr>
            </w:pPr>
            <w:r w:rsidRPr="000D4A21">
              <w:rPr>
                <w:rFonts w:cs="Arial"/>
                <w:sz w:val="22"/>
                <w:szCs w:val="22"/>
              </w:rPr>
              <w:t>Doit se faire en 2014</w:t>
            </w:r>
          </w:p>
        </w:tc>
        <w:tc>
          <w:tcPr>
            <w:tcW w:w="2700" w:type="dxa"/>
            <w:tcBorders>
              <w:bottom w:val="single" w:sz="4" w:space="0" w:color="000000"/>
            </w:tcBorders>
          </w:tcPr>
          <w:p w:rsidR="001E7D90" w:rsidRPr="00B7063F" w:rsidRDefault="001E7D90" w:rsidP="00566068">
            <w:pPr>
              <w:ind w:left="193"/>
              <w:rPr>
                <w:rFonts w:cs="Arial"/>
                <w:sz w:val="22"/>
                <w:szCs w:val="22"/>
              </w:rPr>
            </w:pPr>
          </w:p>
        </w:tc>
        <w:tc>
          <w:tcPr>
            <w:tcW w:w="2790" w:type="dxa"/>
            <w:tcBorders>
              <w:bottom w:val="single" w:sz="4" w:space="0" w:color="000000"/>
            </w:tcBorders>
          </w:tcPr>
          <w:p w:rsidR="001E7D90" w:rsidRPr="00B7063F" w:rsidRDefault="001E7D90" w:rsidP="00914F6A">
            <w:pPr>
              <w:numPr>
                <w:ilvl w:val="0"/>
                <w:numId w:val="29"/>
              </w:numPr>
              <w:ind w:left="193" w:hanging="193"/>
              <w:rPr>
                <w:rFonts w:cs="Arial"/>
                <w:sz w:val="22"/>
                <w:szCs w:val="22"/>
              </w:rPr>
            </w:pPr>
            <w:r w:rsidRPr="00B7063F">
              <w:rPr>
                <w:rFonts w:cs="Arial"/>
                <w:sz w:val="22"/>
                <w:szCs w:val="22"/>
              </w:rPr>
              <w:t xml:space="preserve">PV des réunions  </w:t>
            </w:r>
          </w:p>
        </w:tc>
      </w:tr>
      <w:tr w:rsidR="001E7D90" w:rsidRPr="009F68BF" w:rsidTr="001E7D90">
        <w:trPr>
          <w:trHeight w:val="857"/>
        </w:trPr>
        <w:tc>
          <w:tcPr>
            <w:tcW w:w="3528" w:type="dxa"/>
            <w:tcBorders>
              <w:bottom w:val="single" w:sz="4" w:space="0" w:color="000000"/>
            </w:tcBorders>
          </w:tcPr>
          <w:p w:rsidR="001E7D90" w:rsidRPr="00B7063F" w:rsidRDefault="001E7D90" w:rsidP="00914F6A">
            <w:pPr>
              <w:jc w:val="both"/>
              <w:rPr>
                <w:rFonts w:cs="Arial"/>
                <w:sz w:val="22"/>
                <w:szCs w:val="22"/>
              </w:rPr>
            </w:pPr>
            <w:r w:rsidRPr="00B7063F">
              <w:rPr>
                <w:rFonts w:cs="Arial"/>
                <w:sz w:val="22"/>
                <w:szCs w:val="22"/>
              </w:rPr>
              <w:t>2.4 Identifier des opportunités pour les jeunes qui souhaitent démarrer de petites entreprises d’être intégrés dans les programmes de microcrédit et de la génération de revenus soutenus par le PBF et d'autres donateurs.</w:t>
            </w:r>
          </w:p>
          <w:p w:rsidR="001E7D90" w:rsidRPr="00B7063F" w:rsidRDefault="001E7D90" w:rsidP="00914F6A">
            <w:pPr>
              <w:pStyle w:val="FootnoteText"/>
              <w:tabs>
                <w:tab w:val="left" w:pos="284"/>
              </w:tabs>
              <w:jc w:val="both"/>
              <w:rPr>
                <w:rFonts w:cs="Arial"/>
                <w:color w:val="000000"/>
                <w:sz w:val="22"/>
                <w:szCs w:val="22"/>
                <w:lang w:val="fr-FR"/>
              </w:rPr>
            </w:pPr>
          </w:p>
        </w:tc>
        <w:tc>
          <w:tcPr>
            <w:tcW w:w="3150" w:type="dxa"/>
            <w:tcBorders>
              <w:bottom w:val="single" w:sz="4" w:space="0" w:color="000000"/>
            </w:tcBorders>
          </w:tcPr>
          <w:p w:rsidR="001E7D90" w:rsidRPr="00B7063F" w:rsidRDefault="001E7D90" w:rsidP="00914F6A">
            <w:pPr>
              <w:numPr>
                <w:ilvl w:val="0"/>
                <w:numId w:val="29"/>
              </w:numPr>
              <w:ind w:left="193" w:hanging="193"/>
              <w:rPr>
                <w:rFonts w:cs="Arial"/>
                <w:sz w:val="22"/>
                <w:szCs w:val="22"/>
              </w:rPr>
            </w:pPr>
            <w:r w:rsidRPr="00B7063F">
              <w:rPr>
                <w:rFonts w:cs="Arial"/>
                <w:sz w:val="22"/>
                <w:szCs w:val="22"/>
              </w:rPr>
              <w:t># de jeunes intégrés dans les autres programmes de la génération de revenu/ microcrédit</w:t>
            </w:r>
          </w:p>
        </w:tc>
        <w:tc>
          <w:tcPr>
            <w:tcW w:w="2880" w:type="dxa"/>
            <w:tcBorders>
              <w:bottom w:val="single" w:sz="4" w:space="0" w:color="000000"/>
            </w:tcBorders>
          </w:tcPr>
          <w:p w:rsidR="001E7D90" w:rsidRPr="000D4A21" w:rsidRDefault="00FE43F8" w:rsidP="00914F6A">
            <w:pPr>
              <w:numPr>
                <w:ilvl w:val="0"/>
                <w:numId w:val="29"/>
              </w:numPr>
              <w:ind w:left="193" w:hanging="193"/>
              <w:rPr>
                <w:rFonts w:cs="Arial"/>
                <w:sz w:val="22"/>
                <w:szCs w:val="22"/>
              </w:rPr>
            </w:pPr>
            <w:r w:rsidRPr="000D4A21">
              <w:rPr>
                <w:rFonts w:cs="Arial"/>
                <w:sz w:val="22"/>
                <w:szCs w:val="22"/>
              </w:rPr>
              <w:t>N’a pas pu être mis en place faute de moyens suffisants pour le projet</w:t>
            </w:r>
          </w:p>
        </w:tc>
        <w:tc>
          <w:tcPr>
            <w:tcW w:w="2700" w:type="dxa"/>
            <w:tcBorders>
              <w:bottom w:val="single" w:sz="4" w:space="0" w:color="000000"/>
            </w:tcBorders>
          </w:tcPr>
          <w:p w:rsidR="001E7D90" w:rsidRPr="00B7063F" w:rsidRDefault="001E7D90" w:rsidP="00914F6A">
            <w:pPr>
              <w:numPr>
                <w:ilvl w:val="0"/>
                <w:numId w:val="29"/>
              </w:numPr>
              <w:ind w:left="193" w:hanging="193"/>
              <w:rPr>
                <w:rFonts w:cs="Arial"/>
                <w:sz w:val="22"/>
                <w:szCs w:val="22"/>
              </w:rPr>
            </w:pPr>
          </w:p>
        </w:tc>
        <w:tc>
          <w:tcPr>
            <w:tcW w:w="2790" w:type="dxa"/>
            <w:tcBorders>
              <w:bottom w:val="single" w:sz="4" w:space="0" w:color="000000"/>
            </w:tcBorders>
          </w:tcPr>
          <w:p w:rsidR="001E7D90" w:rsidRPr="00B7063F" w:rsidRDefault="001E7D90" w:rsidP="00914F6A">
            <w:pPr>
              <w:numPr>
                <w:ilvl w:val="0"/>
                <w:numId w:val="29"/>
              </w:numPr>
              <w:ind w:left="193" w:hanging="193"/>
              <w:rPr>
                <w:rFonts w:cs="Arial"/>
                <w:sz w:val="22"/>
                <w:szCs w:val="22"/>
              </w:rPr>
            </w:pPr>
            <w:r w:rsidRPr="00B7063F">
              <w:rPr>
                <w:rFonts w:cs="Arial"/>
                <w:sz w:val="22"/>
                <w:szCs w:val="22"/>
              </w:rPr>
              <w:t>Rapports des partenaires d'exécution</w:t>
            </w:r>
          </w:p>
          <w:p w:rsidR="001E7D90" w:rsidRPr="00B7063F" w:rsidRDefault="001E7D90" w:rsidP="00914F6A">
            <w:pPr>
              <w:numPr>
                <w:ilvl w:val="0"/>
                <w:numId w:val="29"/>
              </w:numPr>
              <w:ind w:left="193" w:hanging="193"/>
              <w:rPr>
                <w:rFonts w:cs="Arial"/>
                <w:sz w:val="22"/>
                <w:szCs w:val="22"/>
              </w:rPr>
            </w:pPr>
            <w:r w:rsidRPr="00B7063F">
              <w:rPr>
                <w:rFonts w:cs="Arial"/>
                <w:sz w:val="22"/>
                <w:szCs w:val="22"/>
              </w:rPr>
              <w:t>S&amp;E/Rapports de l’UNICEF</w:t>
            </w:r>
          </w:p>
          <w:p w:rsidR="001E7D90" w:rsidRPr="00B7063F" w:rsidRDefault="001E7D90" w:rsidP="00914F6A">
            <w:pPr>
              <w:numPr>
                <w:ilvl w:val="0"/>
                <w:numId w:val="29"/>
              </w:numPr>
              <w:ind w:left="193" w:hanging="193"/>
              <w:rPr>
                <w:rFonts w:cs="Arial"/>
                <w:sz w:val="22"/>
                <w:szCs w:val="22"/>
              </w:rPr>
            </w:pPr>
            <w:r w:rsidRPr="00B7063F">
              <w:rPr>
                <w:rFonts w:cs="Arial"/>
                <w:sz w:val="22"/>
                <w:szCs w:val="22"/>
              </w:rPr>
              <w:t>Les échanges de correspondance entre le projet et d'autres projets</w:t>
            </w:r>
          </w:p>
          <w:p w:rsidR="001E7D90" w:rsidRPr="00B7063F" w:rsidRDefault="001E7D90" w:rsidP="00914F6A">
            <w:pPr>
              <w:numPr>
                <w:ilvl w:val="0"/>
                <w:numId w:val="29"/>
              </w:numPr>
              <w:ind w:left="193" w:hanging="193"/>
              <w:rPr>
                <w:rFonts w:cs="Arial"/>
                <w:sz w:val="22"/>
                <w:szCs w:val="22"/>
              </w:rPr>
            </w:pPr>
            <w:r w:rsidRPr="00B7063F">
              <w:rPr>
                <w:rFonts w:cs="Arial"/>
                <w:sz w:val="22"/>
                <w:szCs w:val="22"/>
              </w:rPr>
              <w:t>Rapport des autres projets</w:t>
            </w:r>
          </w:p>
        </w:tc>
      </w:tr>
      <w:tr w:rsidR="001E7D90" w:rsidRPr="009F68BF" w:rsidTr="00AC08E7">
        <w:trPr>
          <w:trHeight w:val="64"/>
        </w:trPr>
        <w:tc>
          <w:tcPr>
            <w:tcW w:w="15048" w:type="dxa"/>
            <w:gridSpan w:val="5"/>
            <w:tcBorders>
              <w:bottom w:val="single" w:sz="4" w:space="0" w:color="000000"/>
            </w:tcBorders>
            <w:shd w:val="clear" w:color="auto" w:fill="D9D9D9"/>
          </w:tcPr>
          <w:p w:rsidR="001E7D90" w:rsidRPr="000D4A21" w:rsidRDefault="001E7D90" w:rsidP="00914F6A">
            <w:pPr>
              <w:jc w:val="both"/>
              <w:rPr>
                <w:rFonts w:cs="Arial"/>
                <w:b/>
                <w:i/>
                <w:sz w:val="22"/>
                <w:szCs w:val="22"/>
              </w:rPr>
            </w:pPr>
            <w:r w:rsidRPr="000D4A21">
              <w:rPr>
                <w:rFonts w:cs="Arial"/>
                <w:b/>
                <w:sz w:val="22"/>
                <w:szCs w:val="22"/>
              </w:rPr>
              <w:t>PRODUIT 3: 1,829 jeunes reçoivent un soutien psychosocial et affectif, et les jeunes qui continuent d'avoir de graves problèmes comportementaux et sociaux reçoivent un soutien approprié</w:t>
            </w:r>
          </w:p>
        </w:tc>
      </w:tr>
      <w:tr w:rsidR="001E7D90" w:rsidRPr="009F68BF" w:rsidTr="001E7D90">
        <w:trPr>
          <w:trHeight w:val="64"/>
        </w:trPr>
        <w:tc>
          <w:tcPr>
            <w:tcW w:w="3528" w:type="dxa"/>
            <w:tcBorders>
              <w:bottom w:val="single" w:sz="4" w:space="0" w:color="000000"/>
            </w:tcBorders>
          </w:tcPr>
          <w:p w:rsidR="001E7D90" w:rsidRPr="00B7063F" w:rsidRDefault="001E7D90" w:rsidP="00914F6A">
            <w:pPr>
              <w:pStyle w:val="FootnoteText"/>
              <w:tabs>
                <w:tab w:val="left" w:pos="284"/>
              </w:tabs>
              <w:jc w:val="both"/>
              <w:rPr>
                <w:rFonts w:cs="Arial"/>
                <w:sz w:val="22"/>
                <w:szCs w:val="22"/>
                <w:lang w:val="fr-FR"/>
              </w:rPr>
            </w:pPr>
            <w:r w:rsidRPr="00B7063F">
              <w:rPr>
                <w:rFonts w:cs="Arial"/>
                <w:color w:val="000000"/>
                <w:sz w:val="22"/>
                <w:szCs w:val="22"/>
                <w:lang w:val="fr-FR"/>
              </w:rPr>
              <w:t xml:space="preserve">3.1 </w:t>
            </w:r>
            <w:r w:rsidRPr="00B7063F">
              <w:rPr>
                <w:rFonts w:cs="Arial"/>
                <w:sz w:val="22"/>
                <w:szCs w:val="22"/>
                <w:lang w:val="fr-FR"/>
              </w:rPr>
              <w:t>Surveiller le comportement et le bien-être de 1.829 jeunes</w:t>
            </w:r>
          </w:p>
          <w:p w:rsidR="001E7D90" w:rsidRPr="00B7063F" w:rsidRDefault="001E7D90" w:rsidP="00914F6A">
            <w:pPr>
              <w:pStyle w:val="FootnoteText"/>
              <w:tabs>
                <w:tab w:val="left" w:pos="284"/>
              </w:tabs>
              <w:jc w:val="both"/>
              <w:rPr>
                <w:rFonts w:cs="Arial"/>
                <w:color w:val="000000"/>
                <w:sz w:val="22"/>
                <w:szCs w:val="22"/>
                <w:lang w:val="fr-FR"/>
              </w:rPr>
            </w:pPr>
          </w:p>
        </w:tc>
        <w:tc>
          <w:tcPr>
            <w:tcW w:w="3150" w:type="dxa"/>
            <w:tcBorders>
              <w:bottom w:val="single" w:sz="4" w:space="0" w:color="000000"/>
            </w:tcBorders>
          </w:tcPr>
          <w:p w:rsidR="001E7D90" w:rsidRDefault="001E7D90" w:rsidP="00914F6A">
            <w:pPr>
              <w:numPr>
                <w:ilvl w:val="0"/>
                <w:numId w:val="29"/>
              </w:numPr>
              <w:ind w:left="193" w:hanging="193"/>
              <w:rPr>
                <w:rFonts w:cs="Arial"/>
                <w:sz w:val="22"/>
                <w:szCs w:val="22"/>
              </w:rPr>
            </w:pPr>
            <w:r w:rsidRPr="00B7063F">
              <w:rPr>
                <w:rFonts w:cs="Arial"/>
                <w:sz w:val="22"/>
                <w:szCs w:val="22"/>
              </w:rPr>
              <w:t># de jeunes qui reçoivent au moins une visite de suivi par mois</w:t>
            </w:r>
          </w:p>
          <w:p w:rsidR="000D32F1" w:rsidRPr="00B7063F" w:rsidRDefault="000D32F1" w:rsidP="000D32F1">
            <w:pPr>
              <w:ind w:left="193"/>
              <w:rPr>
                <w:rFonts w:cs="Arial"/>
                <w:sz w:val="22"/>
                <w:szCs w:val="22"/>
              </w:rPr>
            </w:pPr>
          </w:p>
          <w:p w:rsidR="001E7D90" w:rsidRPr="00B7063F" w:rsidRDefault="001E7D90" w:rsidP="00914F6A">
            <w:pPr>
              <w:numPr>
                <w:ilvl w:val="0"/>
                <w:numId w:val="29"/>
              </w:numPr>
              <w:ind w:left="193" w:hanging="193"/>
              <w:rPr>
                <w:rFonts w:cs="Arial"/>
                <w:sz w:val="22"/>
                <w:szCs w:val="22"/>
              </w:rPr>
            </w:pPr>
            <w:r w:rsidRPr="00B7063F">
              <w:rPr>
                <w:rFonts w:cs="Arial"/>
                <w:sz w:val="22"/>
                <w:szCs w:val="22"/>
              </w:rPr>
              <w:t xml:space="preserve">% des incidents qui sont résolus par des travailleurs sociaux </w:t>
            </w:r>
          </w:p>
        </w:tc>
        <w:tc>
          <w:tcPr>
            <w:tcW w:w="2880" w:type="dxa"/>
            <w:tcBorders>
              <w:bottom w:val="single" w:sz="4" w:space="0" w:color="000000"/>
            </w:tcBorders>
          </w:tcPr>
          <w:p w:rsidR="00566068" w:rsidRPr="000D4A21" w:rsidRDefault="000D32F1" w:rsidP="00566068">
            <w:pPr>
              <w:numPr>
                <w:ilvl w:val="0"/>
                <w:numId w:val="29"/>
              </w:numPr>
              <w:ind w:left="193" w:hanging="193"/>
              <w:rPr>
                <w:rFonts w:cs="Arial"/>
              </w:rPr>
            </w:pPr>
            <w:r w:rsidRPr="000D4A21">
              <w:rPr>
                <w:rFonts w:cs="Arial"/>
                <w:sz w:val="22"/>
                <w:szCs w:val="22"/>
              </w:rPr>
              <w:t xml:space="preserve">643 jeunes  reçoivent la visite de </w:t>
            </w:r>
            <w:r w:rsidR="00566068" w:rsidRPr="000D4A21">
              <w:rPr>
                <w:rFonts w:cs="Arial"/>
                <w:sz w:val="22"/>
                <w:szCs w:val="22"/>
              </w:rPr>
              <w:t xml:space="preserve">29 travailleurs </w:t>
            </w:r>
            <w:r w:rsidRPr="000D4A21">
              <w:rPr>
                <w:rFonts w:cs="Arial"/>
                <w:sz w:val="22"/>
                <w:szCs w:val="22"/>
              </w:rPr>
              <w:t>sociaux chaque mois</w:t>
            </w:r>
          </w:p>
          <w:p w:rsidR="000D32F1" w:rsidRPr="000D4A21" w:rsidRDefault="000D32F1" w:rsidP="000D32F1">
            <w:pPr>
              <w:ind w:left="193"/>
              <w:rPr>
                <w:rFonts w:cs="Arial"/>
              </w:rPr>
            </w:pPr>
          </w:p>
          <w:p w:rsidR="001E7D90" w:rsidRPr="000D4A21" w:rsidRDefault="00566068" w:rsidP="00566068">
            <w:pPr>
              <w:numPr>
                <w:ilvl w:val="0"/>
                <w:numId w:val="29"/>
              </w:numPr>
              <w:ind w:left="193" w:hanging="193"/>
              <w:rPr>
                <w:rFonts w:cs="Arial"/>
                <w:sz w:val="22"/>
                <w:szCs w:val="22"/>
              </w:rPr>
            </w:pPr>
            <w:r w:rsidRPr="000D4A21">
              <w:rPr>
                <w:rFonts w:cs="Arial"/>
                <w:sz w:val="22"/>
                <w:szCs w:val="22"/>
              </w:rPr>
              <w:t xml:space="preserve">95% des cas sont résolus par les </w:t>
            </w:r>
            <w:r w:rsidR="000D32F1" w:rsidRPr="000D4A21">
              <w:rPr>
                <w:rFonts w:cs="Arial"/>
                <w:sz w:val="22"/>
                <w:szCs w:val="22"/>
              </w:rPr>
              <w:t>travailleurs sociaux</w:t>
            </w:r>
          </w:p>
        </w:tc>
        <w:tc>
          <w:tcPr>
            <w:tcW w:w="2700" w:type="dxa"/>
            <w:tcBorders>
              <w:bottom w:val="single" w:sz="4" w:space="0" w:color="000000"/>
            </w:tcBorders>
          </w:tcPr>
          <w:p w:rsidR="001E7D90" w:rsidRPr="00B7063F" w:rsidRDefault="001E7D90" w:rsidP="00914F6A">
            <w:pPr>
              <w:numPr>
                <w:ilvl w:val="0"/>
                <w:numId w:val="29"/>
              </w:numPr>
              <w:ind w:left="193" w:hanging="193"/>
              <w:rPr>
                <w:rFonts w:cs="Arial"/>
                <w:sz w:val="22"/>
                <w:szCs w:val="22"/>
              </w:rPr>
            </w:pPr>
          </w:p>
        </w:tc>
        <w:tc>
          <w:tcPr>
            <w:tcW w:w="2790" w:type="dxa"/>
            <w:tcBorders>
              <w:bottom w:val="single" w:sz="4" w:space="0" w:color="000000"/>
            </w:tcBorders>
          </w:tcPr>
          <w:p w:rsidR="001E7D90" w:rsidRPr="00B7063F" w:rsidRDefault="001E7D90" w:rsidP="00914F6A">
            <w:pPr>
              <w:numPr>
                <w:ilvl w:val="0"/>
                <w:numId w:val="29"/>
              </w:numPr>
              <w:ind w:left="193" w:hanging="193"/>
              <w:rPr>
                <w:rFonts w:cs="Arial"/>
                <w:sz w:val="22"/>
                <w:szCs w:val="22"/>
              </w:rPr>
            </w:pPr>
            <w:r w:rsidRPr="00B7063F">
              <w:rPr>
                <w:rFonts w:cs="Arial"/>
                <w:sz w:val="22"/>
                <w:szCs w:val="22"/>
              </w:rPr>
              <w:t>Rapports des partenaires d'exécution</w:t>
            </w:r>
          </w:p>
          <w:p w:rsidR="001E7D90" w:rsidRPr="00B7063F" w:rsidRDefault="001E7D90" w:rsidP="00914F6A">
            <w:pPr>
              <w:numPr>
                <w:ilvl w:val="0"/>
                <w:numId w:val="29"/>
              </w:numPr>
              <w:ind w:left="193" w:hanging="193"/>
              <w:rPr>
                <w:rFonts w:cs="Arial"/>
                <w:sz w:val="22"/>
                <w:szCs w:val="22"/>
              </w:rPr>
            </w:pPr>
            <w:r w:rsidRPr="00B7063F">
              <w:rPr>
                <w:rFonts w:cs="Arial"/>
                <w:sz w:val="22"/>
                <w:szCs w:val="22"/>
              </w:rPr>
              <w:t>S&amp;E/Rapports de l’UNICEF</w:t>
            </w:r>
          </w:p>
          <w:p w:rsidR="001E7D90" w:rsidRPr="00B7063F" w:rsidRDefault="001E7D90" w:rsidP="00914F6A">
            <w:pPr>
              <w:ind w:left="193"/>
              <w:rPr>
                <w:rFonts w:cs="Arial"/>
                <w:sz w:val="22"/>
                <w:szCs w:val="22"/>
              </w:rPr>
            </w:pPr>
          </w:p>
        </w:tc>
      </w:tr>
      <w:tr w:rsidR="001E7D90" w:rsidRPr="009F68BF" w:rsidTr="001E7D90">
        <w:trPr>
          <w:trHeight w:val="64"/>
        </w:trPr>
        <w:tc>
          <w:tcPr>
            <w:tcW w:w="3528" w:type="dxa"/>
            <w:tcBorders>
              <w:bottom w:val="single" w:sz="4" w:space="0" w:color="000000"/>
            </w:tcBorders>
          </w:tcPr>
          <w:p w:rsidR="001E7D90" w:rsidRPr="000D32F1" w:rsidRDefault="001E7D90" w:rsidP="00914F6A">
            <w:pPr>
              <w:pStyle w:val="FootnoteText"/>
              <w:tabs>
                <w:tab w:val="left" w:pos="426"/>
                <w:tab w:val="left" w:pos="1109"/>
              </w:tabs>
              <w:jc w:val="both"/>
              <w:rPr>
                <w:rFonts w:cs="Arial"/>
                <w:sz w:val="22"/>
                <w:szCs w:val="22"/>
                <w:lang w:val="fr-FR"/>
              </w:rPr>
            </w:pPr>
            <w:r w:rsidRPr="00B7063F">
              <w:rPr>
                <w:rFonts w:cs="Arial"/>
                <w:color w:val="000000"/>
                <w:sz w:val="22"/>
                <w:szCs w:val="22"/>
                <w:lang w:val="fr-FR"/>
              </w:rPr>
              <w:t xml:space="preserve">3.2 </w:t>
            </w:r>
            <w:r w:rsidRPr="00C822A5">
              <w:rPr>
                <w:rFonts w:eastAsia="MS Mincho" w:cs="Arial"/>
                <w:sz w:val="22"/>
                <w:szCs w:val="22"/>
                <w:lang w:val="fr-FR"/>
              </w:rPr>
              <w:t>Identifier et traiter les cas de jeunes qui continuent d'avoir de graves problèmes de comportement</w:t>
            </w:r>
          </w:p>
        </w:tc>
        <w:tc>
          <w:tcPr>
            <w:tcW w:w="3150" w:type="dxa"/>
            <w:tcBorders>
              <w:bottom w:val="single" w:sz="4" w:space="0" w:color="000000"/>
            </w:tcBorders>
          </w:tcPr>
          <w:p w:rsidR="001E7D90" w:rsidRPr="000D32F1" w:rsidRDefault="001E7D90" w:rsidP="00914F6A">
            <w:pPr>
              <w:numPr>
                <w:ilvl w:val="0"/>
                <w:numId w:val="29"/>
              </w:numPr>
              <w:ind w:left="193" w:hanging="193"/>
              <w:rPr>
                <w:rFonts w:cs="Arial"/>
                <w:sz w:val="22"/>
                <w:szCs w:val="22"/>
              </w:rPr>
            </w:pPr>
            <w:r w:rsidRPr="00B7063F">
              <w:rPr>
                <w:rFonts w:cs="Arial"/>
                <w:sz w:val="22"/>
                <w:szCs w:val="22"/>
              </w:rPr>
              <w:t xml:space="preserve">% des cas souffrant de graves problèmes de comportement qui sont fermés </w:t>
            </w:r>
          </w:p>
        </w:tc>
        <w:tc>
          <w:tcPr>
            <w:tcW w:w="2880" w:type="dxa"/>
            <w:tcBorders>
              <w:bottom w:val="single" w:sz="4" w:space="0" w:color="000000"/>
            </w:tcBorders>
          </w:tcPr>
          <w:p w:rsidR="001E7D90" w:rsidRPr="000D4A21" w:rsidRDefault="000D4A21" w:rsidP="000D32F1">
            <w:pPr>
              <w:pStyle w:val="ListParagraph"/>
              <w:numPr>
                <w:ilvl w:val="0"/>
                <w:numId w:val="29"/>
              </w:numPr>
              <w:ind w:left="252"/>
              <w:rPr>
                <w:rFonts w:cs="Arial"/>
                <w:sz w:val="22"/>
                <w:szCs w:val="22"/>
                <w:lang w:val="fr-FR"/>
              </w:rPr>
            </w:pPr>
            <w:r w:rsidRPr="000D4A21">
              <w:rPr>
                <w:rFonts w:cs="Arial"/>
                <w:sz w:val="22"/>
                <w:szCs w:val="22"/>
                <w:lang w:val="fr-FR"/>
              </w:rPr>
              <w:t>2,66</w:t>
            </w:r>
            <w:r w:rsidR="000D32F1" w:rsidRPr="000D4A21">
              <w:rPr>
                <w:rFonts w:cs="Arial"/>
                <w:sz w:val="22"/>
                <w:szCs w:val="22"/>
                <w:lang w:val="fr-FR"/>
              </w:rPr>
              <w:t>% soit 19</w:t>
            </w:r>
            <w:r w:rsidR="00AE7679" w:rsidRPr="000D4A21">
              <w:rPr>
                <w:rFonts w:cs="Arial"/>
                <w:sz w:val="22"/>
                <w:szCs w:val="22"/>
                <w:lang w:val="fr-FR"/>
              </w:rPr>
              <w:t xml:space="preserve"> cas </w:t>
            </w:r>
            <w:r w:rsidRPr="000D4A21">
              <w:rPr>
                <w:rFonts w:cs="Arial"/>
                <w:sz w:val="22"/>
                <w:szCs w:val="22"/>
                <w:lang w:val="fr-FR"/>
              </w:rPr>
              <w:t xml:space="preserve">sur 714 </w:t>
            </w:r>
            <w:r w:rsidR="00AE7679" w:rsidRPr="000D4A21">
              <w:rPr>
                <w:rFonts w:cs="Arial"/>
                <w:sz w:val="22"/>
                <w:szCs w:val="22"/>
                <w:lang w:val="fr-FR"/>
              </w:rPr>
              <w:t xml:space="preserve">ont été identifiés et traités </w:t>
            </w:r>
            <w:r w:rsidR="000D32F1" w:rsidRPr="000D4A21">
              <w:rPr>
                <w:rFonts w:cs="Arial"/>
                <w:sz w:val="22"/>
                <w:szCs w:val="22"/>
                <w:lang w:val="fr-FR"/>
              </w:rPr>
              <w:t>en 2013</w:t>
            </w:r>
            <w:r w:rsidR="00FD1E2B" w:rsidRPr="000D4A21">
              <w:rPr>
                <w:rFonts w:cs="Arial"/>
                <w:sz w:val="22"/>
                <w:szCs w:val="22"/>
                <w:lang w:val="fr-FR"/>
              </w:rPr>
              <w:t xml:space="preserve"> </w:t>
            </w:r>
          </w:p>
        </w:tc>
        <w:tc>
          <w:tcPr>
            <w:tcW w:w="2700" w:type="dxa"/>
            <w:tcBorders>
              <w:bottom w:val="single" w:sz="4" w:space="0" w:color="000000"/>
            </w:tcBorders>
          </w:tcPr>
          <w:p w:rsidR="001E7D90" w:rsidRPr="00B7063F" w:rsidRDefault="001E7D90" w:rsidP="00914F6A">
            <w:pPr>
              <w:numPr>
                <w:ilvl w:val="0"/>
                <w:numId w:val="29"/>
              </w:numPr>
              <w:ind w:left="193" w:hanging="193"/>
              <w:rPr>
                <w:rFonts w:cs="Arial"/>
                <w:sz w:val="22"/>
                <w:szCs w:val="22"/>
              </w:rPr>
            </w:pPr>
          </w:p>
        </w:tc>
        <w:tc>
          <w:tcPr>
            <w:tcW w:w="2790" w:type="dxa"/>
            <w:tcBorders>
              <w:bottom w:val="single" w:sz="4" w:space="0" w:color="000000"/>
            </w:tcBorders>
          </w:tcPr>
          <w:p w:rsidR="001E7D90" w:rsidRPr="00B7063F" w:rsidRDefault="001E7D90" w:rsidP="00914F6A">
            <w:pPr>
              <w:numPr>
                <w:ilvl w:val="0"/>
                <w:numId w:val="29"/>
              </w:numPr>
              <w:ind w:left="193" w:hanging="193"/>
              <w:rPr>
                <w:rFonts w:cs="Arial"/>
                <w:sz w:val="22"/>
                <w:szCs w:val="22"/>
              </w:rPr>
            </w:pPr>
            <w:r w:rsidRPr="00B7063F">
              <w:rPr>
                <w:rFonts w:cs="Arial"/>
                <w:sz w:val="22"/>
                <w:szCs w:val="22"/>
              </w:rPr>
              <w:t>Rapports des partenaires d'exécution</w:t>
            </w:r>
          </w:p>
          <w:p w:rsidR="001E7D90" w:rsidRPr="000D32F1" w:rsidRDefault="001E7D90" w:rsidP="000D32F1">
            <w:pPr>
              <w:numPr>
                <w:ilvl w:val="0"/>
                <w:numId w:val="29"/>
              </w:numPr>
              <w:ind w:left="193" w:hanging="193"/>
              <w:rPr>
                <w:rFonts w:cs="Arial"/>
                <w:sz w:val="22"/>
                <w:szCs w:val="22"/>
              </w:rPr>
            </w:pPr>
            <w:r w:rsidRPr="00B7063F">
              <w:rPr>
                <w:rFonts w:cs="Arial"/>
                <w:sz w:val="22"/>
                <w:szCs w:val="22"/>
              </w:rPr>
              <w:t>S&amp;E/Rapports de l’UNICEF</w:t>
            </w:r>
          </w:p>
        </w:tc>
      </w:tr>
      <w:tr w:rsidR="001E7D90" w:rsidRPr="009F68BF" w:rsidTr="00114904">
        <w:trPr>
          <w:trHeight w:val="796"/>
        </w:trPr>
        <w:tc>
          <w:tcPr>
            <w:tcW w:w="3528" w:type="dxa"/>
          </w:tcPr>
          <w:p w:rsidR="001E7D90" w:rsidRPr="00114904" w:rsidRDefault="001E7D90" w:rsidP="00914F6A">
            <w:pPr>
              <w:numPr>
                <w:ilvl w:val="1"/>
                <w:numId w:val="33"/>
              </w:numPr>
              <w:contextualSpacing/>
              <w:jc w:val="both"/>
              <w:rPr>
                <w:rFonts w:cs="Arial"/>
                <w:sz w:val="22"/>
                <w:szCs w:val="22"/>
              </w:rPr>
            </w:pPr>
            <w:r w:rsidRPr="00B7063F">
              <w:rPr>
                <w:rFonts w:cs="Arial"/>
                <w:color w:val="000000"/>
                <w:sz w:val="22"/>
                <w:szCs w:val="22"/>
              </w:rPr>
              <w:t xml:space="preserve"> </w:t>
            </w:r>
            <w:r w:rsidRPr="00B7063F">
              <w:rPr>
                <w:rFonts w:cs="Arial"/>
                <w:sz w:val="22"/>
                <w:szCs w:val="22"/>
              </w:rPr>
              <w:t>Réunifier les jeunes qui continuent à être séparés de leurs familles (moins de 10% du total</w:t>
            </w:r>
          </w:p>
        </w:tc>
        <w:tc>
          <w:tcPr>
            <w:tcW w:w="3150" w:type="dxa"/>
          </w:tcPr>
          <w:p w:rsidR="00114904" w:rsidRDefault="001E7D90" w:rsidP="00914F6A">
            <w:pPr>
              <w:numPr>
                <w:ilvl w:val="0"/>
                <w:numId w:val="29"/>
              </w:numPr>
              <w:ind w:left="193" w:hanging="193"/>
              <w:rPr>
                <w:rFonts w:cs="Arial"/>
                <w:sz w:val="22"/>
                <w:szCs w:val="22"/>
              </w:rPr>
            </w:pPr>
            <w:r w:rsidRPr="00B7063F">
              <w:rPr>
                <w:rFonts w:cs="Arial"/>
                <w:sz w:val="22"/>
                <w:szCs w:val="22"/>
              </w:rPr>
              <w:t xml:space="preserve">% des jeunes séparés qui sont réunifiés avec leurs familles </w:t>
            </w:r>
          </w:p>
          <w:p w:rsidR="001E7D90" w:rsidRPr="00114904" w:rsidRDefault="001E7D90" w:rsidP="00114904">
            <w:pPr>
              <w:rPr>
                <w:rFonts w:cs="Arial"/>
                <w:sz w:val="22"/>
                <w:szCs w:val="22"/>
              </w:rPr>
            </w:pPr>
          </w:p>
        </w:tc>
        <w:tc>
          <w:tcPr>
            <w:tcW w:w="2880" w:type="dxa"/>
          </w:tcPr>
          <w:p w:rsidR="001E7D90" w:rsidRPr="000D4A21" w:rsidRDefault="00294158" w:rsidP="00914F6A">
            <w:pPr>
              <w:numPr>
                <w:ilvl w:val="0"/>
                <w:numId w:val="29"/>
              </w:numPr>
              <w:ind w:left="193" w:hanging="193"/>
              <w:rPr>
                <w:rFonts w:cs="Arial"/>
                <w:sz w:val="22"/>
                <w:szCs w:val="22"/>
              </w:rPr>
            </w:pPr>
            <w:r w:rsidRPr="000D4A21">
              <w:rPr>
                <w:rFonts w:cs="Arial"/>
                <w:sz w:val="22"/>
                <w:szCs w:val="22"/>
              </w:rPr>
              <w:t>97,85%, soit 228 jeunes sur 233 ont été réunifiés avec leur famille</w:t>
            </w:r>
          </w:p>
        </w:tc>
        <w:tc>
          <w:tcPr>
            <w:tcW w:w="2700" w:type="dxa"/>
          </w:tcPr>
          <w:p w:rsidR="001E7D90" w:rsidRPr="00B7063F" w:rsidRDefault="001E7D90" w:rsidP="00914F6A">
            <w:pPr>
              <w:numPr>
                <w:ilvl w:val="0"/>
                <w:numId w:val="29"/>
              </w:numPr>
              <w:ind w:left="193" w:hanging="193"/>
              <w:rPr>
                <w:rFonts w:cs="Arial"/>
                <w:sz w:val="22"/>
                <w:szCs w:val="22"/>
              </w:rPr>
            </w:pPr>
          </w:p>
        </w:tc>
        <w:tc>
          <w:tcPr>
            <w:tcW w:w="2790" w:type="dxa"/>
          </w:tcPr>
          <w:p w:rsidR="001E7D90" w:rsidRPr="00B7063F" w:rsidRDefault="001E7D90" w:rsidP="00914F6A">
            <w:pPr>
              <w:numPr>
                <w:ilvl w:val="0"/>
                <w:numId w:val="29"/>
              </w:numPr>
              <w:ind w:left="193" w:hanging="193"/>
              <w:rPr>
                <w:rFonts w:cs="Arial"/>
                <w:sz w:val="22"/>
                <w:szCs w:val="22"/>
              </w:rPr>
            </w:pPr>
            <w:r w:rsidRPr="00B7063F">
              <w:rPr>
                <w:rFonts w:cs="Arial"/>
                <w:sz w:val="22"/>
                <w:szCs w:val="22"/>
              </w:rPr>
              <w:t>Rapports des partenaires d'exécution</w:t>
            </w:r>
          </w:p>
          <w:p w:rsidR="001E7D90" w:rsidRPr="00B7063F" w:rsidRDefault="001E7D90" w:rsidP="00914F6A">
            <w:pPr>
              <w:numPr>
                <w:ilvl w:val="0"/>
                <w:numId w:val="29"/>
              </w:numPr>
              <w:ind w:left="193" w:hanging="193"/>
              <w:rPr>
                <w:rFonts w:cs="Arial"/>
                <w:sz w:val="22"/>
                <w:szCs w:val="22"/>
              </w:rPr>
            </w:pPr>
            <w:r w:rsidRPr="00B7063F">
              <w:rPr>
                <w:rFonts w:cs="Arial"/>
                <w:sz w:val="22"/>
                <w:szCs w:val="22"/>
              </w:rPr>
              <w:t>S&amp;E/Rapports de l’UNICEF</w:t>
            </w:r>
          </w:p>
          <w:p w:rsidR="001E7D90" w:rsidRPr="00B7063F" w:rsidRDefault="001E7D90" w:rsidP="00914F6A">
            <w:pPr>
              <w:numPr>
                <w:ilvl w:val="0"/>
                <w:numId w:val="29"/>
              </w:numPr>
              <w:ind w:left="193" w:hanging="193"/>
              <w:rPr>
                <w:rFonts w:cs="Arial"/>
                <w:sz w:val="22"/>
                <w:szCs w:val="22"/>
              </w:rPr>
            </w:pPr>
            <w:r w:rsidRPr="00B7063F">
              <w:rPr>
                <w:rFonts w:cs="Arial"/>
                <w:sz w:val="22"/>
                <w:szCs w:val="22"/>
              </w:rPr>
              <w:t>L'évaluation externe</w:t>
            </w:r>
          </w:p>
        </w:tc>
      </w:tr>
      <w:tr w:rsidR="001E7D90" w:rsidRPr="009F68BF" w:rsidTr="001E7D90">
        <w:tc>
          <w:tcPr>
            <w:tcW w:w="3528" w:type="dxa"/>
          </w:tcPr>
          <w:p w:rsidR="001E7D90" w:rsidRPr="00B7063F" w:rsidRDefault="001E7D90" w:rsidP="00914F6A">
            <w:pPr>
              <w:pStyle w:val="FootnoteText"/>
              <w:widowControl w:val="0"/>
              <w:numPr>
                <w:ilvl w:val="1"/>
                <w:numId w:val="33"/>
              </w:numPr>
              <w:tabs>
                <w:tab w:val="left" w:pos="284"/>
              </w:tabs>
              <w:jc w:val="both"/>
              <w:rPr>
                <w:rFonts w:cs="Arial"/>
                <w:sz w:val="22"/>
                <w:szCs w:val="22"/>
                <w:lang w:val="fr-FR"/>
              </w:rPr>
            </w:pPr>
            <w:r w:rsidRPr="00B7063F">
              <w:rPr>
                <w:rFonts w:cs="Arial"/>
                <w:sz w:val="22"/>
                <w:szCs w:val="22"/>
                <w:lang w:val="fr-FR"/>
              </w:rPr>
              <w:t>Soutenir 1.829 jeunes à s'engager dans les activités socio-récréatives</w:t>
            </w:r>
          </w:p>
          <w:p w:rsidR="001E7D90" w:rsidRPr="00B7063F" w:rsidRDefault="001E7D90" w:rsidP="00914F6A">
            <w:pPr>
              <w:pStyle w:val="FootnoteText"/>
              <w:tabs>
                <w:tab w:val="left" w:pos="284"/>
              </w:tabs>
              <w:ind w:left="360"/>
              <w:jc w:val="both"/>
              <w:rPr>
                <w:rFonts w:cs="Arial"/>
                <w:color w:val="000000"/>
                <w:sz w:val="22"/>
                <w:szCs w:val="22"/>
                <w:lang w:val="fr-FR"/>
              </w:rPr>
            </w:pPr>
          </w:p>
        </w:tc>
        <w:tc>
          <w:tcPr>
            <w:tcW w:w="3150" w:type="dxa"/>
          </w:tcPr>
          <w:p w:rsidR="001E7D90" w:rsidRPr="00B7063F" w:rsidRDefault="001E7D90" w:rsidP="00914F6A">
            <w:pPr>
              <w:numPr>
                <w:ilvl w:val="0"/>
                <w:numId w:val="29"/>
              </w:numPr>
              <w:ind w:left="193" w:hanging="193"/>
              <w:rPr>
                <w:rFonts w:cs="Arial"/>
                <w:sz w:val="22"/>
                <w:szCs w:val="22"/>
              </w:rPr>
            </w:pPr>
            <w:r w:rsidRPr="00B7063F">
              <w:rPr>
                <w:rFonts w:cs="Arial"/>
                <w:sz w:val="22"/>
                <w:szCs w:val="22"/>
              </w:rPr>
              <w:t># des activités socio-récréatives organisées</w:t>
            </w:r>
          </w:p>
          <w:p w:rsidR="001E7D90" w:rsidRPr="00B7063F" w:rsidRDefault="001E7D90" w:rsidP="00914F6A">
            <w:pPr>
              <w:numPr>
                <w:ilvl w:val="0"/>
                <w:numId w:val="29"/>
              </w:numPr>
              <w:ind w:left="193" w:hanging="193"/>
              <w:rPr>
                <w:rFonts w:cs="Arial"/>
                <w:sz w:val="22"/>
                <w:szCs w:val="22"/>
              </w:rPr>
            </w:pPr>
            <w:r w:rsidRPr="00B7063F">
              <w:rPr>
                <w:rFonts w:cs="Arial"/>
                <w:sz w:val="22"/>
                <w:szCs w:val="22"/>
              </w:rPr>
              <w:t>Rapport de jeunes de projet aux autres jeunes engagés dans les activités socio-récréatives</w:t>
            </w:r>
          </w:p>
          <w:p w:rsidR="001E7D90" w:rsidRPr="00B7063F" w:rsidRDefault="001E7D90" w:rsidP="00914F6A">
            <w:pPr>
              <w:numPr>
                <w:ilvl w:val="0"/>
                <w:numId w:val="29"/>
              </w:numPr>
              <w:ind w:left="193" w:hanging="193"/>
              <w:rPr>
                <w:rFonts w:cs="Arial"/>
                <w:sz w:val="22"/>
                <w:szCs w:val="22"/>
              </w:rPr>
            </w:pPr>
            <w:r w:rsidRPr="00B7063F">
              <w:rPr>
                <w:rFonts w:cs="Arial"/>
                <w:sz w:val="22"/>
                <w:szCs w:val="22"/>
              </w:rPr>
              <w:t xml:space="preserve"># de jeunes et des intervenants engagés dans la production de </w:t>
            </w:r>
            <w:r w:rsidRPr="00B7063F">
              <w:rPr>
                <w:rFonts w:cs="Arial"/>
                <w:sz w:val="22"/>
                <w:szCs w:val="22"/>
              </w:rPr>
              <w:lastRenderedPageBreak/>
              <w:t xml:space="preserve">film </w:t>
            </w:r>
          </w:p>
        </w:tc>
        <w:tc>
          <w:tcPr>
            <w:tcW w:w="2880" w:type="dxa"/>
          </w:tcPr>
          <w:p w:rsidR="001E7D90" w:rsidRPr="000D4A21" w:rsidRDefault="000D32F1" w:rsidP="00914F6A">
            <w:pPr>
              <w:numPr>
                <w:ilvl w:val="0"/>
                <w:numId w:val="29"/>
              </w:numPr>
              <w:ind w:left="193" w:hanging="193"/>
              <w:rPr>
                <w:rFonts w:cs="Arial"/>
                <w:sz w:val="22"/>
                <w:szCs w:val="22"/>
              </w:rPr>
            </w:pPr>
            <w:r w:rsidRPr="000D4A21">
              <w:rPr>
                <w:rFonts w:cs="Arial"/>
                <w:sz w:val="22"/>
                <w:szCs w:val="22"/>
              </w:rPr>
              <w:lastRenderedPageBreak/>
              <w:t>27</w:t>
            </w:r>
            <w:r w:rsidR="0035188C" w:rsidRPr="000D4A21">
              <w:rPr>
                <w:rFonts w:cs="Arial"/>
                <w:sz w:val="22"/>
                <w:szCs w:val="22"/>
              </w:rPr>
              <w:t xml:space="preserve"> activités socio-éducatives ont été organisées</w:t>
            </w:r>
          </w:p>
          <w:p w:rsidR="000D32F1" w:rsidRPr="000D4A21" w:rsidRDefault="000D32F1" w:rsidP="000D32F1">
            <w:pPr>
              <w:ind w:left="193"/>
              <w:rPr>
                <w:rFonts w:cs="Arial"/>
                <w:sz w:val="22"/>
                <w:szCs w:val="22"/>
              </w:rPr>
            </w:pPr>
          </w:p>
          <w:p w:rsidR="0035188C" w:rsidRPr="000D4A21" w:rsidRDefault="0035188C" w:rsidP="00914F6A">
            <w:pPr>
              <w:numPr>
                <w:ilvl w:val="0"/>
                <w:numId w:val="29"/>
              </w:numPr>
              <w:ind w:left="193" w:hanging="193"/>
              <w:rPr>
                <w:rFonts w:cs="Arial"/>
                <w:sz w:val="22"/>
                <w:szCs w:val="22"/>
              </w:rPr>
            </w:pPr>
            <w:r w:rsidRPr="000D4A21">
              <w:rPr>
                <w:rFonts w:cs="Arial"/>
                <w:sz w:val="22"/>
                <w:szCs w:val="22"/>
              </w:rPr>
              <w:t>Le film n’a pas pu être produit, faute de moyens suffisants</w:t>
            </w:r>
          </w:p>
        </w:tc>
        <w:tc>
          <w:tcPr>
            <w:tcW w:w="2700" w:type="dxa"/>
          </w:tcPr>
          <w:p w:rsidR="001E7D90" w:rsidRPr="00B7063F" w:rsidRDefault="001E7D90" w:rsidP="00914F6A">
            <w:pPr>
              <w:numPr>
                <w:ilvl w:val="0"/>
                <w:numId w:val="29"/>
              </w:numPr>
              <w:ind w:left="193" w:hanging="193"/>
              <w:rPr>
                <w:rFonts w:cs="Arial"/>
                <w:sz w:val="22"/>
                <w:szCs w:val="22"/>
              </w:rPr>
            </w:pPr>
          </w:p>
        </w:tc>
        <w:tc>
          <w:tcPr>
            <w:tcW w:w="2790" w:type="dxa"/>
          </w:tcPr>
          <w:p w:rsidR="001E7D90" w:rsidRPr="00B7063F" w:rsidRDefault="001E7D90" w:rsidP="00914F6A">
            <w:pPr>
              <w:numPr>
                <w:ilvl w:val="0"/>
                <w:numId w:val="29"/>
              </w:numPr>
              <w:ind w:left="193" w:hanging="193"/>
              <w:rPr>
                <w:rFonts w:cs="Arial"/>
                <w:sz w:val="22"/>
                <w:szCs w:val="22"/>
              </w:rPr>
            </w:pPr>
            <w:r w:rsidRPr="00B7063F">
              <w:rPr>
                <w:rFonts w:cs="Arial"/>
                <w:sz w:val="22"/>
                <w:szCs w:val="22"/>
              </w:rPr>
              <w:t>Rapports des partenaires d'exécution</w:t>
            </w:r>
          </w:p>
          <w:p w:rsidR="001E7D90" w:rsidRPr="00B7063F" w:rsidRDefault="001E7D90" w:rsidP="00914F6A">
            <w:pPr>
              <w:numPr>
                <w:ilvl w:val="0"/>
                <w:numId w:val="29"/>
              </w:numPr>
              <w:ind w:left="193" w:hanging="193"/>
              <w:rPr>
                <w:rFonts w:cs="Arial"/>
                <w:sz w:val="22"/>
                <w:szCs w:val="22"/>
              </w:rPr>
            </w:pPr>
            <w:r w:rsidRPr="00B7063F">
              <w:rPr>
                <w:rFonts w:cs="Arial"/>
                <w:sz w:val="22"/>
                <w:szCs w:val="22"/>
              </w:rPr>
              <w:t>S&amp;E/Rapports de l’UNICEF</w:t>
            </w:r>
          </w:p>
          <w:p w:rsidR="001E7D90" w:rsidRPr="00B7063F" w:rsidRDefault="001E7D90" w:rsidP="00914F6A">
            <w:pPr>
              <w:rPr>
                <w:rFonts w:cs="Arial"/>
                <w:sz w:val="22"/>
                <w:szCs w:val="22"/>
              </w:rPr>
            </w:pPr>
          </w:p>
        </w:tc>
      </w:tr>
    </w:tbl>
    <w:p w:rsidR="00264361" w:rsidRDefault="00264361" w:rsidP="004D18B1">
      <w:pPr>
        <w:pStyle w:val="BodyText"/>
        <w:jc w:val="both"/>
        <w:rPr>
          <w:rFonts w:ascii="Times New Roman" w:hAnsi="Times New Roman"/>
          <w:sz w:val="24"/>
          <w:lang w:val="fr-FR"/>
        </w:rPr>
      </w:pPr>
    </w:p>
    <w:p w:rsidR="00914F6A" w:rsidRDefault="00914F6A" w:rsidP="004D18B1">
      <w:pPr>
        <w:pStyle w:val="BodyText"/>
        <w:jc w:val="both"/>
        <w:rPr>
          <w:rFonts w:ascii="Times New Roman" w:hAnsi="Times New Roman"/>
          <w:sz w:val="24"/>
          <w:lang w:val="fr-FR"/>
        </w:rPr>
      </w:pPr>
    </w:p>
    <w:p w:rsidR="00914F6A" w:rsidRDefault="00914F6A" w:rsidP="004D18B1">
      <w:pPr>
        <w:pStyle w:val="BodyText"/>
        <w:jc w:val="both"/>
        <w:rPr>
          <w:rFonts w:ascii="Times New Roman" w:hAnsi="Times New Roman"/>
          <w:sz w:val="24"/>
          <w:lang w:val="fr-FR"/>
        </w:rPr>
      </w:pPr>
    </w:p>
    <w:p w:rsidR="00914F6A" w:rsidRPr="00334073" w:rsidRDefault="00914F6A" w:rsidP="001E7D90">
      <w:pPr>
        <w:pStyle w:val="BodyText"/>
        <w:framePr w:w="15195" w:wrap="auto" w:hAnchor="text"/>
        <w:jc w:val="both"/>
        <w:rPr>
          <w:rFonts w:ascii="Times New Roman" w:hAnsi="Times New Roman"/>
          <w:sz w:val="24"/>
          <w:lang w:val="fr-FR"/>
        </w:rPr>
        <w:sectPr w:rsidR="00914F6A" w:rsidRPr="00334073" w:rsidSect="00920E4B">
          <w:type w:val="continuous"/>
          <w:pgSz w:w="15840" w:h="12240" w:orient="landscape" w:code="1"/>
          <w:pgMar w:top="806" w:right="810" w:bottom="810" w:left="1354" w:header="720" w:footer="418" w:gutter="0"/>
          <w:cols w:space="720"/>
          <w:docGrid w:linePitch="360"/>
        </w:sectPr>
      </w:pPr>
    </w:p>
    <w:p w:rsidR="00264361" w:rsidRPr="00334073" w:rsidRDefault="00264361" w:rsidP="00920E4B">
      <w:pPr>
        <w:pStyle w:val="Heading1"/>
        <w:ind w:left="0"/>
      </w:pPr>
      <w:bookmarkStart w:id="16" w:name="_Toc381108754"/>
      <w:r w:rsidRPr="00334073">
        <w:lastRenderedPageBreak/>
        <w:t>H</w:t>
      </w:r>
      <w:r w:rsidR="007500D6">
        <w:t>ISTOIRE D’UNE REUSSITE PRECISE</w:t>
      </w:r>
      <w:bookmarkEnd w:id="16"/>
      <w:r w:rsidR="007500D6">
        <w:t xml:space="preserve"> </w:t>
      </w:r>
    </w:p>
    <w:p w:rsidR="0084419A" w:rsidRDefault="0084419A" w:rsidP="0084419A">
      <w:pPr>
        <w:spacing w:after="200" w:line="276" w:lineRule="auto"/>
      </w:pPr>
      <w:r w:rsidRPr="00330A9F">
        <w:rPr>
          <w:b/>
          <w:u w:val="single"/>
        </w:rPr>
        <w:t xml:space="preserve">Histoire de Marcelline </w:t>
      </w:r>
      <w:proofErr w:type="spellStart"/>
      <w:r w:rsidRPr="00330A9F">
        <w:rPr>
          <w:b/>
          <w:u w:val="single"/>
        </w:rPr>
        <w:t>Douhanara</w:t>
      </w:r>
      <w:proofErr w:type="spellEnd"/>
      <w:r w:rsidRPr="0084419A">
        <w:rPr>
          <w:sz w:val="28"/>
        </w:rPr>
        <w:t> </w:t>
      </w:r>
      <w:r w:rsidRPr="0084419A">
        <w:t xml:space="preserve">: </w:t>
      </w:r>
    </w:p>
    <w:p w:rsidR="0084419A" w:rsidRDefault="0084419A" w:rsidP="00863EAC">
      <w:pPr>
        <w:jc w:val="both"/>
      </w:pPr>
      <w:r>
        <w:t xml:space="preserve">Marcelline </w:t>
      </w:r>
      <w:proofErr w:type="spellStart"/>
      <w:r>
        <w:t>Douhanara</w:t>
      </w:r>
      <w:proofErr w:type="spellEnd"/>
      <w:r>
        <w:t xml:space="preserve"> est née en 1995 à Lola en Guinée Forestière. Elle a été jusqu’au collège, au niveau 6</w:t>
      </w:r>
      <w:r w:rsidRPr="0084419A">
        <w:rPr>
          <w:vertAlign w:val="superscript"/>
        </w:rPr>
        <w:t>ème</w:t>
      </w:r>
      <w:r>
        <w:t xml:space="preserve"> année où elle a rencontré son fiancé. Son fiancé, qui vient du même village a été enrôlé dans l’armée de manière illégale, comme les autres jeunes bénéficiaires du projet et a suivi le camp de formation à </w:t>
      </w:r>
      <w:proofErr w:type="spellStart"/>
      <w:r>
        <w:t>Kaléah</w:t>
      </w:r>
      <w:proofErr w:type="spellEnd"/>
      <w:r>
        <w:t xml:space="preserve"> en Basse Guinée. Pour suivre son fiancé, Marcelline est venue à Conakry sans avoir aucune attache ou lien familial dans la capitale. Son fiancé l’a orientée vers son frère qui était militaire au camp Alpha Yaya Diallo. Marcelline a dès lors vécu dans le camp, jusqu’au départ du président </w:t>
      </w:r>
      <w:proofErr w:type="spellStart"/>
      <w:r>
        <w:t>Daddis</w:t>
      </w:r>
      <w:proofErr w:type="spellEnd"/>
      <w:r>
        <w:t xml:space="preserve"> Camara où elle a été expulsée du camp, tout comme son fiancé du camp de formation de </w:t>
      </w:r>
      <w:proofErr w:type="spellStart"/>
      <w:r>
        <w:t>Kaléah</w:t>
      </w:r>
      <w:proofErr w:type="spellEnd"/>
      <w:r>
        <w:t xml:space="preserve">. </w:t>
      </w:r>
    </w:p>
    <w:p w:rsidR="00BA67DC" w:rsidRDefault="0084419A" w:rsidP="00863EAC">
      <w:pPr>
        <w:jc w:val="both"/>
      </w:pPr>
      <w:r>
        <w:t xml:space="preserve">Le projet PBF a représenté un grand espoir pour elle car il lui a donné l’opportunité de se former pour pouvoir se prendre en charge, sans avoir à dépendre de son fiancé ou de l’appui de militaires. Marcelline est rentrée en formation au centre Chemin de Fer pour suivre la filière Exploitation ferroviaire.  </w:t>
      </w:r>
      <w:r w:rsidRPr="00BA67DC">
        <w:t xml:space="preserve">Elle est très heureuse de faire cette branche </w:t>
      </w:r>
      <w:r w:rsidR="00BA67DC">
        <w:t>et a déjà fait un stage au Petit B</w:t>
      </w:r>
      <w:r w:rsidRPr="00BA67DC">
        <w:t xml:space="preserve">ateau où elle a appris à </w:t>
      </w:r>
      <w:r w:rsidR="00BA67DC">
        <w:t>« </w:t>
      </w:r>
      <w:r w:rsidRPr="00BA67DC">
        <w:t>passer l’aiguille</w:t>
      </w:r>
      <w:r w:rsidR="00BA67DC">
        <w:t> »</w:t>
      </w:r>
      <w:r w:rsidRPr="00BA67DC">
        <w:t xml:space="preserve"> c'est-à-dire </w:t>
      </w:r>
      <w:r w:rsidR="00BA67DC">
        <w:t xml:space="preserve">à </w:t>
      </w:r>
      <w:r w:rsidRPr="00BA67DC">
        <w:t>p</w:t>
      </w:r>
      <w:r w:rsidR="00BA67DC">
        <w:t xml:space="preserve">rocéder à l’aiguillage des trains en changeant les voies ferrées. </w:t>
      </w:r>
      <w:r w:rsidRPr="00BA67DC">
        <w:t xml:space="preserve"> </w:t>
      </w:r>
    </w:p>
    <w:p w:rsidR="0084419A" w:rsidRDefault="00BA67DC" w:rsidP="00863EAC">
      <w:pPr>
        <w:jc w:val="both"/>
      </w:pPr>
      <w:r>
        <w:t xml:space="preserve">Pour son avenir, Marcelline souhaite continuer dans cette voie et devenir </w:t>
      </w:r>
      <w:r w:rsidR="0084419A" w:rsidRPr="00BA67DC">
        <w:t>comptable en transit ferroviaire.</w:t>
      </w:r>
      <w:r>
        <w:t xml:space="preserve"> Ce projet professionnel n’aurait pas pu être possible sans l’appui du projet PBF qui l’a accompagné à subvenir ses besoins mais qui l’a aussi outillée pour trouver un stage et ainsi se confronter au marché du travail. </w:t>
      </w:r>
    </w:p>
    <w:p w:rsidR="00330A9F" w:rsidRPr="00330A9F" w:rsidRDefault="00330A9F" w:rsidP="00863EAC">
      <w:pPr>
        <w:jc w:val="both"/>
        <w:rPr>
          <w:b/>
          <w:u w:val="single"/>
        </w:rPr>
      </w:pPr>
    </w:p>
    <w:p w:rsidR="00330A9F" w:rsidRPr="00330A9F" w:rsidRDefault="00330A9F" w:rsidP="00863EAC">
      <w:pPr>
        <w:jc w:val="both"/>
        <w:rPr>
          <w:b/>
          <w:u w:val="single"/>
        </w:rPr>
      </w:pPr>
      <w:r w:rsidRPr="00330A9F">
        <w:rPr>
          <w:b/>
          <w:u w:val="single"/>
        </w:rPr>
        <w:t xml:space="preserve">Histoire d’Alfred Vital </w:t>
      </w:r>
      <w:proofErr w:type="spellStart"/>
      <w:r w:rsidRPr="00330A9F">
        <w:rPr>
          <w:b/>
          <w:u w:val="single"/>
        </w:rPr>
        <w:t>Sonomou</w:t>
      </w:r>
      <w:proofErr w:type="spellEnd"/>
    </w:p>
    <w:p w:rsidR="00E33B9D" w:rsidRDefault="00330A9F" w:rsidP="00863EAC">
      <w:pPr>
        <w:jc w:val="both"/>
      </w:pPr>
      <w:r>
        <w:t>Alfred Vital est né en 1993 à Nzérékoré et a été</w:t>
      </w:r>
      <w:r w:rsidR="0084419A" w:rsidRPr="00330A9F">
        <w:t xml:space="preserve"> enrôlé </w:t>
      </w:r>
      <w:r>
        <w:t xml:space="preserve">illégalement </w:t>
      </w:r>
      <w:r w:rsidR="0084419A" w:rsidRPr="00330A9F">
        <w:t>dans l’armée en 2009</w:t>
      </w:r>
      <w:r>
        <w:t xml:space="preserve"> quand il avait 16 ans. Il a été </w:t>
      </w:r>
      <w:r w:rsidR="0084419A" w:rsidRPr="00330A9F">
        <w:t xml:space="preserve">envoyé à </w:t>
      </w:r>
      <w:proofErr w:type="spellStart"/>
      <w:r w:rsidR="0084419A" w:rsidRPr="00330A9F">
        <w:t>Kaléa</w:t>
      </w:r>
      <w:r>
        <w:t>h</w:t>
      </w:r>
      <w:proofErr w:type="spellEnd"/>
      <w:r w:rsidR="0084419A" w:rsidRPr="00330A9F">
        <w:t xml:space="preserve"> comme d’autres jeunes de sa local</w:t>
      </w:r>
      <w:r>
        <w:t xml:space="preserve">ité pour y suivre une formation militaire. Après neuf mois, il a constaté que ce n’était pas possible d’obtenir son numéro de matricule et de devenir militaire. </w:t>
      </w:r>
      <w:r w:rsidR="006A22AE">
        <w:t xml:space="preserve">Son souhait était alors d’obtenir un diplôme et de trouver un métier mais il n’avait pas les </w:t>
      </w:r>
      <w:r w:rsidR="00E33B9D">
        <w:t xml:space="preserve">moyens de subvenir à ses besoins le temps de sa formation. Quand il a appris que le projet PBF allait pouvoir répondre à ses préoccupations, il a été très content et a fait les démarches pour être orienté au Centre de Formation Professionnelle de </w:t>
      </w:r>
      <w:proofErr w:type="spellStart"/>
      <w:r w:rsidR="00E33B9D">
        <w:t>Matoto</w:t>
      </w:r>
      <w:proofErr w:type="spellEnd"/>
      <w:r w:rsidR="00E33B9D">
        <w:t xml:space="preserve"> à Conakry en filière chaudronnerie. </w:t>
      </w:r>
      <w:r w:rsidR="0084419A" w:rsidRPr="00330A9F">
        <w:t xml:space="preserve"> </w:t>
      </w:r>
    </w:p>
    <w:p w:rsidR="00E33B9D" w:rsidRDefault="00E33B9D" w:rsidP="00863EAC">
      <w:pPr>
        <w:jc w:val="both"/>
      </w:pPr>
      <w:r>
        <w:t xml:space="preserve">Le projet a permis de lui faire acquérir des connaissances professionnelles concernant le secteur de la chaudronnerie mais aussi de l’appuyer socialement et de le soutenir pour l’aider à trouver un stage, apprendre à être compétitif sur le marché du travail. </w:t>
      </w:r>
    </w:p>
    <w:p w:rsidR="00E33B9D" w:rsidRDefault="00E33B9D" w:rsidP="00863EAC">
      <w:pPr>
        <w:jc w:val="both"/>
      </w:pPr>
      <w:r>
        <w:t xml:space="preserve">Ainsi, alors même qu’il n’est pas encore diplômé car sa formation dure trois années, Alfred Vital travaille déjà dans son quartier pour effectuer des petites réparations. Pendant les vacances scolaires, il a réussi le test de sélection avec une entreprise coréenne pour travailler sur un navire. Cependant, trois jours avant le début du contrat, Alfred Vital a eu un accident de circulation qui l’a obligé à être hospitalisé trois mois. Cette terrible épreuve a renforcé la détermination d’Alfred Vital pour terminer sa formation, obtenir son diplôme car il a pu constater par lui-même qu’il pouvait prétendre à de nombreuses opportunités d’emploi dans la chaudronnerie. </w:t>
      </w:r>
    </w:p>
    <w:p w:rsidR="00264361" w:rsidRPr="00334073" w:rsidRDefault="00264361" w:rsidP="004D18B1">
      <w:pPr>
        <w:pStyle w:val="BodyText"/>
        <w:rPr>
          <w:rFonts w:ascii="Times New Roman" w:hAnsi="Times New Roman"/>
          <w:b/>
          <w:sz w:val="24"/>
          <w:lang w:val="fr-FR"/>
        </w:rPr>
      </w:pPr>
    </w:p>
    <w:p w:rsidR="00264361" w:rsidRPr="00334073" w:rsidRDefault="00264361" w:rsidP="004D18B1">
      <w:pPr>
        <w:pStyle w:val="BodyText"/>
        <w:rPr>
          <w:rFonts w:ascii="Times New Roman" w:hAnsi="Times New Roman"/>
          <w:b/>
          <w:sz w:val="24"/>
          <w:lang w:val="fr-FR"/>
        </w:rPr>
      </w:pPr>
    </w:p>
    <w:p w:rsidR="00264361" w:rsidRPr="00334073" w:rsidRDefault="00264361" w:rsidP="00AC08E7">
      <w:pPr>
        <w:pStyle w:val="Heading1"/>
      </w:pPr>
      <w:bookmarkStart w:id="17" w:name="_Toc381108755"/>
      <w:r w:rsidRPr="00334073">
        <w:t>D</w:t>
      </w:r>
      <w:r w:rsidR="007500D6">
        <w:t>ISPOSITIONS DE SUIVI</w:t>
      </w:r>
      <w:bookmarkEnd w:id="17"/>
      <w:r w:rsidR="007500D6">
        <w:t xml:space="preserve"> </w:t>
      </w:r>
    </w:p>
    <w:p w:rsidR="00264361" w:rsidRPr="00334073" w:rsidRDefault="00264361" w:rsidP="004D18B1">
      <w:pPr>
        <w:pStyle w:val="BodyText"/>
        <w:ind w:left="1080"/>
        <w:rPr>
          <w:rFonts w:ascii="Times New Roman" w:hAnsi="Times New Roman"/>
          <w:b/>
          <w:sz w:val="24"/>
          <w:lang w:val="fr-FR"/>
        </w:rPr>
      </w:pPr>
    </w:p>
    <w:p w:rsidR="007A0180" w:rsidRDefault="007A0180" w:rsidP="004D18B1">
      <w:pPr>
        <w:pStyle w:val="BodyText"/>
        <w:ind w:left="360"/>
        <w:jc w:val="both"/>
        <w:rPr>
          <w:rFonts w:ascii="Times New Roman" w:hAnsi="Times New Roman"/>
          <w:i/>
          <w:sz w:val="24"/>
          <w:lang w:val="fr-FR"/>
        </w:rPr>
      </w:pPr>
    </w:p>
    <w:p w:rsidR="00FE43F8" w:rsidRPr="00FE43F8" w:rsidRDefault="00DD6CFE" w:rsidP="00FE43F8">
      <w:pPr>
        <w:pStyle w:val="BodyText"/>
        <w:ind w:left="90"/>
        <w:jc w:val="both"/>
        <w:rPr>
          <w:rFonts w:ascii="Times New Roman" w:hAnsi="Times New Roman"/>
          <w:sz w:val="24"/>
          <w:lang w:val="fr-FR"/>
        </w:rPr>
      </w:pPr>
      <w:r>
        <w:rPr>
          <w:rFonts w:ascii="Times New Roman" w:hAnsi="Times New Roman"/>
          <w:sz w:val="24"/>
          <w:lang w:val="fr-FR"/>
        </w:rPr>
        <w:t>Un</w:t>
      </w:r>
      <w:r w:rsidR="00FE43F8" w:rsidRPr="00FE43F8">
        <w:rPr>
          <w:rFonts w:ascii="Times New Roman" w:hAnsi="Times New Roman"/>
          <w:sz w:val="24"/>
          <w:lang w:val="fr-FR"/>
        </w:rPr>
        <w:t xml:space="preserve"> comité </w:t>
      </w:r>
      <w:r>
        <w:rPr>
          <w:rFonts w:ascii="Times New Roman" w:hAnsi="Times New Roman"/>
          <w:sz w:val="24"/>
          <w:lang w:val="fr-FR"/>
        </w:rPr>
        <w:t xml:space="preserve">régional de pilotage du projet est organisé pour planifier, suivre le projet </w:t>
      </w:r>
      <w:r w:rsidR="00FE43F8">
        <w:rPr>
          <w:rFonts w:ascii="Times New Roman" w:hAnsi="Times New Roman"/>
          <w:sz w:val="24"/>
          <w:lang w:val="fr-FR"/>
        </w:rPr>
        <w:t xml:space="preserve"> et rassemble</w:t>
      </w:r>
      <w:r>
        <w:rPr>
          <w:rFonts w:ascii="Times New Roman" w:hAnsi="Times New Roman"/>
          <w:sz w:val="24"/>
          <w:lang w:val="fr-FR"/>
        </w:rPr>
        <w:t>r</w:t>
      </w:r>
      <w:r w:rsidR="00FE43F8">
        <w:rPr>
          <w:rFonts w:ascii="Times New Roman" w:hAnsi="Times New Roman"/>
          <w:sz w:val="24"/>
          <w:lang w:val="fr-FR"/>
        </w:rPr>
        <w:t xml:space="preserve"> les acteurs (UNICEF, MDE, centres de formation, </w:t>
      </w:r>
      <w:r w:rsidR="00176685">
        <w:rPr>
          <w:rFonts w:ascii="Times New Roman" w:hAnsi="Times New Roman"/>
          <w:sz w:val="24"/>
          <w:lang w:val="fr-FR"/>
        </w:rPr>
        <w:t>services déconcentrés de l’état)</w:t>
      </w:r>
      <w:r>
        <w:rPr>
          <w:rFonts w:ascii="Times New Roman" w:hAnsi="Times New Roman"/>
          <w:sz w:val="24"/>
          <w:lang w:val="fr-FR"/>
        </w:rPr>
        <w:t xml:space="preserve">. Les </w:t>
      </w:r>
      <w:r w:rsidR="00FE43F8">
        <w:rPr>
          <w:rFonts w:ascii="Times New Roman" w:hAnsi="Times New Roman"/>
          <w:sz w:val="24"/>
          <w:lang w:val="fr-FR"/>
        </w:rPr>
        <w:t>difficultés rencontrées</w:t>
      </w:r>
      <w:r>
        <w:rPr>
          <w:rFonts w:ascii="Times New Roman" w:hAnsi="Times New Roman"/>
          <w:sz w:val="24"/>
          <w:lang w:val="fr-FR"/>
        </w:rPr>
        <w:t xml:space="preserve"> sont partagées et des solutions sont trouvées</w:t>
      </w:r>
      <w:r w:rsidR="00FE43F8">
        <w:rPr>
          <w:rFonts w:ascii="Times New Roman" w:hAnsi="Times New Roman"/>
          <w:sz w:val="24"/>
          <w:lang w:val="fr-FR"/>
        </w:rPr>
        <w:t xml:space="preserve">. </w:t>
      </w:r>
      <w:r w:rsidR="007F0E38">
        <w:rPr>
          <w:rFonts w:ascii="Times New Roman" w:hAnsi="Times New Roman"/>
          <w:sz w:val="24"/>
          <w:lang w:val="fr-FR"/>
        </w:rPr>
        <w:t xml:space="preserve">Concernant </w:t>
      </w:r>
      <w:r w:rsidR="007F0E38">
        <w:rPr>
          <w:rFonts w:ascii="Times New Roman" w:hAnsi="Times New Roman"/>
          <w:sz w:val="24"/>
          <w:lang w:val="fr-FR"/>
        </w:rPr>
        <w:lastRenderedPageBreak/>
        <w:t>les jeunes en formation, d</w:t>
      </w:r>
      <w:r w:rsidR="007F0E38" w:rsidRPr="007F0E38">
        <w:rPr>
          <w:rFonts w:ascii="Times New Roman" w:hAnsi="Times New Roman"/>
          <w:sz w:val="24"/>
          <w:lang w:val="fr-FR"/>
        </w:rPr>
        <w:t>es fiches d’intervention sociales et psychosociales comportant plusieurs paramètres (sensibilisation, gestion de conflits, médiation familiale, activités sportives, culturelles etc.) pour recueillir un maximum d’informations en lien avec les jeunes ont été mises en place par DRC et remplies avec l’aide des travailleurs sociaux</w:t>
      </w:r>
      <w:r w:rsidR="007F0E38">
        <w:rPr>
          <w:rFonts w:ascii="Times New Roman" w:hAnsi="Times New Roman"/>
          <w:sz w:val="24"/>
          <w:lang w:val="fr-FR"/>
        </w:rPr>
        <w:t xml:space="preserve">. </w:t>
      </w:r>
    </w:p>
    <w:p w:rsidR="00264361" w:rsidRPr="00334073" w:rsidRDefault="00264361" w:rsidP="007A0180">
      <w:pPr>
        <w:pStyle w:val="BodyText"/>
        <w:ind w:left="90"/>
        <w:jc w:val="both"/>
        <w:rPr>
          <w:rFonts w:ascii="Times New Roman" w:hAnsi="Times New Roman"/>
          <w:sz w:val="24"/>
          <w:lang w:val="fr-FR"/>
        </w:rPr>
      </w:pPr>
    </w:p>
    <w:p w:rsidR="00264361" w:rsidRPr="00334073" w:rsidRDefault="00264361" w:rsidP="00AC08E7">
      <w:pPr>
        <w:pStyle w:val="Heading1"/>
      </w:pPr>
      <w:bookmarkStart w:id="18" w:name="_Toc381108756"/>
      <w:r w:rsidRPr="00334073">
        <w:t>R</w:t>
      </w:r>
      <w:r w:rsidR="007500D6">
        <w:t>EVISIONS PROGRAMMATIQUES</w:t>
      </w:r>
      <w:r w:rsidRPr="00334073">
        <w:t xml:space="preserve"> (le cas échéant)</w:t>
      </w:r>
      <w:bookmarkEnd w:id="18"/>
      <w:r w:rsidRPr="00334073">
        <w:t xml:space="preserve"> </w:t>
      </w:r>
    </w:p>
    <w:p w:rsidR="00264361" w:rsidRPr="00334073" w:rsidRDefault="00264361" w:rsidP="004D18B1">
      <w:pPr>
        <w:pStyle w:val="BodyText"/>
        <w:ind w:left="1080"/>
        <w:jc w:val="both"/>
        <w:rPr>
          <w:rFonts w:ascii="Times New Roman" w:hAnsi="Times New Roman"/>
          <w:b/>
          <w:sz w:val="24"/>
          <w:lang w:val="fr-FR"/>
        </w:rPr>
      </w:pPr>
    </w:p>
    <w:p w:rsidR="00264361" w:rsidRPr="00334073" w:rsidRDefault="00C13956" w:rsidP="00C13956">
      <w:pPr>
        <w:pStyle w:val="BodyText"/>
        <w:ind w:left="720"/>
        <w:jc w:val="both"/>
        <w:rPr>
          <w:rFonts w:ascii="Times New Roman" w:hAnsi="Times New Roman"/>
          <w:sz w:val="24"/>
          <w:lang w:val="fr-FR"/>
        </w:rPr>
      </w:pPr>
      <w:r>
        <w:rPr>
          <w:rFonts w:ascii="Times New Roman" w:hAnsi="Times New Roman"/>
          <w:sz w:val="24"/>
          <w:lang w:val="fr-FR"/>
        </w:rPr>
        <w:t>Non applicable</w:t>
      </w:r>
      <w:r w:rsidR="00264361" w:rsidRPr="00334073">
        <w:rPr>
          <w:rFonts w:ascii="Times New Roman" w:hAnsi="Times New Roman"/>
          <w:sz w:val="24"/>
          <w:lang w:val="fr-FR"/>
        </w:rPr>
        <w:t xml:space="preserve"> </w:t>
      </w:r>
    </w:p>
    <w:p w:rsidR="00AC08E7" w:rsidRDefault="00AC08E7" w:rsidP="00AC08E7">
      <w:pPr>
        <w:pStyle w:val="Subtitle"/>
        <w:rPr>
          <w:rFonts w:eastAsia="Times New Roman" w:cs="Arial"/>
          <w:b w:val="0"/>
          <w:iCs w:val="0"/>
          <w:spacing w:val="0"/>
          <w:szCs w:val="20"/>
          <w:lang w:eastAsia="en-US"/>
        </w:rPr>
      </w:pPr>
    </w:p>
    <w:p w:rsidR="00264361" w:rsidRPr="00334073" w:rsidRDefault="00264361" w:rsidP="00AC08E7">
      <w:pPr>
        <w:pStyle w:val="Heading1"/>
      </w:pPr>
      <w:bookmarkStart w:id="19" w:name="_Toc381108757"/>
      <w:r w:rsidRPr="00334073">
        <w:t>R</w:t>
      </w:r>
      <w:r w:rsidR="007500D6">
        <w:t>ESSOURCES</w:t>
      </w:r>
      <w:r w:rsidRPr="00334073">
        <w:t xml:space="preserve"> (facultatif)</w:t>
      </w:r>
      <w:bookmarkEnd w:id="19"/>
    </w:p>
    <w:p w:rsidR="00264361" w:rsidRPr="00334073" w:rsidRDefault="00264361" w:rsidP="00334073">
      <w:pPr>
        <w:pStyle w:val="BodyText"/>
        <w:keepNext/>
        <w:keepLines/>
        <w:rPr>
          <w:rFonts w:ascii="Times New Roman" w:hAnsi="Times New Roman"/>
          <w:b/>
          <w:sz w:val="24"/>
          <w:lang w:val="fr-FR"/>
        </w:rPr>
      </w:pPr>
    </w:p>
    <w:p w:rsidR="00FD6386" w:rsidRPr="00FD6386" w:rsidRDefault="00FD6386" w:rsidP="00FD6386">
      <w:pPr>
        <w:numPr>
          <w:ilvl w:val="1"/>
          <w:numId w:val="18"/>
        </w:numPr>
        <w:jc w:val="both"/>
        <w:rPr>
          <w:b/>
        </w:rPr>
      </w:pPr>
      <w:r w:rsidRPr="00FD6386">
        <w:rPr>
          <w:b/>
        </w:rPr>
        <w:t>Ressources humaines:</w:t>
      </w:r>
    </w:p>
    <w:p w:rsidR="00FD6386" w:rsidRPr="00FD6386" w:rsidRDefault="00FD6386" w:rsidP="00FD6386">
      <w:pPr>
        <w:ind w:left="1080"/>
        <w:jc w:val="both"/>
      </w:pPr>
    </w:p>
    <w:tbl>
      <w:tblPr>
        <w:tblW w:w="8218" w:type="dxa"/>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2"/>
        <w:gridCol w:w="1134"/>
        <w:gridCol w:w="1276"/>
        <w:gridCol w:w="1134"/>
        <w:gridCol w:w="1134"/>
        <w:gridCol w:w="1134"/>
        <w:gridCol w:w="1134"/>
      </w:tblGrid>
      <w:tr w:rsidR="00FD6386" w:rsidRPr="00FD6386" w:rsidTr="00044C6F">
        <w:trPr>
          <w:trHeight w:val="360"/>
        </w:trPr>
        <w:tc>
          <w:tcPr>
            <w:tcW w:w="1272" w:type="dxa"/>
            <w:vMerge w:val="restart"/>
            <w:shd w:val="clear" w:color="auto" w:fill="D9D9D9"/>
          </w:tcPr>
          <w:p w:rsidR="00FD6386" w:rsidRPr="00FD6386" w:rsidRDefault="00FD6386" w:rsidP="00FD6386">
            <w:pPr>
              <w:jc w:val="center"/>
              <w:rPr>
                <w:b/>
              </w:rPr>
            </w:pPr>
            <w:r w:rsidRPr="00FD6386">
              <w:rPr>
                <w:b/>
              </w:rPr>
              <w:t>Agence d’exécution</w:t>
            </w:r>
          </w:p>
        </w:tc>
        <w:tc>
          <w:tcPr>
            <w:tcW w:w="2410" w:type="dxa"/>
            <w:gridSpan w:val="2"/>
            <w:shd w:val="clear" w:color="auto" w:fill="D9D9D9"/>
          </w:tcPr>
          <w:p w:rsidR="00FD6386" w:rsidRPr="00FD6386" w:rsidRDefault="00FD6386" w:rsidP="00FD6386">
            <w:pPr>
              <w:jc w:val="center"/>
              <w:rPr>
                <w:b/>
              </w:rPr>
            </w:pPr>
            <w:r w:rsidRPr="00FD6386">
              <w:rPr>
                <w:b/>
              </w:rPr>
              <w:t xml:space="preserve">Programmes </w:t>
            </w:r>
          </w:p>
        </w:tc>
        <w:tc>
          <w:tcPr>
            <w:tcW w:w="2268" w:type="dxa"/>
            <w:gridSpan w:val="2"/>
            <w:shd w:val="clear" w:color="auto" w:fill="D9D9D9"/>
          </w:tcPr>
          <w:p w:rsidR="00FD6386" w:rsidRPr="00FD6386" w:rsidRDefault="00FD6386" w:rsidP="00FD6386">
            <w:pPr>
              <w:jc w:val="center"/>
              <w:rPr>
                <w:b/>
              </w:rPr>
            </w:pPr>
            <w:r w:rsidRPr="00FD6386">
              <w:rPr>
                <w:b/>
              </w:rPr>
              <w:t xml:space="preserve">Operations  </w:t>
            </w:r>
          </w:p>
        </w:tc>
        <w:tc>
          <w:tcPr>
            <w:tcW w:w="2268" w:type="dxa"/>
            <w:gridSpan w:val="2"/>
            <w:shd w:val="clear" w:color="auto" w:fill="D9D9D9"/>
          </w:tcPr>
          <w:p w:rsidR="00FD6386" w:rsidRPr="00FD6386" w:rsidRDefault="00FD6386" w:rsidP="00FD6386">
            <w:pPr>
              <w:jc w:val="center"/>
              <w:rPr>
                <w:b/>
              </w:rPr>
            </w:pPr>
            <w:r w:rsidRPr="00FD6386">
              <w:rPr>
                <w:b/>
              </w:rPr>
              <w:t xml:space="preserve">Programmes </w:t>
            </w:r>
          </w:p>
        </w:tc>
      </w:tr>
      <w:tr w:rsidR="00FD6386" w:rsidRPr="00FD6386" w:rsidTr="00044C6F">
        <w:trPr>
          <w:trHeight w:val="360"/>
        </w:trPr>
        <w:tc>
          <w:tcPr>
            <w:tcW w:w="1272" w:type="dxa"/>
            <w:vMerge/>
            <w:shd w:val="clear" w:color="auto" w:fill="D9D9D9"/>
          </w:tcPr>
          <w:p w:rsidR="00FD6386" w:rsidRPr="00FD6386" w:rsidRDefault="00FD6386" w:rsidP="00FD6386">
            <w:pPr>
              <w:jc w:val="center"/>
              <w:rPr>
                <w:b/>
              </w:rPr>
            </w:pPr>
          </w:p>
        </w:tc>
        <w:tc>
          <w:tcPr>
            <w:tcW w:w="1134" w:type="dxa"/>
            <w:shd w:val="clear" w:color="auto" w:fill="D9D9D9"/>
          </w:tcPr>
          <w:p w:rsidR="00FD6386" w:rsidRPr="00FD6386" w:rsidRDefault="00FD6386" w:rsidP="00FD6386">
            <w:pPr>
              <w:jc w:val="center"/>
              <w:rPr>
                <w:b/>
              </w:rPr>
            </w:pPr>
            <w:r w:rsidRPr="00FD6386">
              <w:rPr>
                <w:b/>
              </w:rPr>
              <w:t xml:space="preserve">Nationaux </w:t>
            </w:r>
          </w:p>
        </w:tc>
        <w:tc>
          <w:tcPr>
            <w:tcW w:w="1276" w:type="dxa"/>
            <w:shd w:val="clear" w:color="auto" w:fill="D9D9D9"/>
          </w:tcPr>
          <w:p w:rsidR="00FD6386" w:rsidRPr="00FD6386" w:rsidRDefault="00FD6386" w:rsidP="00FD6386">
            <w:pPr>
              <w:jc w:val="center"/>
              <w:rPr>
                <w:b/>
              </w:rPr>
            </w:pPr>
            <w:r w:rsidRPr="00FD6386">
              <w:rPr>
                <w:b/>
              </w:rPr>
              <w:t>Allocation du temps</w:t>
            </w:r>
          </w:p>
        </w:tc>
        <w:tc>
          <w:tcPr>
            <w:tcW w:w="1134" w:type="dxa"/>
            <w:shd w:val="clear" w:color="auto" w:fill="D9D9D9"/>
          </w:tcPr>
          <w:p w:rsidR="00FD6386" w:rsidRPr="00FD6386" w:rsidRDefault="00FD6386" w:rsidP="00FD6386">
            <w:pPr>
              <w:jc w:val="center"/>
              <w:rPr>
                <w:b/>
              </w:rPr>
            </w:pPr>
            <w:r w:rsidRPr="00FD6386">
              <w:rPr>
                <w:b/>
              </w:rPr>
              <w:t xml:space="preserve">Nationaux </w:t>
            </w:r>
          </w:p>
        </w:tc>
        <w:tc>
          <w:tcPr>
            <w:tcW w:w="1134" w:type="dxa"/>
            <w:shd w:val="clear" w:color="auto" w:fill="D9D9D9"/>
          </w:tcPr>
          <w:p w:rsidR="00FD6386" w:rsidRPr="00FD6386" w:rsidRDefault="00FD6386" w:rsidP="00FD6386">
            <w:pPr>
              <w:jc w:val="center"/>
              <w:rPr>
                <w:b/>
              </w:rPr>
            </w:pPr>
            <w:r w:rsidRPr="00FD6386">
              <w:rPr>
                <w:b/>
              </w:rPr>
              <w:t>Allocation du temps</w:t>
            </w:r>
          </w:p>
        </w:tc>
        <w:tc>
          <w:tcPr>
            <w:tcW w:w="1134" w:type="dxa"/>
            <w:shd w:val="clear" w:color="auto" w:fill="D9D9D9"/>
          </w:tcPr>
          <w:p w:rsidR="00FD6386" w:rsidRPr="00FD6386" w:rsidRDefault="00FD6386" w:rsidP="00FD6386">
            <w:pPr>
              <w:jc w:val="center"/>
              <w:rPr>
                <w:b/>
              </w:rPr>
            </w:pPr>
            <w:r w:rsidRPr="00FD6386">
              <w:rPr>
                <w:b/>
              </w:rPr>
              <w:t>Internationaux</w:t>
            </w:r>
          </w:p>
        </w:tc>
        <w:tc>
          <w:tcPr>
            <w:tcW w:w="1134" w:type="dxa"/>
            <w:shd w:val="clear" w:color="auto" w:fill="D9D9D9"/>
          </w:tcPr>
          <w:p w:rsidR="00FD6386" w:rsidRPr="00FD6386" w:rsidRDefault="00FD6386" w:rsidP="00FD6386">
            <w:pPr>
              <w:jc w:val="center"/>
              <w:rPr>
                <w:b/>
              </w:rPr>
            </w:pPr>
            <w:r w:rsidRPr="00FD6386">
              <w:rPr>
                <w:b/>
              </w:rPr>
              <w:t>Allocation du temps</w:t>
            </w:r>
          </w:p>
        </w:tc>
      </w:tr>
      <w:tr w:rsidR="00FD6386" w:rsidRPr="00FD6386" w:rsidTr="00044C6F">
        <w:trPr>
          <w:trHeight w:val="386"/>
        </w:trPr>
        <w:tc>
          <w:tcPr>
            <w:tcW w:w="1272" w:type="dxa"/>
            <w:shd w:val="clear" w:color="auto" w:fill="auto"/>
          </w:tcPr>
          <w:p w:rsidR="00FD6386" w:rsidRPr="00FD6386" w:rsidRDefault="00FD6386" w:rsidP="00FD6386">
            <w:pPr>
              <w:rPr>
                <w:b/>
              </w:rPr>
            </w:pPr>
            <w:r w:rsidRPr="00FD6386">
              <w:rPr>
                <w:b/>
              </w:rPr>
              <w:t>UNICEF</w:t>
            </w:r>
          </w:p>
        </w:tc>
        <w:tc>
          <w:tcPr>
            <w:tcW w:w="1134" w:type="dxa"/>
            <w:tcBorders>
              <w:bottom w:val="single" w:sz="4" w:space="0" w:color="000000"/>
            </w:tcBorders>
            <w:shd w:val="clear" w:color="auto" w:fill="auto"/>
            <w:vAlign w:val="center"/>
          </w:tcPr>
          <w:p w:rsidR="00FD6386" w:rsidRPr="00FD6386" w:rsidRDefault="00FD6386" w:rsidP="00FD6386">
            <w:pPr>
              <w:jc w:val="center"/>
              <w:rPr>
                <w:color w:val="000000"/>
              </w:rPr>
            </w:pPr>
            <w:r w:rsidRPr="00FD6386">
              <w:rPr>
                <w:color w:val="000000"/>
              </w:rPr>
              <w:t>4</w:t>
            </w:r>
          </w:p>
        </w:tc>
        <w:tc>
          <w:tcPr>
            <w:tcW w:w="1276" w:type="dxa"/>
            <w:tcBorders>
              <w:bottom w:val="single" w:sz="4" w:space="0" w:color="000000"/>
            </w:tcBorders>
            <w:vAlign w:val="center"/>
          </w:tcPr>
          <w:p w:rsidR="00FD6386" w:rsidRPr="00FD6386" w:rsidRDefault="00FD6386" w:rsidP="00FD6386">
            <w:pPr>
              <w:jc w:val="center"/>
              <w:rPr>
                <w:color w:val="000000"/>
              </w:rPr>
            </w:pPr>
            <w:r w:rsidRPr="00FD6386">
              <w:rPr>
                <w:color w:val="000000"/>
              </w:rPr>
              <w:t>10%</w:t>
            </w:r>
          </w:p>
        </w:tc>
        <w:tc>
          <w:tcPr>
            <w:tcW w:w="1134" w:type="dxa"/>
            <w:tcBorders>
              <w:bottom w:val="single" w:sz="4" w:space="0" w:color="000000"/>
            </w:tcBorders>
            <w:vAlign w:val="center"/>
          </w:tcPr>
          <w:p w:rsidR="00FD6386" w:rsidRPr="00FD6386" w:rsidRDefault="00FD6386" w:rsidP="00FD6386">
            <w:pPr>
              <w:jc w:val="center"/>
              <w:rPr>
                <w:color w:val="000000"/>
              </w:rPr>
            </w:pPr>
            <w:r w:rsidRPr="00FD6386">
              <w:rPr>
                <w:color w:val="000000"/>
              </w:rPr>
              <w:t>1</w:t>
            </w:r>
          </w:p>
        </w:tc>
        <w:tc>
          <w:tcPr>
            <w:tcW w:w="1134" w:type="dxa"/>
            <w:tcBorders>
              <w:bottom w:val="single" w:sz="4" w:space="0" w:color="000000"/>
            </w:tcBorders>
            <w:vAlign w:val="center"/>
          </w:tcPr>
          <w:p w:rsidR="00FD6386" w:rsidRPr="00FD6386" w:rsidRDefault="00FD6386" w:rsidP="00FD6386">
            <w:pPr>
              <w:jc w:val="center"/>
              <w:rPr>
                <w:color w:val="000000"/>
              </w:rPr>
            </w:pPr>
            <w:r w:rsidRPr="00FD6386">
              <w:rPr>
                <w:color w:val="000000"/>
              </w:rPr>
              <w:t>10%</w:t>
            </w:r>
          </w:p>
        </w:tc>
        <w:tc>
          <w:tcPr>
            <w:tcW w:w="1134" w:type="dxa"/>
            <w:tcBorders>
              <w:bottom w:val="single" w:sz="4" w:space="0" w:color="000000"/>
            </w:tcBorders>
            <w:vAlign w:val="center"/>
          </w:tcPr>
          <w:p w:rsidR="00FD6386" w:rsidRPr="00FD6386" w:rsidRDefault="00FD6386" w:rsidP="00FD6386">
            <w:pPr>
              <w:jc w:val="center"/>
              <w:rPr>
                <w:color w:val="000000"/>
              </w:rPr>
            </w:pPr>
            <w:r w:rsidRPr="00FD6386">
              <w:rPr>
                <w:color w:val="000000"/>
              </w:rPr>
              <w:t>1</w:t>
            </w:r>
          </w:p>
        </w:tc>
        <w:tc>
          <w:tcPr>
            <w:tcW w:w="1134" w:type="dxa"/>
            <w:tcBorders>
              <w:bottom w:val="single" w:sz="4" w:space="0" w:color="000000"/>
            </w:tcBorders>
            <w:shd w:val="clear" w:color="auto" w:fill="auto"/>
            <w:vAlign w:val="center"/>
          </w:tcPr>
          <w:p w:rsidR="00FD6386" w:rsidRPr="00FD6386" w:rsidRDefault="00FD6386" w:rsidP="00FD6386">
            <w:pPr>
              <w:jc w:val="center"/>
              <w:rPr>
                <w:color w:val="000000"/>
              </w:rPr>
            </w:pPr>
            <w:r w:rsidRPr="00FD6386">
              <w:rPr>
                <w:color w:val="000000"/>
              </w:rPr>
              <w:t>20%</w:t>
            </w:r>
          </w:p>
        </w:tc>
      </w:tr>
    </w:tbl>
    <w:p w:rsidR="00FD6386" w:rsidRPr="00FD6386" w:rsidRDefault="00FD6386" w:rsidP="00FD6386">
      <w:pPr>
        <w:rPr>
          <w:b/>
        </w:rPr>
      </w:pPr>
    </w:p>
    <w:p w:rsidR="00FD6386" w:rsidRPr="00FD6386" w:rsidRDefault="00FD6386" w:rsidP="00FD6386">
      <w:pPr>
        <w:keepNext/>
        <w:keepLines/>
        <w:rPr>
          <w:rFonts w:cs="Arial"/>
          <w:b/>
          <w:szCs w:val="20"/>
          <w:lang w:eastAsia="en-US"/>
        </w:rPr>
      </w:pPr>
      <w:r w:rsidRPr="00FD6386">
        <w:rPr>
          <w:rFonts w:cs="Arial"/>
          <w:b/>
          <w:szCs w:val="20"/>
          <w:lang w:eastAsia="en-US"/>
        </w:rPr>
        <w:t xml:space="preserve">5.2. </w:t>
      </w:r>
      <w:r w:rsidR="005D7155">
        <w:rPr>
          <w:rFonts w:cs="Arial"/>
          <w:b/>
          <w:szCs w:val="20"/>
          <w:lang w:eastAsia="en-US"/>
        </w:rPr>
        <w:t xml:space="preserve">Ressources </w:t>
      </w:r>
      <w:r w:rsidRPr="00FD6386">
        <w:rPr>
          <w:rFonts w:cs="Arial"/>
          <w:b/>
          <w:szCs w:val="20"/>
          <w:lang w:eastAsia="en-US"/>
        </w:rPr>
        <w:t>Financières</w:t>
      </w:r>
    </w:p>
    <w:p w:rsidR="00FD6386" w:rsidRDefault="00FD6386" w:rsidP="00FD6386">
      <w:pPr>
        <w:keepNext/>
        <w:keepLines/>
        <w:rPr>
          <w:rFonts w:cs="Arial"/>
          <w:b/>
          <w:szCs w:val="20"/>
          <w:lang w:eastAsia="en-US"/>
        </w:rPr>
      </w:pPr>
    </w:p>
    <w:tbl>
      <w:tblPr>
        <w:tblW w:w="8925" w:type="dxa"/>
        <w:tblInd w:w="93" w:type="dxa"/>
        <w:tblLook w:val="04A0" w:firstRow="1" w:lastRow="0" w:firstColumn="1" w:lastColumn="0" w:noHBand="0" w:noVBand="1"/>
      </w:tblPr>
      <w:tblGrid>
        <w:gridCol w:w="1455"/>
        <w:gridCol w:w="1980"/>
        <w:gridCol w:w="1170"/>
        <w:gridCol w:w="1620"/>
        <w:gridCol w:w="1350"/>
        <w:gridCol w:w="1350"/>
      </w:tblGrid>
      <w:tr w:rsidR="005D7155" w:rsidTr="005D7155">
        <w:trPr>
          <w:trHeight w:val="1065"/>
        </w:trPr>
        <w:tc>
          <w:tcPr>
            <w:tcW w:w="145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D7155" w:rsidRDefault="005D7155" w:rsidP="005D7155">
            <w:pPr>
              <w:rPr>
                <w:rFonts w:ascii="Arial Narrow" w:hAnsi="Arial Narrow"/>
                <w:b/>
                <w:bCs/>
                <w:color w:val="000000"/>
                <w:sz w:val="22"/>
                <w:szCs w:val="22"/>
              </w:rPr>
            </w:pPr>
            <w:r>
              <w:rPr>
                <w:rFonts w:ascii="Arial Narrow" w:hAnsi="Arial Narrow"/>
                <w:b/>
                <w:bCs/>
                <w:color w:val="000000"/>
                <w:sz w:val="22"/>
                <w:szCs w:val="22"/>
              </w:rPr>
              <w:t>Fonds du PBF approuvés (par résultat du PP)</w:t>
            </w:r>
          </w:p>
        </w:tc>
        <w:tc>
          <w:tcPr>
            <w:tcW w:w="1980" w:type="dxa"/>
            <w:tcBorders>
              <w:top w:val="single" w:sz="8" w:space="0" w:color="auto"/>
              <w:left w:val="nil"/>
              <w:bottom w:val="single" w:sz="4" w:space="0" w:color="auto"/>
              <w:right w:val="single" w:sz="4" w:space="0" w:color="auto"/>
            </w:tcBorders>
            <w:shd w:val="clear" w:color="auto" w:fill="auto"/>
            <w:vAlign w:val="center"/>
            <w:hideMark/>
          </w:tcPr>
          <w:p w:rsidR="005D7155" w:rsidRDefault="005D7155">
            <w:pPr>
              <w:rPr>
                <w:rFonts w:ascii="Arial Narrow" w:hAnsi="Arial Narrow"/>
                <w:b/>
                <w:bCs/>
                <w:color w:val="000000"/>
                <w:sz w:val="22"/>
                <w:szCs w:val="22"/>
              </w:rPr>
            </w:pPr>
            <w:r>
              <w:rPr>
                <w:rFonts w:ascii="Arial Narrow" w:hAnsi="Arial Narrow"/>
                <w:b/>
                <w:bCs/>
                <w:color w:val="000000"/>
                <w:sz w:val="22"/>
                <w:szCs w:val="22"/>
              </w:rPr>
              <w:t xml:space="preserve">Fonds du PP alloués pour les activités non inclus </w:t>
            </w:r>
            <w:proofErr w:type="spellStart"/>
            <w:r>
              <w:rPr>
                <w:rFonts w:ascii="Arial Narrow" w:hAnsi="Arial Narrow"/>
                <w:b/>
                <w:bCs/>
                <w:color w:val="000000"/>
                <w:sz w:val="22"/>
                <w:szCs w:val="22"/>
              </w:rPr>
              <w:t>overhead</w:t>
            </w:r>
            <w:proofErr w:type="spellEnd"/>
            <w:r>
              <w:rPr>
                <w:rFonts w:ascii="Arial Narrow" w:hAnsi="Arial Narrow"/>
                <w:b/>
                <w:bCs/>
                <w:color w:val="000000"/>
                <w:sz w:val="22"/>
                <w:szCs w:val="22"/>
              </w:rPr>
              <w:t xml:space="preserve">  (</w:t>
            </w:r>
            <w:r>
              <w:rPr>
                <w:rFonts w:ascii="Arial Narrow" w:hAnsi="Arial Narrow"/>
                <w:b/>
                <w:bCs/>
                <w:color w:val="000000"/>
              </w:rPr>
              <w:t>UNICEF)</w:t>
            </w:r>
          </w:p>
        </w:tc>
        <w:tc>
          <w:tcPr>
            <w:tcW w:w="1170" w:type="dxa"/>
            <w:tcBorders>
              <w:top w:val="single" w:sz="8" w:space="0" w:color="auto"/>
              <w:left w:val="nil"/>
              <w:bottom w:val="single" w:sz="4" w:space="0" w:color="auto"/>
              <w:right w:val="single" w:sz="4" w:space="0" w:color="auto"/>
            </w:tcBorders>
            <w:shd w:val="clear" w:color="auto" w:fill="auto"/>
            <w:vAlign w:val="center"/>
            <w:hideMark/>
          </w:tcPr>
          <w:p w:rsidR="005D7155" w:rsidRDefault="005D7155">
            <w:pPr>
              <w:rPr>
                <w:rFonts w:ascii="Arial Narrow" w:hAnsi="Arial Narrow"/>
                <w:b/>
                <w:bCs/>
                <w:color w:val="000000"/>
                <w:sz w:val="22"/>
                <w:szCs w:val="22"/>
              </w:rPr>
            </w:pPr>
            <w:r>
              <w:rPr>
                <w:rFonts w:ascii="Arial Narrow" w:hAnsi="Arial Narrow"/>
                <w:b/>
                <w:bCs/>
                <w:color w:val="000000"/>
                <w:sz w:val="22"/>
                <w:szCs w:val="22"/>
              </w:rPr>
              <w:t>Fonds utilisés</w:t>
            </w:r>
          </w:p>
        </w:tc>
        <w:tc>
          <w:tcPr>
            <w:tcW w:w="1620" w:type="dxa"/>
            <w:tcBorders>
              <w:top w:val="single" w:sz="8" w:space="0" w:color="auto"/>
              <w:left w:val="nil"/>
              <w:bottom w:val="single" w:sz="4" w:space="0" w:color="auto"/>
              <w:right w:val="single" w:sz="4" w:space="0" w:color="auto"/>
            </w:tcBorders>
            <w:shd w:val="clear" w:color="auto" w:fill="auto"/>
            <w:vAlign w:val="center"/>
            <w:hideMark/>
          </w:tcPr>
          <w:p w:rsidR="005D7155" w:rsidRDefault="005D7155">
            <w:pPr>
              <w:rPr>
                <w:rFonts w:ascii="Arial Narrow" w:hAnsi="Arial Narrow"/>
                <w:b/>
                <w:bCs/>
                <w:color w:val="000000"/>
                <w:sz w:val="22"/>
                <w:szCs w:val="22"/>
              </w:rPr>
            </w:pPr>
            <w:r>
              <w:rPr>
                <w:rFonts w:ascii="Arial Narrow" w:hAnsi="Arial Narrow"/>
                <w:b/>
                <w:bCs/>
                <w:color w:val="000000"/>
                <w:sz w:val="22"/>
                <w:szCs w:val="22"/>
              </w:rPr>
              <w:t>Fonds engagés à dépenser (prochaines avances à MDE)</w:t>
            </w:r>
          </w:p>
        </w:tc>
        <w:tc>
          <w:tcPr>
            <w:tcW w:w="1350" w:type="dxa"/>
            <w:tcBorders>
              <w:top w:val="single" w:sz="8" w:space="0" w:color="auto"/>
              <w:left w:val="nil"/>
              <w:bottom w:val="single" w:sz="4" w:space="0" w:color="auto"/>
              <w:right w:val="single" w:sz="4" w:space="0" w:color="auto"/>
            </w:tcBorders>
            <w:shd w:val="clear" w:color="auto" w:fill="auto"/>
            <w:vAlign w:val="center"/>
            <w:hideMark/>
          </w:tcPr>
          <w:p w:rsidR="005D7155" w:rsidRDefault="005D7155">
            <w:pPr>
              <w:rPr>
                <w:rFonts w:ascii="Arial Narrow" w:hAnsi="Arial Narrow"/>
                <w:b/>
                <w:bCs/>
                <w:color w:val="000000"/>
                <w:sz w:val="22"/>
                <w:szCs w:val="22"/>
              </w:rPr>
            </w:pPr>
            <w:r>
              <w:rPr>
                <w:rFonts w:ascii="Arial Narrow" w:hAnsi="Arial Narrow"/>
                <w:b/>
                <w:bCs/>
                <w:color w:val="000000"/>
                <w:sz w:val="22"/>
                <w:szCs w:val="22"/>
              </w:rPr>
              <w:t>Fonds totalement dépensés</w:t>
            </w:r>
          </w:p>
        </w:tc>
        <w:tc>
          <w:tcPr>
            <w:tcW w:w="1350" w:type="dxa"/>
            <w:tcBorders>
              <w:top w:val="single" w:sz="8" w:space="0" w:color="auto"/>
              <w:left w:val="nil"/>
              <w:bottom w:val="single" w:sz="4" w:space="0" w:color="auto"/>
              <w:right w:val="single" w:sz="8" w:space="0" w:color="auto"/>
            </w:tcBorders>
            <w:shd w:val="clear" w:color="auto" w:fill="auto"/>
            <w:vAlign w:val="center"/>
            <w:hideMark/>
          </w:tcPr>
          <w:p w:rsidR="005D7155" w:rsidRDefault="005D7155" w:rsidP="005D7155">
            <w:pPr>
              <w:rPr>
                <w:rFonts w:ascii="Arial Narrow" w:hAnsi="Arial Narrow"/>
                <w:b/>
                <w:bCs/>
                <w:color w:val="000000"/>
                <w:sz w:val="22"/>
                <w:szCs w:val="22"/>
              </w:rPr>
            </w:pPr>
            <w:r>
              <w:rPr>
                <w:rFonts w:ascii="Arial Narrow" w:hAnsi="Arial Narrow"/>
                <w:b/>
                <w:bCs/>
                <w:color w:val="000000"/>
                <w:sz w:val="22"/>
                <w:szCs w:val="22"/>
              </w:rPr>
              <w:t>Balance non-dépensée</w:t>
            </w:r>
          </w:p>
        </w:tc>
      </w:tr>
      <w:tr w:rsidR="005D7155" w:rsidTr="005D7155">
        <w:trPr>
          <w:trHeight w:val="330"/>
        </w:trPr>
        <w:tc>
          <w:tcPr>
            <w:tcW w:w="1455" w:type="dxa"/>
            <w:tcBorders>
              <w:top w:val="nil"/>
              <w:left w:val="single" w:sz="8" w:space="0" w:color="auto"/>
              <w:bottom w:val="single" w:sz="8" w:space="0" w:color="auto"/>
              <w:right w:val="single" w:sz="4" w:space="0" w:color="auto"/>
            </w:tcBorders>
            <w:shd w:val="clear" w:color="auto" w:fill="auto"/>
            <w:vAlign w:val="center"/>
            <w:hideMark/>
          </w:tcPr>
          <w:p w:rsidR="005D7155" w:rsidRDefault="005D7155">
            <w:pPr>
              <w:rPr>
                <w:rFonts w:ascii="Arial Narrow" w:hAnsi="Arial Narrow"/>
                <w:b/>
                <w:bCs/>
                <w:color w:val="000000"/>
              </w:rPr>
            </w:pPr>
            <w:r>
              <w:rPr>
                <w:rFonts w:ascii="Arial Narrow" w:hAnsi="Arial Narrow"/>
                <w:b/>
                <w:bCs/>
                <w:color w:val="000000"/>
              </w:rPr>
              <w:t xml:space="preserve">$ 893,562 </w:t>
            </w:r>
          </w:p>
        </w:tc>
        <w:tc>
          <w:tcPr>
            <w:tcW w:w="1980" w:type="dxa"/>
            <w:tcBorders>
              <w:top w:val="nil"/>
              <w:left w:val="nil"/>
              <w:bottom w:val="single" w:sz="8" w:space="0" w:color="auto"/>
              <w:right w:val="single" w:sz="4" w:space="0" w:color="auto"/>
            </w:tcBorders>
            <w:shd w:val="clear" w:color="auto" w:fill="auto"/>
            <w:vAlign w:val="center"/>
            <w:hideMark/>
          </w:tcPr>
          <w:p w:rsidR="005D7155" w:rsidRDefault="005D7155">
            <w:pPr>
              <w:rPr>
                <w:rFonts w:ascii="Arial Narrow" w:hAnsi="Arial Narrow"/>
                <w:b/>
                <w:bCs/>
                <w:color w:val="000000"/>
              </w:rPr>
            </w:pPr>
            <w:r>
              <w:rPr>
                <w:rFonts w:ascii="Arial Narrow" w:hAnsi="Arial Narrow"/>
                <w:b/>
                <w:bCs/>
                <w:color w:val="000000"/>
              </w:rPr>
              <w:t xml:space="preserve">$ 835,123 </w:t>
            </w:r>
          </w:p>
        </w:tc>
        <w:tc>
          <w:tcPr>
            <w:tcW w:w="1170" w:type="dxa"/>
            <w:tcBorders>
              <w:top w:val="nil"/>
              <w:left w:val="nil"/>
              <w:bottom w:val="single" w:sz="8" w:space="0" w:color="auto"/>
              <w:right w:val="single" w:sz="4" w:space="0" w:color="auto"/>
            </w:tcBorders>
            <w:shd w:val="clear" w:color="auto" w:fill="auto"/>
            <w:vAlign w:val="center"/>
            <w:hideMark/>
          </w:tcPr>
          <w:p w:rsidR="005D7155" w:rsidRDefault="005D7155">
            <w:pPr>
              <w:rPr>
                <w:rFonts w:ascii="Arial Narrow" w:hAnsi="Arial Narrow"/>
                <w:b/>
                <w:bCs/>
                <w:color w:val="000000"/>
              </w:rPr>
            </w:pPr>
            <w:r>
              <w:rPr>
                <w:rFonts w:ascii="Arial Narrow" w:hAnsi="Arial Narrow"/>
                <w:b/>
                <w:bCs/>
                <w:color w:val="000000"/>
              </w:rPr>
              <w:t xml:space="preserve">$ 736,628 </w:t>
            </w:r>
          </w:p>
        </w:tc>
        <w:tc>
          <w:tcPr>
            <w:tcW w:w="1620" w:type="dxa"/>
            <w:tcBorders>
              <w:top w:val="nil"/>
              <w:left w:val="nil"/>
              <w:bottom w:val="single" w:sz="8" w:space="0" w:color="auto"/>
              <w:right w:val="single" w:sz="4" w:space="0" w:color="auto"/>
            </w:tcBorders>
            <w:shd w:val="clear" w:color="auto" w:fill="auto"/>
            <w:vAlign w:val="center"/>
            <w:hideMark/>
          </w:tcPr>
          <w:p w:rsidR="005D7155" w:rsidRDefault="005D7155">
            <w:pPr>
              <w:rPr>
                <w:rFonts w:ascii="Arial Narrow" w:hAnsi="Arial Narrow"/>
                <w:b/>
                <w:bCs/>
                <w:color w:val="000000"/>
              </w:rPr>
            </w:pPr>
            <w:r>
              <w:rPr>
                <w:rFonts w:ascii="Arial Narrow" w:hAnsi="Arial Narrow"/>
                <w:b/>
                <w:bCs/>
                <w:color w:val="000000"/>
              </w:rPr>
              <w:t xml:space="preserve"> $ 98,495 </w:t>
            </w:r>
          </w:p>
        </w:tc>
        <w:tc>
          <w:tcPr>
            <w:tcW w:w="1350" w:type="dxa"/>
            <w:tcBorders>
              <w:top w:val="nil"/>
              <w:left w:val="nil"/>
              <w:bottom w:val="single" w:sz="8" w:space="0" w:color="auto"/>
              <w:right w:val="single" w:sz="4" w:space="0" w:color="auto"/>
            </w:tcBorders>
            <w:shd w:val="clear" w:color="auto" w:fill="auto"/>
            <w:vAlign w:val="center"/>
            <w:hideMark/>
          </w:tcPr>
          <w:p w:rsidR="005D7155" w:rsidRDefault="005D7155">
            <w:pPr>
              <w:rPr>
                <w:rFonts w:ascii="Arial Narrow" w:hAnsi="Arial Narrow"/>
                <w:b/>
                <w:bCs/>
                <w:color w:val="000000"/>
              </w:rPr>
            </w:pPr>
            <w:r>
              <w:rPr>
                <w:rFonts w:ascii="Arial Narrow" w:hAnsi="Arial Narrow"/>
                <w:b/>
                <w:bCs/>
                <w:color w:val="000000"/>
              </w:rPr>
              <w:t xml:space="preserve">$ 736,628 </w:t>
            </w:r>
          </w:p>
        </w:tc>
        <w:tc>
          <w:tcPr>
            <w:tcW w:w="1350" w:type="dxa"/>
            <w:tcBorders>
              <w:top w:val="nil"/>
              <w:left w:val="nil"/>
              <w:bottom w:val="single" w:sz="8" w:space="0" w:color="auto"/>
              <w:right w:val="single" w:sz="8" w:space="0" w:color="auto"/>
            </w:tcBorders>
            <w:shd w:val="clear" w:color="auto" w:fill="auto"/>
            <w:vAlign w:val="center"/>
            <w:hideMark/>
          </w:tcPr>
          <w:p w:rsidR="005D7155" w:rsidRDefault="005D7155" w:rsidP="005D7155">
            <w:pPr>
              <w:jc w:val="center"/>
              <w:rPr>
                <w:rFonts w:ascii="Arial Narrow" w:hAnsi="Arial Narrow"/>
                <w:b/>
                <w:bCs/>
                <w:color w:val="000000"/>
              </w:rPr>
            </w:pPr>
            <w:r>
              <w:rPr>
                <w:rFonts w:ascii="Arial Narrow" w:hAnsi="Arial Narrow"/>
                <w:b/>
                <w:bCs/>
                <w:color w:val="000000"/>
              </w:rPr>
              <w:t>$ 98,495</w:t>
            </w:r>
          </w:p>
        </w:tc>
      </w:tr>
    </w:tbl>
    <w:p w:rsidR="005D7155" w:rsidRDefault="005D7155" w:rsidP="00FD6386">
      <w:pPr>
        <w:keepNext/>
        <w:keepLines/>
        <w:rPr>
          <w:rFonts w:cs="Arial"/>
          <w:b/>
          <w:szCs w:val="20"/>
          <w:lang w:eastAsia="en-US"/>
        </w:rPr>
      </w:pPr>
    </w:p>
    <w:p w:rsidR="00513D41" w:rsidRPr="00FE0A81" w:rsidRDefault="00513D41" w:rsidP="00513D41">
      <w:pPr>
        <w:pStyle w:val="BodyText"/>
        <w:keepNext/>
        <w:keepLines/>
        <w:ind w:firstLine="360"/>
        <w:jc w:val="both"/>
        <w:rPr>
          <w:rFonts w:ascii="Times New Roman" w:hAnsi="Times New Roman"/>
          <w:b/>
          <w:sz w:val="24"/>
          <w:lang w:val="fr-FR"/>
        </w:rPr>
      </w:pPr>
      <w:r w:rsidRPr="00FE0A81">
        <w:rPr>
          <w:rFonts w:ascii="Times New Roman" w:hAnsi="Times New Roman"/>
          <w:b/>
          <w:sz w:val="24"/>
          <w:lang w:val="fr-FR"/>
        </w:rPr>
        <w:t xml:space="preserve">Trouver ci-après le tableau </w:t>
      </w:r>
      <w:r>
        <w:rPr>
          <w:rFonts w:ascii="Times New Roman" w:hAnsi="Times New Roman"/>
          <w:b/>
          <w:sz w:val="24"/>
          <w:lang w:val="fr-FR"/>
        </w:rPr>
        <w:t xml:space="preserve">détaillé </w:t>
      </w:r>
      <w:r w:rsidRPr="00FE0A81">
        <w:rPr>
          <w:rFonts w:ascii="Times New Roman" w:hAnsi="Times New Roman"/>
          <w:b/>
          <w:sz w:val="24"/>
          <w:lang w:val="fr-FR"/>
        </w:rPr>
        <w:t>sur l’utilisation des fonds</w:t>
      </w:r>
      <w:r>
        <w:rPr>
          <w:rFonts w:ascii="Times New Roman" w:hAnsi="Times New Roman"/>
          <w:b/>
          <w:sz w:val="24"/>
          <w:lang w:val="fr-FR"/>
        </w:rPr>
        <w:t xml:space="preserve"> </w:t>
      </w:r>
      <w:r w:rsidRPr="007C6664">
        <w:rPr>
          <w:rFonts w:ascii="Times New Roman" w:hAnsi="Times New Roman"/>
          <w:b/>
          <w:sz w:val="24"/>
          <w:u w:val="single"/>
          <w:lang w:val="fr-FR"/>
        </w:rPr>
        <w:t>non inclus</w:t>
      </w:r>
      <w:r>
        <w:rPr>
          <w:rFonts w:ascii="Times New Roman" w:hAnsi="Times New Roman"/>
          <w:b/>
          <w:sz w:val="24"/>
          <w:lang w:val="fr-FR"/>
        </w:rPr>
        <w:t xml:space="preserve"> la ligne </w:t>
      </w:r>
      <w:proofErr w:type="spellStart"/>
      <w:r>
        <w:rPr>
          <w:rFonts w:ascii="Times New Roman" w:hAnsi="Times New Roman"/>
          <w:b/>
          <w:sz w:val="24"/>
          <w:lang w:val="fr-FR"/>
        </w:rPr>
        <w:t>Overhead</w:t>
      </w:r>
      <w:proofErr w:type="spellEnd"/>
      <w:r>
        <w:rPr>
          <w:rFonts w:ascii="Times New Roman" w:hAnsi="Times New Roman"/>
          <w:b/>
          <w:sz w:val="24"/>
          <w:lang w:val="fr-FR"/>
        </w:rPr>
        <w:t xml:space="preserve"> de 7% :</w:t>
      </w:r>
    </w:p>
    <w:p w:rsidR="005D7155" w:rsidRDefault="005D7155" w:rsidP="00FD6386">
      <w:pPr>
        <w:keepNext/>
        <w:keepLines/>
        <w:rPr>
          <w:rFonts w:cs="Arial"/>
          <w:b/>
          <w:szCs w:val="20"/>
          <w:lang w:eastAsia="en-US"/>
        </w:rPr>
      </w:pPr>
    </w:p>
    <w:tbl>
      <w:tblPr>
        <w:tblW w:w="5060" w:type="dxa"/>
        <w:tblInd w:w="93" w:type="dxa"/>
        <w:tblLook w:val="04A0" w:firstRow="1" w:lastRow="0" w:firstColumn="1" w:lastColumn="0" w:noHBand="0" w:noVBand="1"/>
      </w:tblPr>
      <w:tblGrid>
        <w:gridCol w:w="2365"/>
        <w:gridCol w:w="1440"/>
        <w:gridCol w:w="1255"/>
      </w:tblGrid>
      <w:tr w:rsidR="005D7155" w:rsidTr="005D7155">
        <w:trPr>
          <w:trHeight w:val="330"/>
        </w:trPr>
        <w:tc>
          <w:tcPr>
            <w:tcW w:w="2365" w:type="dxa"/>
            <w:tcBorders>
              <w:top w:val="single" w:sz="4" w:space="0" w:color="auto"/>
              <w:left w:val="single" w:sz="4" w:space="0" w:color="auto"/>
              <w:bottom w:val="nil"/>
              <w:right w:val="single" w:sz="4" w:space="0" w:color="auto"/>
            </w:tcBorders>
            <w:shd w:val="clear" w:color="000000" w:fill="FF0000"/>
            <w:vAlign w:val="bottom"/>
            <w:hideMark/>
          </w:tcPr>
          <w:p w:rsidR="005D7155" w:rsidRDefault="005D7155">
            <w:pPr>
              <w:jc w:val="center"/>
              <w:rPr>
                <w:rFonts w:ascii="Arial" w:hAnsi="Arial" w:cs="Arial"/>
                <w:b/>
                <w:bCs/>
                <w:color w:val="000000"/>
                <w:sz w:val="16"/>
                <w:szCs w:val="16"/>
              </w:rPr>
            </w:pPr>
          </w:p>
        </w:tc>
        <w:tc>
          <w:tcPr>
            <w:tcW w:w="2695" w:type="dxa"/>
            <w:gridSpan w:val="2"/>
            <w:tcBorders>
              <w:top w:val="single" w:sz="4" w:space="0" w:color="auto"/>
              <w:left w:val="single" w:sz="4" w:space="0" w:color="auto"/>
              <w:bottom w:val="single" w:sz="4" w:space="0" w:color="00FF00"/>
              <w:right w:val="single" w:sz="4" w:space="0" w:color="auto"/>
            </w:tcBorders>
            <w:shd w:val="clear" w:color="000000" w:fill="FF0000"/>
            <w:vAlign w:val="bottom"/>
            <w:hideMark/>
          </w:tcPr>
          <w:p w:rsidR="005D7155" w:rsidRDefault="005D7155">
            <w:pPr>
              <w:jc w:val="center"/>
              <w:rPr>
                <w:rFonts w:ascii="Arial" w:hAnsi="Arial" w:cs="Arial"/>
                <w:b/>
                <w:bCs/>
                <w:color w:val="000000"/>
                <w:sz w:val="16"/>
                <w:szCs w:val="16"/>
              </w:rPr>
            </w:pPr>
            <w:proofErr w:type="spellStart"/>
            <w:r>
              <w:rPr>
                <w:rFonts w:ascii="Arial" w:hAnsi="Arial" w:cs="Arial"/>
                <w:b/>
                <w:bCs/>
                <w:color w:val="000000"/>
                <w:sz w:val="16"/>
                <w:szCs w:val="16"/>
              </w:rPr>
              <w:t>Funds</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Utilized</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in</w:t>
            </w:r>
            <w:proofErr w:type="spellEnd"/>
            <w:r>
              <w:rPr>
                <w:rFonts w:ascii="Arial" w:hAnsi="Arial" w:cs="Arial"/>
                <w:b/>
                <w:bCs/>
                <w:color w:val="000000"/>
                <w:sz w:val="16"/>
                <w:szCs w:val="16"/>
              </w:rPr>
              <w:t xml:space="preserve"> 2013</w:t>
            </w:r>
          </w:p>
        </w:tc>
      </w:tr>
      <w:tr w:rsidR="005D7155" w:rsidTr="005D7155">
        <w:trPr>
          <w:trHeight w:val="555"/>
        </w:trPr>
        <w:tc>
          <w:tcPr>
            <w:tcW w:w="2365" w:type="dxa"/>
            <w:tcBorders>
              <w:top w:val="nil"/>
              <w:left w:val="single" w:sz="4" w:space="0" w:color="auto"/>
              <w:bottom w:val="single" w:sz="4" w:space="0" w:color="00FF00"/>
              <w:right w:val="single" w:sz="4" w:space="0" w:color="auto"/>
            </w:tcBorders>
            <w:shd w:val="clear" w:color="000000" w:fill="FF0000"/>
            <w:vAlign w:val="bottom"/>
            <w:hideMark/>
          </w:tcPr>
          <w:p w:rsidR="005D7155" w:rsidRDefault="005D7155">
            <w:pPr>
              <w:jc w:val="center"/>
              <w:rPr>
                <w:rFonts w:ascii="Arial" w:hAnsi="Arial" w:cs="Arial"/>
                <w:b/>
                <w:bCs/>
                <w:color w:val="000000"/>
                <w:sz w:val="16"/>
                <w:szCs w:val="16"/>
              </w:rPr>
            </w:pPr>
            <w:proofErr w:type="spellStart"/>
            <w:r>
              <w:rPr>
                <w:rFonts w:ascii="Arial" w:hAnsi="Arial" w:cs="Arial"/>
                <w:b/>
                <w:bCs/>
                <w:color w:val="000000"/>
                <w:sz w:val="16"/>
                <w:szCs w:val="16"/>
              </w:rPr>
              <w:t>Cost</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Category</w:t>
            </w:r>
            <w:proofErr w:type="spellEnd"/>
          </w:p>
        </w:tc>
        <w:tc>
          <w:tcPr>
            <w:tcW w:w="1440" w:type="dxa"/>
            <w:tcBorders>
              <w:top w:val="single" w:sz="4" w:space="0" w:color="00FF00"/>
              <w:left w:val="single" w:sz="4" w:space="0" w:color="auto"/>
              <w:bottom w:val="single" w:sz="4" w:space="0" w:color="00FF00"/>
              <w:right w:val="single" w:sz="4" w:space="0" w:color="00FF00"/>
            </w:tcBorders>
            <w:shd w:val="clear" w:color="000000" w:fill="FF0000"/>
            <w:vAlign w:val="bottom"/>
            <w:hideMark/>
          </w:tcPr>
          <w:p w:rsidR="005D7155" w:rsidRDefault="005D7155">
            <w:pPr>
              <w:jc w:val="center"/>
              <w:rPr>
                <w:rFonts w:ascii="Arial" w:hAnsi="Arial" w:cs="Arial"/>
                <w:b/>
                <w:bCs/>
                <w:color w:val="000000"/>
                <w:sz w:val="16"/>
                <w:szCs w:val="16"/>
              </w:rPr>
            </w:pPr>
            <w:r>
              <w:rPr>
                <w:rFonts w:ascii="Arial" w:hAnsi="Arial" w:cs="Arial"/>
                <w:b/>
                <w:bCs/>
                <w:color w:val="000000"/>
                <w:sz w:val="16"/>
                <w:szCs w:val="16"/>
              </w:rPr>
              <w:t xml:space="preserve">For </w:t>
            </w:r>
            <w:proofErr w:type="spellStart"/>
            <w:r>
              <w:rPr>
                <w:rFonts w:ascii="Arial" w:hAnsi="Arial" w:cs="Arial"/>
                <w:b/>
                <w:bCs/>
                <w:color w:val="000000"/>
                <w:sz w:val="16"/>
                <w:szCs w:val="16"/>
              </w:rPr>
              <w:t>Reporting</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Period</w:t>
            </w:r>
            <w:proofErr w:type="spellEnd"/>
          </w:p>
        </w:tc>
        <w:tc>
          <w:tcPr>
            <w:tcW w:w="1255" w:type="dxa"/>
            <w:tcBorders>
              <w:top w:val="single" w:sz="4" w:space="0" w:color="00FF00"/>
              <w:left w:val="nil"/>
              <w:bottom w:val="single" w:sz="4" w:space="0" w:color="00FF00"/>
              <w:right w:val="single" w:sz="4" w:space="0" w:color="auto"/>
            </w:tcBorders>
            <w:shd w:val="clear" w:color="000000" w:fill="FF0000"/>
            <w:vAlign w:val="bottom"/>
            <w:hideMark/>
          </w:tcPr>
          <w:p w:rsidR="005D7155" w:rsidRDefault="005D7155">
            <w:pPr>
              <w:jc w:val="center"/>
              <w:rPr>
                <w:rFonts w:ascii="Arial" w:hAnsi="Arial" w:cs="Arial"/>
                <w:b/>
                <w:bCs/>
                <w:color w:val="000000"/>
                <w:sz w:val="16"/>
                <w:szCs w:val="16"/>
              </w:rPr>
            </w:pPr>
            <w:r>
              <w:rPr>
                <w:rFonts w:ascii="Arial" w:hAnsi="Arial" w:cs="Arial"/>
                <w:b/>
                <w:bCs/>
                <w:color w:val="000000"/>
                <w:sz w:val="16"/>
                <w:szCs w:val="16"/>
              </w:rPr>
              <w:t>Total</w:t>
            </w:r>
          </w:p>
        </w:tc>
      </w:tr>
      <w:tr w:rsidR="005D7155" w:rsidTr="005D7155">
        <w:trPr>
          <w:trHeight w:val="315"/>
        </w:trPr>
        <w:tc>
          <w:tcPr>
            <w:tcW w:w="2365" w:type="dxa"/>
            <w:tcBorders>
              <w:top w:val="single" w:sz="4" w:space="0" w:color="00FF00"/>
              <w:left w:val="single" w:sz="4" w:space="0" w:color="auto"/>
              <w:bottom w:val="single" w:sz="4" w:space="0" w:color="00FF00"/>
              <w:right w:val="single" w:sz="4" w:space="0" w:color="auto"/>
            </w:tcBorders>
            <w:shd w:val="clear" w:color="auto" w:fill="auto"/>
            <w:noWrap/>
            <w:vAlign w:val="center"/>
            <w:hideMark/>
          </w:tcPr>
          <w:p w:rsidR="005D7155" w:rsidRDefault="005D7155">
            <w:pPr>
              <w:rPr>
                <w:rFonts w:ascii="Arial" w:hAnsi="Arial" w:cs="Arial"/>
                <w:color w:val="000000"/>
                <w:sz w:val="16"/>
                <w:szCs w:val="16"/>
              </w:rPr>
            </w:pPr>
            <w:r>
              <w:rPr>
                <w:rFonts w:ascii="Arial" w:hAnsi="Arial" w:cs="Arial"/>
                <w:color w:val="000000"/>
                <w:sz w:val="16"/>
                <w:szCs w:val="16"/>
              </w:rPr>
              <w:t>CONTRACTUAL SERVICES</w:t>
            </w:r>
          </w:p>
        </w:tc>
        <w:tc>
          <w:tcPr>
            <w:tcW w:w="1440" w:type="dxa"/>
            <w:tcBorders>
              <w:top w:val="single" w:sz="4" w:space="0" w:color="00FF00"/>
              <w:left w:val="single" w:sz="4" w:space="0" w:color="auto"/>
              <w:bottom w:val="single" w:sz="4" w:space="0" w:color="00FF00"/>
              <w:right w:val="single" w:sz="4" w:space="0" w:color="00FF00"/>
            </w:tcBorders>
            <w:shd w:val="clear" w:color="auto" w:fill="auto"/>
            <w:vAlign w:val="center"/>
            <w:hideMark/>
          </w:tcPr>
          <w:p w:rsidR="005D7155" w:rsidRDefault="005D7155">
            <w:pPr>
              <w:jc w:val="right"/>
              <w:rPr>
                <w:rFonts w:ascii="Arial" w:hAnsi="Arial" w:cs="Arial"/>
                <w:color w:val="000000"/>
                <w:sz w:val="16"/>
                <w:szCs w:val="16"/>
              </w:rPr>
            </w:pPr>
            <w:r>
              <w:rPr>
                <w:rFonts w:ascii="Arial" w:hAnsi="Arial" w:cs="Arial"/>
                <w:color w:val="000000"/>
                <w:sz w:val="16"/>
                <w:szCs w:val="16"/>
              </w:rPr>
              <w:t>$31,875</w:t>
            </w:r>
          </w:p>
        </w:tc>
        <w:tc>
          <w:tcPr>
            <w:tcW w:w="1255" w:type="dxa"/>
            <w:tcBorders>
              <w:top w:val="single" w:sz="4" w:space="0" w:color="00FF00"/>
              <w:left w:val="nil"/>
              <w:bottom w:val="single" w:sz="4" w:space="0" w:color="00FF00"/>
              <w:right w:val="single" w:sz="4" w:space="0" w:color="auto"/>
            </w:tcBorders>
            <w:shd w:val="clear" w:color="auto" w:fill="auto"/>
            <w:vAlign w:val="center"/>
            <w:hideMark/>
          </w:tcPr>
          <w:p w:rsidR="005D7155" w:rsidRDefault="005D7155">
            <w:pPr>
              <w:jc w:val="right"/>
              <w:rPr>
                <w:rFonts w:ascii="Arial" w:hAnsi="Arial" w:cs="Arial"/>
                <w:color w:val="000000"/>
                <w:sz w:val="16"/>
                <w:szCs w:val="16"/>
              </w:rPr>
            </w:pPr>
            <w:r>
              <w:rPr>
                <w:rFonts w:ascii="Arial" w:hAnsi="Arial" w:cs="Arial"/>
                <w:color w:val="000000"/>
                <w:sz w:val="16"/>
                <w:szCs w:val="16"/>
              </w:rPr>
              <w:t>$31,875</w:t>
            </w:r>
          </w:p>
        </w:tc>
      </w:tr>
      <w:tr w:rsidR="005D7155" w:rsidTr="005D7155">
        <w:trPr>
          <w:trHeight w:val="660"/>
        </w:trPr>
        <w:tc>
          <w:tcPr>
            <w:tcW w:w="2365" w:type="dxa"/>
            <w:tcBorders>
              <w:top w:val="single" w:sz="4" w:space="0" w:color="00FF00"/>
              <w:left w:val="single" w:sz="4" w:space="0" w:color="auto"/>
              <w:bottom w:val="single" w:sz="4" w:space="0" w:color="00FF00"/>
              <w:right w:val="single" w:sz="4" w:space="0" w:color="auto"/>
            </w:tcBorders>
            <w:shd w:val="clear" w:color="auto" w:fill="auto"/>
            <w:vAlign w:val="center"/>
            <w:hideMark/>
          </w:tcPr>
          <w:p w:rsidR="005D7155" w:rsidRDefault="005D7155">
            <w:pPr>
              <w:rPr>
                <w:rFonts w:ascii="Arial" w:hAnsi="Arial" w:cs="Arial"/>
                <w:color w:val="000000"/>
                <w:sz w:val="16"/>
                <w:szCs w:val="16"/>
              </w:rPr>
            </w:pPr>
            <w:r>
              <w:rPr>
                <w:rFonts w:ascii="Arial" w:hAnsi="Arial" w:cs="Arial"/>
                <w:color w:val="000000"/>
                <w:sz w:val="16"/>
                <w:szCs w:val="16"/>
              </w:rPr>
              <w:t>EQUIPMENT, VEHICLES AND FURNITURE</w:t>
            </w:r>
          </w:p>
        </w:tc>
        <w:tc>
          <w:tcPr>
            <w:tcW w:w="1440" w:type="dxa"/>
            <w:tcBorders>
              <w:top w:val="single" w:sz="4" w:space="0" w:color="00FF00"/>
              <w:left w:val="single" w:sz="4" w:space="0" w:color="auto"/>
              <w:bottom w:val="single" w:sz="4" w:space="0" w:color="00FF00"/>
              <w:right w:val="single" w:sz="4" w:space="0" w:color="00FF00"/>
            </w:tcBorders>
            <w:shd w:val="clear" w:color="auto" w:fill="auto"/>
            <w:vAlign w:val="center"/>
            <w:hideMark/>
          </w:tcPr>
          <w:p w:rsidR="005D7155" w:rsidRDefault="005D7155">
            <w:pPr>
              <w:jc w:val="right"/>
              <w:rPr>
                <w:rFonts w:ascii="Arial" w:hAnsi="Arial" w:cs="Arial"/>
                <w:color w:val="000000"/>
                <w:sz w:val="16"/>
                <w:szCs w:val="16"/>
              </w:rPr>
            </w:pPr>
            <w:r>
              <w:rPr>
                <w:rFonts w:ascii="Arial" w:hAnsi="Arial" w:cs="Arial"/>
                <w:color w:val="000000"/>
                <w:sz w:val="16"/>
                <w:szCs w:val="16"/>
              </w:rPr>
              <w:t>$0</w:t>
            </w:r>
          </w:p>
        </w:tc>
        <w:tc>
          <w:tcPr>
            <w:tcW w:w="1255" w:type="dxa"/>
            <w:tcBorders>
              <w:top w:val="single" w:sz="4" w:space="0" w:color="00FF00"/>
              <w:left w:val="nil"/>
              <w:bottom w:val="single" w:sz="4" w:space="0" w:color="00FF00"/>
              <w:right w:val="single" w:sz="4" w:space="0" w:color="auto"/>
            </w:tcBorders>
            <w:shd w:val="clear" w:color="auto" w:fill="auto"/>
            <w:vAlign w:val="center"/>
            <w:hideMark/>
          </w:tcPr>
          <w:p w:rsidR="005D7155" w:rsidRDefault="005D7155">
            <w:pPr>
              <w:jc w:val="right"/>
              <w:rPr>
                <w:rFonts w:ascii="Arial" w:hAnsi="Arial" w:cs="Arial"/>
                <w:color w:val="000000"/>
                <w:sz w:val="16"/>
                <w:szCs w:val="16"/>
              </w:rPr>
            </w:pPr>
            <w:r>
              <w:rPr>
                <w:rFonts w:ascii="Arial" w:hAnsi="Arial" w:cs="Arial"/>
                <w:color w:val="000000"/>
                <w:sz w:val="16"/>
                <w:szCs w:val="16"/>
              </w:rPr>
              <w:t>$0</w:t>
            </w:r>
          </w:p>
        </w:tc>
      </w:tr>
      <w:tr w:rsidR="005D7155" w:rsidTr="005D7155">
        <w:trPr>
          <w:trHeight w:val="495"/>
        </w:trPr>
        <w:tc>
          <w:tcPr>
            <w:tcW w:w="2365" w:type="dxa"/>
            <w:tcBorders>
              <w:top w:val="single" w:sz="4" w:space="0" w:color="00FF00"/>
              <w:left w:val="single" w:sz="4" w:space="0" w:color="auto"/>
              <w:bottom w:val="single" w:sz="4" w:space="0" w:color="00FF00"/>
              <w:right w:val="single" w:sz="4" w:space="0" w:color="auto"/>
            </w:tcBorders>
            <w:shd w:val="clear" w:color="auto" w:fill="auto"/>
            <w:vAlign w:val="center"/>
            <w:hideMark/>
          </w:tcPr>
          <w:p w:rsidR="005D7155" w:rsidRPr="005D7155" w:rsidRDefault="005D7155">
            <w:pPr>
              <w:rPr>
                <w:rFonts w:ascii="Arial" w:hAnsi="Arial" w:cs="Arial"/>
                <w:color w:val="000000"/>
                <w:sz w:val="16"/>
                <w:szCs w:val="16"/>
                <w:lang w:val="en-US"/>
              </w:rPr>
            </w:pPr>
            <w:r w:rsidRPr="005D7155">
              <w:rPr>
                <w:rFonts w:ascii="Arial" w:hAnsi="Arial" w:cs="Arial"/>
                <w:color w:val="000000"/>
                <w:sz w:val="16"/>
                <w:szCs w:val="16"/>
                <w:lang w:val="en-US"/>
              </w:rPr>
              <w:t>GENERAL OPERATING + OTHER DIRECT COSTS</w:t>
            </w:r>
          </w:p>
        </w:tc>
        <w:tc>
          <w:tcPr>
            <w:tcW w:w="1440" w:type="dxa"/>
            <w:tcBorders>
              <w:top w:val="single" w:sz="4" w:space="0" w:color="00FF00"/>
              <w:left w:val="single" w:sz="4" w:space="0" w:color="auto"/>
              <w:bottom w:val="single" w:sz="4" w:space="0" w:color="00FF00"/>
              <w:right w:val="single" w:sz="4" w:space="0" w:color="00FF00"/>
            </w:tcBorders>
            <w:shd w:val="clear" w:color="auto" w:fill="auto"/>
            <w:vAlign w:val="center"/>
            <w:hideMark/>
          </w:tcPr>
          <w:p w:rsidR="005D7155" w:rsidRDefault="005D7155">
            <w:pPr>
              <w:jc w:val="right"/>
              <w:rPr>
                <w:rFonts w:ascii="Arial" w:hAnsi="Arial" w:cs="Arial"/>
                <w:color w:val="000000"/>
                <w:sz w:val="16"/>
                <w:szCs w:val="16"/>
              </w:rPr>
            </w:pPr>
            <w:r>
              <w:rPr>
                <w:rFonts w:ascii="Arial" w:hAnsi="Arial" w:cs="Arial"/>
                <w:color w:val="000000"/>
                <w:sz w:val="16"/>
                <w:szCs w:val="16"/>
              </w:rPr>
              <w:t>$24,785</w:t>
            </w:r>
          </w:p>
        </w:tc>
        <w:tc>
          <w:tcPr>
            <w:tcW w:w="1255" w:type="dxa"/>
            <w:tcBorders>
              <w:top w:val="single" w:sz="4" w:space="0" w:color="00FF00"/>
              <w:left w:val="nil"/>
              <w:bottom w:val="single" w:sz="4" w:space="0" w:color="00FF00"/>
              <w:right w:val="single" w:sz="4" w:space="0" w:color="auto"/>
            </w:tcBorders>
            <w:shd w:val="clear" w:color="auto" w:fill="auto"/>
            <w:vAlign w:val="center"/>
            <w:hideMark/>
          </w:tcPr>
          <w:p w:rsidR="005D7155" w:rsidRDefault="005D7155">
            <w:pPr>
              <w:jc w:val="right"/>
              <w:rPr>
                <w:rFonts w:ascii="Arial" w:hAnsi="Arial" w:cs="Arial"/>
                <w:color w:val="000000"/>
                <w:sz w:val="16"/>
                <w:szCs w:val="16"/>
              </w:rPr>
            </w:pPr>
            <w:r>
              <w:rPr>
                <w:rFonts w:ascii="Arial" w:hAnsi="Arial" w:cs="Arial"/>
                <w:color w:val="000000"/>
                <w:sz w:val="16"/>
                <w:szCs w:val="16"/>
              </w:rPr>
              <w:t>$24,785</w:t>
            </w:r>
          </w:p>
        </w:tc>
      </w:tr>
      <w:tr w:rsidR="005D7155" w:rsidTr="005D7155">
        <w:trPr>
          <w:trHeight w:val="465"/>
        </w:trPr>
        <w:tc>
          <w:tcPr>
            <w:tcW w:w="2365" w:type="dxa"/>
            <w:tcBorders>
              <w:top w:val="single" w:sz="4" w:space="0" w:color="00FF00"/>
              <w:left w:val="single" w:sz="4" w:space="0" w:color="auto"/>
              <w:bottom w:val="single" w:sz="4" w:space="0" w:color="00FF00"/>
              <w:right w:val="single" w:sz="4" w:space="0" w:color="auto"/>
            </w:tcBorders>
            <w:shd w:val="clear" w:color="auto" w:fill="auto"/>
            <w:vAlign w:val="center"/>
            <w:hideMark/>
          </w:tcPr>
          <w:p w:rsidR="005D7155" w:rsidRDefault="005D7155">
            <w:pPr>
              <w:rPr>
                <w:rFonts w:ascii="Arial" w:hAnsi="Arial" w:cs="Arial"/>
                <w:color w:val="000000"/>
                <w:sz w:val="16"/>
                <w:szCs w:val="16"/>
              </w:rPr>
            </w:pPr>
            <w:r>
              <w:rPr>
                <w:rFonts w:ascii="Arial" w:hAnsi="Arial" w:cs="Arial"/>
                <w:color w:val="000000"/>
                <w:sz w:val="16"/>
                <w:szCs w:val="16"/>
              </w:rPr>
              <w:t>INCREMENTAL INDIRECT COST</w:t>
            </w:r>
          </w:p>
        </w:tc>
        <w:tc>
          <w:tcPr>
            <w:tcW w:w="1440" w:type="dxa"/>
            <w:tcBorders>
              <w:top w:val="single" w:sz="4" w:space="0" w:color="00FF00"/>
              <w:left w:val="single" w:sz="4" w:space="0" w:color="auto"/>
              <w:bottom w:val="single" w:sz="4" w:space="0" w:color="00FF00"/>
              <w:right w:val="single" w:sz="4" w:space="0" w:color="00FF00"/>
            </w:tcBorders>
            <w:shd w:val="clear" w:color="auto" w:fill="auto"/>
            <w:vAlign w:val="center"/>
            <w:hideMark/>
          </w:tcPr>
          <w:p w:rsidR="005D7155" w:rsidRDefault="005D7155">
            <w:pPr>
              <w:jc w:val="right"/>
              <w:rPr>
                <w:rFonts w:ascii="Arial" w:hAnsi="Arial" w:cs="Arial"/>
                <w:color w:val="000000"/>
                <w:sz w:val="16"/>
                <w:szCs w:val="16"/>
              </w:rPr>
            </w:pPr>
            <w:r>
              <w:rPr>
                <w:rFonts w:ascii="Arial" w:hAnsi="Arial" w:cs="Arial"/>
                <w:color w:val="000000"/>
                <w:sz w:val="16"/>
                <w:szCs w:val="16"/>
              </w:rPr>
              <w:t>$0</w:t>
            </w:r>
          </w:p>
        </w:tc>
        <w:tc>
          <w:tcPr>
            <w:tcW w:w="1255" w:type="dxa"/>
            <w:tcBorders>
              <w:top w:val="single" w:sz="4" w:space="0" w:color="00FF00"/>
              <w:left w:val="nil"/>
              <w:bottom w:val="single" w:sz="4" w:space="0" w:color="00FF00"/>
              <w:right w:val="single" w:sz="4" w:space="0" w:color="auto"/>
            </w:tcBorders>
            <w:shd w:val="clear" w:color="auto" w:fill="auto"/>
            <w:vAlign w:val="center"/>
            <w:hideMark/>
          </w:tcPr>
          <w:p w:rsidR="005D7155" w:rsidRDefault="005D7155">
            <w:pPr>
              <w:jc w:val="right"/>
              <w:rPr>
                <w:rFonts w:ascii="Arial" w:hAnsi="Arial" w:cs="Arial"/>
                <w:color w:val="000000"/>
                <w:sz w:val="16"/>
                <w:szCs w:val="16"/>
              </w:rPr>
            </w:pPr>
            <w:r>
              <w:rPr>
                <w:rFonts w:ascii="Arial" w:hAnsi="Arial" w:cs="Arial"/>
                <w:color w:val="000000"/>
                <w:sz w:val="16"/>
                <w:szCs w:val="16"/>
              </w:rPr>
              <w:t>$0</w:t>
            </w:r>
          </w:p>
        </w:tc>
      </w:tr>
      <w:tr w:rsidR="005D7155" w:rsidTr="005D7155">
        <w:trPr>
          <w:trHeight w:val="525"/>
        </w:trPr>
        <w:tc>
          <w:tcPr>
            <w:tcW w:w="2365" w:type="dxa"/>
            <w:tcBorders>
              <w:top w:val="single" w:sz="4" w:space="0" w:color="00FF00"/>
              <w:left w:val="single" w:sz="4" w:space="0" w:color="auto"/>
              <w:bottom w:val="single" w:sz="4" w:space="0" w:color="00FF00"/>
              <w:right w:val="single" w:sz="4" w:space="0" w:color="auto"/>
            </w:tcBorders>
            <w:shd w:val="clear" w:color="auto" w:fill="auto"/>
            <w:vAlign w:val="center"/>
            <w:hideMark/>
          </w:tcPr>
          <w:p w:rsidR="005D7155" w:rsidRPr="005D7155" w:rsidRDefault="005D7155">
            <w:pPr>
              <w:rPr>
                <w:rFonts w:ascii="Arial" w:hAnsi="Arial" w:cs="Arial"/>
                <w:color w:val="000000"/>
                <w:sz w:val="16"/>
                <w:szCs w:val="16"/>
                <w:lang w:val="en-US"/>
              </w:rPr>
            </w:pPr>
            <w:r w:rsidRPr="005D7155">
              <w:rPr>
                <w:rFonts w:ascii="Arial" w:hAnsi="Arial" w:cs="Arial"/>
                <w:color w:val="000000"/>
                <w:sz w:val="16"/>
                <w:szCs w:val="16"/>
                <w:lang w:val="en-US"/>
              </w:rPr>
              <w:t>STAFF AND OTHER PERSONNEL COSTS</w:t>
            </w:r>
          </w:p>
        </w:tc>
        <w:tc>
          <w:tcPr>
            <w:tcW w:w="1440" w:type="dxa"/>
            <w:tcBorders>
              <w:top w:val="single" w:sz="4" w:space="0" w:color="00FF00"/>
              <w:left w:val="single" w:sz="4" w:space="0" w:color="auto"/>
              <w:bottom w:val="single" w:sz="4" w:space="0" w:color="00FF00"/>
              <w:right w:val="single" w:sz="4" w:space="0" w:color="00FF00"/>
            </w:tcBorders>
            <w:shd w:val="clear" w:color="auto" w:fill="auto"/>
            <w:vAlign w:val="center"/>
            <w:hideMark/>
          </w:tcPr>
          <w:p w:rsidR="005D7155" w:rsidRDefault="005D7155">
            <w:pPr>
              <w:jc w:val="right"/>
              <w:rPr>
                <w:rFonts w:ascii="Arial" w:hAnsi="Arial" w:cs="Arial"/>
                <w:color w:val="000000"/>
                <w:sz w:val="16"/>
                <w:szCs w:val="16"/>
              </w:rPr>
            </w:pPr>
            <w:r>
              <w:rPr>
                <w:rFonts w:ascii="Arial" w:hAnsi="Arial" w:cs="Arial"/>
                <w:color w:val="000000"/>
                <w:sz w:val="16"/>
                <w:szCs w:val="16"/>
              </w:rPr>
              <w:t>$0</w:t>
            </w:r>
          </w:p>
        </w:tc>
        <w:tc>
          <w:tcPr>
            <w:tcW w:w="1255" w:type="dxa"/>
            <w:tcBorders>
              <w:top w:val="single" w:sz="4" w:space="0" w:color="00FF00"/>
              <w:left w:val="nil"/>
              <w:bottom w:val="single" w:sz="4" w:space="0" w:color="00FF00"/>
              <w:right w:val="single" w:sz="4" w:space="0" w:color="auto"/>
            </w:tcBorders>
            <w:shd w:val="clear" w:color="auto" w:fill="auto"/>
            <w:vAlign w:val="center"/>
            <w:hideMark/>
          </w:tcPr>
          <w:p w:rsidR="005D7155" w:rsidRDefault="005D7155">
            <w:pPr>
              <w:jc w:val="right"/>
              <w:rPr>
                <w:rFonts w:ascii="Arial" w:hAnsi="Arial" w:cs="Arial"/>
                <w:color w:val="000000"/>
                <w:sz w:val="16"/>
                <w:szCs w:val="16"/>
              </w:rPr>
            </w:pPr>
            <w:r>
              <w:rPr>
                <w:rFonts w:ascii="Arial" w:hAnsi="Arial" w:cs="Arial"/>
                <w:color w:val="000000"/>
                <w:sz w:val="16"/>
                <w:szCs w:val="16"/>
              </w:rPr>
              <w:t>$0</w:t>
            </w:r>
          </w:p>
        </w:tc>
      </w:tr>
      <w:tr w:rsidR="005D7155" w:rsidTr="005D7155">
        <w:trPr>
          <w:trHeight w:val="315"/>
        </w:trPr>
        <w:tc>
          <w:tcPr>
            <w:tcW w:w="2365" w:type="dxa"/>
            <w:tcBorders>
              <w:top w:val="single" w:sz="4" w:space="0" w:color="00FF00"/>
              <w:left w:val="single" w:sz="4" w:space="0" w:color="auto"/>
              <w:bottom w:val="single" w:sz="4" w:space="0" w:color="00FF00"/>
              <w:right w:val="single" w:sz="4" w:space="0" w:color="auto"/>
            </w:tcBorders>
            <w:shd w:val="clear" w:color="auto" w:fill="auto"/>
            <w:vAlign w:val="center"/>
            <w:hideMark/>
          </w:tcPr>
          <w:p w:rsidR="005D7155" w:rsidRDefault="005D7155">
            <w:pPr>
              <w:rPr>
                <w:rFonts w:ascii="Arial" w:hAnsi="Arial" w:cs="Arial"/>
                <w:color w:val="000000"/>
                <w:sz w:val="16"/>
                <w:szCs w:val="16"/>
              </w:rPr>
            </w:pPr>
            <w:r>
              <w:rPr>
                <w:rFonts w:ascii="Arial" w:hAnsi="Arial" w:cs="Arial"/>
                <w:color w:val="000000"/>
                <w:sz w:val="16"/>
                <w:szCs w:val="16"/>
              </w:rPr>
              <w:t>SUPPLIES AND COMMODITIES</w:t>
            </w:r>
          </w:p>
        </w:tc>
        <w:tc>
          <w:tcPr>
            <w:tcW w:w="1440" w:type="dxa"/>
            <w:tcBorders>
              <w:top w:val="single" w:sz="4" w:space="0" w:color="00FF00"/>
              <w:left w:val="single" w:sz="4" w:space="0" w:color="auto"/>
              <w:bottom w:val="single" w:sz="4" w:space="0" w:color="00FF00"/>
              <w:right w:val="single" w:sz="4" w:space="0" w:color="00FF00"/>
            </w:tcBorders>
            <w:shd w:val="clear" w:color="auto" w:fill="auto"/>
            <w:vAlign w:val="center"/>
            <w:hideMark/>
          </w:tcPr>
          <w:p w:rsidR="005D7155" w:rsidRDefault="005D7155">
            <w:pPr>
              <w:jc w:val="right"/>
              <w:rPr>
                <w:rFonts w:ascii="Arial" w:hAnsi="Arial" w:cs="Arial"/>
                <w:color w:val="000000"/>
                <w:sz w:val="16"/>
                <w:szCs w:val="16"/>
              </w:rPr>
            </w:pPr>
            <w:r>
              <w:rPr>
                <w:rFonts w:ascii="Arial" w:hAnsi="Arial" w:cs="Arial"/>
                <w:color w:val="000000"/>
                <w:sz w:val="16"/>
                <w:szCs w:val="16"/>
              </w:rPr>
              <w:t>$7,403</w:t>
            </w:r>
          </w:p>
        </w:tc>
        <w:tc>
          <w:tcPr>
            <w:tcW w:w="1255" w:type="dxa"/>
            <w:tcBorders>
              <w:top w:val="single" w:sz="4" w:space="0" w:color="00FF00"/>
              <w:left w:val="nil"/>
              <w:bottom w:val="single" w:sz="4" w:space="0" w:color="00FF00"/>
              <w:right w:val="single" w:sz="4" w:space="0" w:color="auto"/>
            </w:tcBorders>
            <w:shd w:val="clear" w:color="auto" w:fill="auto"/>
            <w:vAlign w:val="center"/>
            <w:hideMark/>
          </w:tcPr>
          <w:p w:rsidR="005D7155" w:rsidRDefault="005D7155">
            <w:pPr>
              <w:jc w:val="right"/>
              <w:rPr>
                <w:rFonts w:ascii="Arial" w:hAnsi="Arial" w:cs="Arial"/>
                <w:color w:val="000000"/>
                <w:sz w:val="16"/>
                <w:szCs w:val="16"/>
              </w:rPr>
            </w:pPr>
            <w:r>
              <w:rPr>
                <w:rFonts w:ascii="Arial" w:hAnsi="Arial" w:cs="Arial"/>
                <w:color w:val="000000"/>
                <w:sz w:val="16"/>
                <w:szCs w:val="16"/>
              </w:rPr>
              <w:t>$7,403</w:t>
            </w:r>
          </w:p>
        </w:tc>
      </w:tr>
      <w:tr w:rsidR="005D7155" w:rsidTr="005D7155">
        <w:trPr>
          <w:trHeight w:val="510"/>
        </w:trPr>
        <w:tc>
          <w:tcPr>
            <w:tcW w:w="2365" w:type="dxa"/>
            <w:tcBorders>
              <w:top w:val="single" w:sz="4" w:space="0" w:color="00FF00"/>
              <w:left w:val="single" w:sz="4" w:space="0" w:color="auto"/>
              <w:bottom w:val="single" w:sz="4" w:space="0" w:color="00FF00"/>
              <w:right w:val="single" w:sz="4" w:space="0" w:color="auto"/>
            </w:tcBorders>
            <w:shd w:val="clear" w:color="auto" w:fill="auto"/>
            <w:vAlign w:val="center"/>
            <w:hideMark/>
          </w:tcPr>
          <w:p w:rsidR="005D7155" w:rsidRPr="005D7155" w:rsidRDefault="005D7155">
            <w:pPr>
              <w:rPr>
                <w:rFonts w:ascii="Arial" w:hAnsi="Arial" w:cs="Arial"/>
                <w:color w:val="000000"/>
                <w:sz w:val="16"/>
                <w:szCs w:val="16"/>
                <w:lang w:val="en-US"/>
              </w:rPr>
            </w:pPr>
            <w:r w:rsidRPr="005D7155">
              <w:rPr>
                <w:rFonts w:ascii="Arial" w:hAnsi="Arial" w:cs="Arial"/>
                <w:color w:val="000000"/>
                <w:sz w:val="16"/>
                <w:szCs w:val="16"/>
                <w:lang w:val="en-US"/>
              </w:rPr>
              <w:t>TRANSFERS AND GRANTS TO COUNTERPARTS</w:t>
            </w:r>
          </w:p>
        </w:tc>
        <w:tc>
          <w:tcPr>
            <w:tcW w:w="1440" w:type="dxa"/>
            <w:tcBorders>
              <w:top w:val="single" w:sz="4" w:space="0" w:color="00FF00"/>
              <w:left w:val="single" w:sz="4" w:space="0" w:color="auto"/>
              <w:bottom w:val="single" w:sz="4" w:space="0" w:color="00FF00"/>
              <w:right w:val="single" w:sz="4" w:space="0" w:color="00FF00"/>
            </w:tcBorders>
            <w:shd w:val="clear" w:color="auto" w:fill="auto"/>
            <w:vAlign w:val="center"/>
            <w:hideMark/>
          </w:tcPr>
          <w:p w:rsidR="005D7155" w:rsidRDefault="005D7155">
            <w:pPr>
              <w:jc w:val="right"/>
              <w:rPr>
                <w:rFonts w:ascii="Arial" w:hAnsi="Arial" w:cs="Arial"/>
                <w:color w:val="000000"/>
                <w:sz w:val="16"/>
                <w:szCs w:val="16"/>
              </w:rPr>
            </w:pPr>
            <w:r>
              <w:rPr>
                <w:rFonts w:ascii="Arial" w:hAnsi="Arial" w:cs="Arial"/>
                <w:color w:val="000000"/>
                <w:sz w:val="16"/>
                <w:szCs w:val="16"/>
              </w:rPr>
              <w:t>$671,083</w:t>
            </w:r>
          </w:p>
        </w:tc>
        <w:tc>
          <w:tcPr>
            <w:tcW w:w="1255" w:type="dxa"/>
            <w:tcBorders>
              <w:top w:val="single" w:sz="4" w:space="0" w:color="00FF00"/>
              <w:left w:val="nil"/>
              <w:bottom w:val="single" w:sz="4" w:space="0" w:color="00FF00"/>
              <w:right w:val="single" w:sz="4" w:space="0" w:color="auto"/>
            </w:tcBorders>
            <w:shd w:val="clear" w:color="auto" w:fill="auto"/>
            <w:vAlign w:val="center"/>
            <w:hideMark/>
          </w:tcPr>
          <w:p w:rsidR="005D7155" w:rsidRDefault="005D7155">
            <w:pPr>
              <w:jc w:val="right"/>
              <w:rPr>
                <w:rFonts w:ascii="Arial" w:hAnsi="Arial" w:cs="Arial"/>
                <w:color w:val="000000"/>
                <w:sz w:val="16"/>
                <w:szCs w:val="16"/>
              </w:rPr>
            </w:pPr>
            <w:r>
              <w:rPr>
                <w:rFonts w:ascii="Arial" w:hAnsi="Arial" w:cs="Arial"/>
                <w:color w:val="000000"/>
                <w:sz w:val="16"/>
                <w:szCs w:val="16"/>
              </w:rPr>
              <w:t>$671,083</w:t>
            </w:r>
          </w:p>
        </w:tc>
      </w:tr>
      <w:tr w:rsidR="005D7155" w:rsidTr="005D7155">
        <w:trPr>
          <w:trHeight w:val="315"/>
        </w:trPr>
        <w:tc>
          <w:tcPr>
            <w:tcW w:w="2365" w:type="dxa"/>
            <w:tcBorders>
              <w:top w:val="single" w:sz="4" w:space="0" w:color="00FF00"/>
              <w:left w:val="single" w:sz="4" w:space="0" w:color="auto"/>
              <w:bottom w:val="single" w:sz="4" w:space="0" w:color="auto"/>
              <w:right w:val="single" w:sz="4" w:space="0" w:color="auto"/>
            </w:tcBorders>
            <w:shd w:val="clear" w:color="auto" w:fill="auto"/>
            <w:noWrap/>
            <w:vAlign w:val="center"/>
            <w:hideMark/>
          </w:tcPr>
          <w:p w:rsidR="005D7155" w:rsidRDefault="005D7155">
            <w:pPr>
              <w:rPr>
                <w:rFonts w:ascii="Arial" w:hAnsi="Arial" w:cs="Arial"/>
                <w:color w:val="000000"/>
                <w:sz w:val="16"/>
                <w:szCs w:val="16"/>
              </w:rPr>
            </w:pPr>
            <w:r>
              <w:rPr>
                <w:rFonts w:ascii="Arial" w:hAnsi="Arial" w:cs="Arial"/>
                <w:color w:val="000000"/>
                <w:sz w:val="16"/>
                <w:szCs w:val="16"/>
              </w:rPr>
              <w:t>TRAVEL</w:t>
            </w:r>
          </w:p>
        </w:tc>
        <w:tc>
          <w:tcPr>
            <w:tcW w:w="1440" w:type="dxa"/>
            <w:tcBorders>
              <w:top w:val="single" w:sz="4" w:space="0" w:color="00FF00"/>
              <w:left w:val="single" w:sz="4" w:space="0" w:color="auto"/>
              <w:bottom w:val="single" w:sz="4" w:space="0" w:color="00FF00"/>
              <w:right w:val="single" w:sz="4" w:space="0" w:color="00FF00"/>
            </w:tcBorders>
            <w:shd w:val="clear" w:color="auto" w:fill="auto"/>
            <w:vAlign w:val="center"/>
            <w:hideMark/>
          </w:tcPr>
          <w:p w:rsidR="005D7155" w:rsidRDefault="005D7155">
            <w:pPr>
              <w:jc w:val="right"/>
              <w:rPr>
                <w:rFonts w:ascii="Arial" w:hAnsi="Arial" w:cs="Arial"/>
                <w:color w:val="000000"/>
                <w:sz w:val="16"/>
                <w:szCs w:val="16"/>
              </w:rPr>
            </w:pPr>
            <w:r>
              <w:rPr>
                <w:rFonts w:ascii="Arial" w:hAnsi="Arial" w:cs="Arial"/>
                <w:color w:val="000000"/>
                <w:sz w:val="16"/>
                <w:szCs w:val="16"/>
              </w:rPr>
              <w:t>$1,481</w:t>
            </w:r>
          </w:p>
        </w:tc>
        <w:tc>
          <w:tcPr>
            <w:tcW w:w="1255" w:type="dxa"/>
            <w:tcBorders>
              <w:top w:val="single" w:sz="4" w:space="0" w:color="00FF00"/>
              <w:left w:val="nil"/>
              <w:bottom w:val="single" w:sz="4" w:space="0" w:color="00FF00"/>
              <w:right w:val="single" w:sz="4" w:space="0" w:color="auto"/>
            </w:tcBorders>
            <w:shd w:val="clear" w:color="auto" w:fill="auto"/>
            <w:vAlign w:val="center"/>
            <w:hideMark/>
          </w:tcPr>
          <w:p w:rsidR="005D7155" w:rsidRDefault="005D7155">
            <w:pPr>
              <w:jc w:val="right"/>
              <w:rPr>
                <w:rFonts w:ascii="Arial" w:hAnsi="Arial" w:cs="Arial"/>
                <w:color w:val="000000"/>
                <w:sz w:val="16"/>
                <w:szCs w:val="16"/>
              </w:rPr>
            </w:pPr>
            <w:r>
              <w:rPr>
                <w:rFonts w:ascii="Arial" w:hAnsi="Arial" w:cs="Arial"/>
                <w:color w:val="000000"/>
                <w:sz w:val="16"/>
                <w:szCs w:val="16"/>
              </w:rPr>
              <w:t>$1,481</w:t>
            </w:r>
          </w:p>
        </w:tc>
      </w:tr>
      <w:tr w:rsidR="005D7155" w:rsidTr="005D7155">
        <w:trPr>
          <w:trHeight w:val="330"/>
        </w:trPr>
        <w:tc>
          <w:tcPr>
            <w:tcW w:w="2365" w:type="dxa"/>
            <w:tcBorders>
              <w:top w:val="single" w:sz="4" w:space="0" w:color="auto"/>
              <w:left w:val="single" w:sz="4" w:space="0" w:color="auto"/>
              <w:bottom w:val="single" w:sz="4" w:space="0" w:color="auto"/>
              <w:right w:val="nil"/>
            </w:tcBorders>
            <w:shd w:val="clear" w:color="000000" w:fill="FF00FF"/>
            <w:vAlign w:val="center"/>
            <w:hideMark/>
          </w:tcPr>
          <w:p w:rsidR="005D7155" w:rsidRDefault="005D7155">
            <w:pPr>
              <w:jc w:val="right"/>
              <w:rPr>
                <w:rFonts w:ascii="Arial" w:hAnsi="Arial" w:cs="Arial"/>
                <w:b/>
                <w:bCs/>
                <w:color w:val="000000"/>
                <w:sz w:val="16"/>
                <w:szCs w:val="16"/>
              </w:rPr>
            </w:pPr>
            <w:r>
              <w:rPr>
                <w:rFonts w:ascii="Arial" w:hAnsi="Arial" w:cs="Arial"/>
                <w:b/>
                <w:bCs/>
                <w:color w:val="000000"/>
                <w:sz w:val="16"/>
                <w:szCs w:val="16"/>
              </w:rPr>
              <w:t xml:space="preserve">Total </w:t>
            </w:r>
          </w:p>
        </w:tc>
        <w:tc>
          <w:tcPr>
            <w:tcW w:w="1440" w:type="dxa"/>
            <w:tcBorders>
              <w:top w:val="single" w:sz="4" w:space="0" w:color="00FF00"/>
              <w:left w:val="nil"/>
              <w:bottom w:val="single" w:sz="4" w:space="0" w:color="auto"/>
              <w:right w:val="single" w:sz="4" w:space="0" w:color="00FF00"/>
            </w:tcBorders>
            <w:shd w:val="clear" w:color="000000" w:fill="FF00FF"/>
            <w:vAlign w:val="center"/>
            <w:hideMark/>
          </w:tcPr>
          <w:p w:rsidR="005D7155" w:rsidRDefault="005D7155">
            <w:pPr>
              <w:jc w:val="right"/>
              <w:rPr>
                <w:rFonts w:ascii="Arial" w:hAnsi="Arial" w:cs="Arial"/>
                <w:b/>
                <w:bCs/>
                <w:color w:val="000000"/>
                <w:sz w:val="16"/>
                <w:szCs w:val="16"/>
              </w:rPr>
            </w:pPr>
            <w:r>
              <w:rPr>
                <w:rFonts w:ascii="Arial" w:hAnsi="Arial" w:cs="Arial"/>
                <w:b/>
                <w:bCs/>
                <w:color w:val="000000"/>
                <w:sz w:val="16"/>
                <w:szCs w:val="16"/>
              </w:rPr>
              <w:t>$736,628</w:t>
            </w:r>
          </w:p>
        </w:tc>
        <w:tc>
          <w:tcPr>
            <w:tcW w:w="1255" w:type="dxa"/>
            <w:tcBorders>
              <w:top w:val="single" w:sz="4" w:space="0" w:color="00FF00"/>
              <w:left w:val="nil"/>
              <w:bottom w:val="single" w:sz="4" w:space="0" w:color="auto"/>
              <w:right w:val="single" w:sz="4" w:space="0" w:color="auto"/>
            </w:tcBorders>
            <w:shd w:val="clear" w:color="000000" w:fill="FF00FF"/>
            <w:vAlign w:val="center"/>
            <w:hideMark/>
          </w:tcPr>
          <w:p w:rsidR="005D7155" w:rsidRDefault="005D7155">
            <w:pPr>
              <w:jc w:val="right"/>
              <w:rPr>
                <w:rFonts w:ascii="Arial" w:hAnsi="Arial" w:cs="Arial"/>
                <w:b/>
                <w:bCs/>
                <w:color w:val="000000"/>
                <w:sz w:val="16"/>
                <w:szCs w:val="16"/>
              </w:rPr>
            </w:pPr>
            <w:r>
              <w:rPr>
                <w:rFonts w:ascii="Arial" w:hAnsi="Arial" w:cs="Arial"/>
                <w:b/>
                <w:bCs/>
                <w:color w:val="000000"/>
                <w:sz w:val="16"/>
                <w:szCs w:val="16"/>
              </w:rPr>
              <w:t>$736,628</w:t>
            </w:r>
          </w:p>
        </w:tc>
      </w:tr>
    </w:tbl>
    <w:p w:rsidR="005D7155" w:rsidRPr="00FD6386" w:rsidRDefault="005D7155" w:rsidP="00FD6386">
      <w:pPr>
        <w:keepNext/>
        <w:keepLines/>
        <w:rPr>
          <w:rFonts w:cs="Arial"/>
          <w:b/>
          <w:szCs w:val="20"/>
          <w:lang w:eastAsia="en-US"/>
        </w:rPr>
      </w:pPr>
    </w:p>
    <w:sectPr w:rsidR="005D7155" w:rsidRPr="00FD6386" w:rsidSect="00A862DB">
      <w:headerReference w:type="even" r:id="rId22"/>
      <w:head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501" w:rsidRDefault="00BC0501">
      <w:r>
        <w:separator/>
      </w:r>
    </w:p>
  </w:endnote>
  <w:endnote w:type="continuationSeparator" w:id="0">
    <w:p w:rsidR="00BC0501" w:rsidRDefault="00BC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CA" w:rsidRDefault="007320CA" w:rsidP="00E61876">
    <w:pPr>
      <w:pStyle w:val="Footer"/>
      <w:pBdr>
        <w:top w:val="single" w:sz="4" w:space="1" w:color="auto"/>
      </w:pBdr>
      <w:tabs>
        <w:tab w:val="clear" w:pos="4320"/>
        <w:tab w:val="clear" w:pos="8640"/>
        <w:tab w:val="center" w:pos="4500"/>
        <w:tab w:val="right" w:pos="9000"/>
      </w:tabs>
      <w:jc w:val="right"/>
      <w:rPr>
        <w:rFonts w:ascii="Arial" w:hAnsi="Arial" w:cs="Arial"/>
        <w:sz w:val="18"/>
        <w:szCs w:val="18"/>
      </w:rPr>
    </w:pP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4C6B3B">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 xml:space="preserve"> de </w:t>
    </w:r>
    <w:fldSimple w:instr=" NUMPAGES   \* MERGEFORMAT ">
      <w:r w:rsidR="004C6B3B" w:rsidRPr="004C6B3B">
        <w:rPr>
          <w:rFonts w:ascii="Arial" w:hAnsi="Arial" w:cs="Arial"/>
          <w:noProof/>
          <w:sz w:val="18"/>
          <w:szCs w:val="18"/>
        </w:rPr>
        <w:t>19</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CA" w:rsidRPr="004D18B1" w:rsidRDefault="007320CA">
    <w:pPr>
      <w:pStyle w:val="Footer"/>
      <w:pBdr>
        <w:top w:val="single" w:sz="4" w:space="1" w:color="auto"/>
      </w:pBdr>
      <w:tabs>
        <w:tab w:val="clear" w:pos="4320"/>
        <w:tab w:val="clear" w:pos="8640"/>
        <w:tab w:val="center" w:pos="4500"/>
        <w:tab w:val="right" w:pos="9000"/>
      </w:tabs>
      <w:rPr>
        <w:rFonts w:ascii="Arial" w:hAnsi="Arial" w:cs="Arial"/>
        <w:sz w:val="18"/>
        <w:szCs w:val="18"/>
        <w:lang w:val="en-GB"/>
      </w:rPr>
    </w:pPr>
    <w:r w:rsidRPr="004D18B1">
      <w:rPr>
        <w:rFonts w:ascii="Arial" w:hAnsi="Arial" w:cs="Arial"/>
        <w:sz w:val="18"/>
        <w:szCs w:val="18"/>
        <w:lang w:val="en-GB"/>
      </w:rPr>
      <w:t>Sixth Six-Month Progress Report</w:t>
    </w:r>
    <w:r w:rsidRPr="004D18B1">
      <w:rPr>
        <w:rFonts w:ascii="Arial" w:hAnsi="Arial" w:cs="Arial"/>
        <w:sz w:val="18"/>
        <w:szCs w:val="18"/>
        <w:lang w:val="en-GB"/>
      </w:rPr>
      <w:tab/>
      <w:t xml:space="preserve">1 January – </w:t>
    </w:r>
    <w:smartTag w:uri="urn:schemas-microsoft-com:office:smarttags" w:element="date">
      <w:smartTagPr>
        <w:attr w:name="Month" w:val="6"/>
        <w:attr w:name="Day" w:val="30"/>
        <w:attr w:name="Year" w:val="2007"/>
      </w:smartTagPr>
      <w:r w:rsidRPr="004D18B1">
        <w:rPr>
          <w:rFonts w:ascii="Arial" w:hAnsi="Arial" w:cs="Arial"/>
          <w:sz w:val="18"/>
          <w:szCs w:val="18"/>
          <w:lang w:val="en-GB"/>
        </w:rPr>
        <w:t>30 June 2007</w:t>
      </w:r>
    </w:smartTag>
    <w:r w:rsidRPr="004D18B1">
      <w:rPr>
        <w:rFonts w:ascii="Arial" w:hAnsi="Arial" w:cs="Arial"/>
        <w:sz w:val="18"/>
        <w:szCs w:val="18"/>
        <w:lang w:val="en-GB"/>
      </w:rPr>
      <w:tab/>
      <w:t xml:space="preserve">Page </w:t>
    </w:r>
    <w:r w:rsidRPr="004D18B1">
      <w:rPr>
        <w:rFonts w:ascii="Arial" w:hAnsi="Arial" w:cs="Arial"/>
        <w:sz w:val="18"/>
        <w:szCs w:val="18"/>
        <w:lang w:val="en-GB"/>
      </w:rPr>
      <w:fldChar w:fldCharType="begin"/>
    </w:r>
    <w:r w:rsidRPr="004D18B1">
      <w:rPr>
        <w:rFonts w:ascii="Arial" w:hAnsi="Arial" w:cs="Arial"/>
        <w:sz w:val="18"/>
        <w:szCs w:val="18"/>
        <w:lang w:val="en-GB"/>
      </w:rPr>
      <w:instrText xml:space="preserve"> PAGE   \* MERGEFORMAT </w:instrText>
    </w:r>
    <w:r w:rsidRPr="004D18B1">
      <w:rPr>
        <w:rFonts w:ascii="Arial" w:hAnsi="Arial" w:cs="Arial"/>
        <w:sz w:val="18"/>
        <w:szCs w:val="18"/>
        <w:lang w:val="en-GB"/>
      </w:rPr>
      <w:fldChar w:fldCharType="separate"/>
    </w:r>
    <w:r w:rsidRPr="004D18B1">
      <w:rPr>
        <w:rFonts w:ascii="Arial" w:hAnsi="Arial" w:cs="Arial"/>
        <w:noProof/>
        <w:sz w:val="18"/>
        <w:szCs w:val="18"/>
        <w:lang w:val="en-GB"/>
      </w:rPr>
      <w:t>5</w:t>
    </w:r>
    <w:r w:rsidRPr="004D18B1">
      <w:rPr>
        <w:rFonts w:ascii="Arial" w:hAnsi="Arial" w:cs="Arial"/>
        <w:sz w:val="18"/>
        <w:szCs w:val="18"/>
        <w:lang w:val="en-GB"/>
      </w:rPr>
      <w:fldChar w:fldCharType="end"/>
    </w:r>
    <w:r w:rsidRPr="004D18B1">
      <w:rPr>
        <w:rFonts w:ascii="Arial" w:hAnsi="Arial" w:cs="Arial"/>
        <w:sz w:val="18"/>
        <w:szCs w:val="18"/>
        <w:lang w:val="en-GB"/>
      </w:rPr>
      <w:t xml:space="preserve"> of </w:t>
    </w:r>
    <w:r>
      <w:fldChar w:fldCharType="begin"/>
    </w:r>
    <w:r w:rsidRPr="00765F9A">
      <w:rPr>
        <w:lang w:val="en-US"/>
      </w:rPr>
      <w:instrText xml:space="preserve"> NUMPAGES   \* MERGEFORMAT </w:instrText>
    </w:r>
    <w:r>
      <w:fldChar w:fldCharType="separate"/>
    </w:r>
    <w:r w:rsidRPr="00A80FC8">
      <w:rPr>
        <w:rFonts w:ascii="Arial" w:hAnsi="Arial" w:cs="Arial"/>
        <w:noProof/>
        <w:sz w:val="18"/>
        <w:szCs w:val="18"/>
        <w:lang w:val="en-GB"/>
      </w:rPr>
      <w:t>1</w:t>
    </w:r>
    <w:r>
      <w:rPr>
        <w:rFonts w:ascii="Arial" w:hAnsi="Arial" w:cs="Arial"/>
        <w:noProof/>
        <w:sz w:val="18"/>
        <w:szCs w:val="18"/>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501" w:rsidRDefault="00BC0501">
      <w:r>
        <w:separator/>
      </w:r>
    </w:p>
  </w:footnote>
  <w:footnote w:type="continuationSeparator" w:id="0">
    <w:p w:rsidR="00BC0501" w:rsidRDefault="00BC0501">
      <w:r>
        <w:continuationSeparator/>
      </w:r>
    </w:p>
  </w:footnote>
  <w:footnote w:id="1">
    <w:p w:rsidR="007320CA" w:rsidRPr="00765F9A" w:rsidRDefault="007320CA" w:rsidP="004D18B1">
      <w:pPr>
        <w:pStyle w:val="FootnoteText"/>
        <w:rPr>
          <w:lang w:val="fr-FR"/>
        </w:rPr>
      </w:pPr>
      <w:r w:rsidRPr="00E61876">
        <w:rPr>
          <w:rStyle w:val="FootnoteReference"/>
          <w:sz w:val="18"/>
          <w:szCs w:val="18"/>
        </w:rPr>
        <w:footnoteRef/>
      </w:r>
      <w:r w:rsidRPr="00E61876">
        <w:rPr>
          <w:sz w:val="18"/>
          <w:szCs w:val="18"/>
          <w:lang w:val="fr-FR"/>
        </w:rPr>
        <w:t xml:space="preserve"> Le mot « programme » représente globalement l’ensemble des programmes, des programmes conjoints et des projets.</w:t>
      </w:r>
    </w:p>
  </w:footnote>
  <w:footnote w:id="2">
    <w:p w:rsidR="007320CA" w:rsidRPr="00765F9A" w:rsidRDefault="007320CA" w:rsidP="004D18B1">
      <w:pPr>
        <w:pStyle w:val="FootnoteText"/>
        <w:rPr>
          <w:lang w:val="fr-FR"/>
        </w:rPr>
      </w:pPr>
      <w:r w:rsidRPr="00E61876">
        <w:rPr>
          <w:rStyle w:val="FootnoteReference"/>
          <w:sz w:val="18"/>
          <w:szCs w:val="18"/>
        </w:rPr>
        <w:footnoteRef/>
      </w:r>
      <w:r w:rsidRPr="00E61876">
        <w:rPr>
          <w:sz w:val="18"/>
          <w:szCs w:val="18"/>
          <w:lang w:val="fr-FR"/>
        </w:rPr>
        <w:t xml:space="preserve"> Les « résultats stratégiques », tels qu’ils sont définis dans le Plan directeur du PBF</w:t>
      </w:r>
      <w:r>
        <w:rPr>
          <w:sz w:val="18"/>
          <w:szCs w:val="18"/>
          <w:lang w:val="fr-FR"/>
        </w:rPr>
        <w:t xml:space="preserve"> (PMP)</w:t>
      </w:r>
      <w:r w:rsidRPr="00E61876">
        <w:rPr>
          <w:sz w:val="18"/>
          <w:szCs w:val="18"/>
          <w:lang w:val="fr-FR"/>
        </w:rPr>
        <w:t xml:space="preserve">, le Plan des priorités ou le Descriptif de projet. </w:t>
      </w:r>
    </w:p>
  </w:footnote>
  <w:footnote w:id="3">
    <w:p w:rsidR="007320CA" w:rsidRPr="00765F9A" w:rsidRDefault="007320CA" w:rsidP="004D18B1">
      <w:pPr>
        <w:pStyle w:val="FootnoteText"/>
        <w:rPr>
          <w:lang w:val="fr-FR"/>
        </w:rPr>
      </w:pPr>
      <w:r w:rsidRPr="00E61876">
        <w:rPr>
          <w:rStyle w:val="FootnoteReference"/>
          <w:sz w:val="18"/>
          <w:szCs w:val="18"/>
        </w:rPr>
        <w:footnoteRef/>
      </w:r>
      <w:r w:rsidRPr="00E61876">
        <w:rPr>
          <w:sz w:val="18"/>
          <w:szCs w:val="18"/>
          <w:lang w:val="fr-FR"/>
        </w:rPr>
        <w:t xml:space="preserve"> Le numéro de référence du projet inscrit au Bureau du MPTF est le même que celui figurant dans le Message de notification. Sur le site </w:t>
      </w:r>
      <w:hyperlink r:id="rId1" w:history="1">
        <w:r w:rsidRPr="00E61876">
          <w:rPr>
            <w:rStyle w:val="Hyperlink"/>
            <w:sz w:val="18"/>
            <w:szCs w:val="18"/>
            <w:lang w:val="fr-FR"/>
          </w:rPr>
          <w:t>MPTF Office GATEWAY</w:t>
        </w:r>
      </w:hyperlink>
      <w:r w:rsidRPr="00E61876">
        <w:rPr>
          <w:sz w:val="18"/>
          <w:szCs w:val="18"/>
          <w:lang w:val="fr-FR"/>
        </w:rPr>
        <w:t>, l’expression « Project ID3 » (Identité du Projet) est utilisée.</w:t>
      </w:r>
    </w:p>
  </w:footnote>
  <w:footnote w:id="4">
    <w:p w:rsidR="007320CA" w:rsidRPr="00765F9A" w:rsidRDefault="007320CA" w:rsidP="004D18B1">
      <w:pPr>
        <w:pStyle w:val="FootnoteText"/>
        <w:rPr>
          <w:lang w:val="fr-FR"/>
        </w:rPr>
      </w:pPr>
      <w:r w:rsidRPr="00E61876">
        <w:rPr>
          <w:rStyle w:val="FootnoteReference"/>
          <w:sz w:val="18"/>
          <w:szCs w:val="18"/>
        </w:rPr>
        <w:footnoteRef/>
      </w:r>
      <w:r w:rsidRPr="00E61876">
        <w:rPr>
          <w:sz w:val="18"/>
          <w:szCs w:val="18"/>
          <w:lang w:val="fr-FR"/>
        </w:rPr>
        <w:t xml:space="preserve"> La date de démarrage est celle à laquelle a lieu le premier versement de fonds de la part du Bureau du MPTF, qui fait office d’Agent administratif. La date du versement figure sur le site </w:t>
      </w:r>
      <w:hyperlink r:id="rId2" w:history="1">
        <w:r w:rsidRPr="00E61876">
          <w:rPr>
            <w:rStyle w:val="Hyperlink"/>
            <w:sz w:val="18"/>
            <w:szCs w:val="18"/>
            <w:lang w:val="fr-FR"/>
          </w:rPr>
          <w:t>MPTF Office GATEWAY</w:t>
        </w:r>
      </w:hyperlink>
    </w:p>
  </w:footnote>
  <w:footnote w:id="5">
    <w:p w:rsidR="007320CA" w:rsidRPr="00765F9A" w:rsidRDefault="007320CA" w:rsidP="004D18B1">
      <w:pPr>
        <w:pStyle w:val="FootnoteText"/>
        <w:rPr>
          <w:lang w:val="fr-FR"/>
        </w:rPr>
      </w:pPr>
      <w:r w:rsidRPr="00E61876">
        <w:rPr>
          <w:rStyle w:val="FootnoteReference"/>
          <w:sz w:val="18"/>
          <w:szCs w:val="18"/>
        </w:rPr>
        <w:footnoteRef/>
      </w:r>
      <w:r w:rsidRPr="00E61876">
        <w:rPr>
          <w:sz w:val="18"/>
          <w:szCs w:val="18"/>
          <w:lang w:val="fr-FR"/>
        </w:rPr>
        <w:t xml:space="preserve"> Conformément à l’approbation du Descriptif de projet original par l’instance décisionnaire concernée/ou le Comité directeur. </w:t>
      </w:r>
    </w:p>
  </w:footnote>
  <w:footnote w:id="6">
    <w:p w:rsidR="007320CA" w:rsidRPr="00765F9A" w:rsidRDefault="007320CA" w:rsidP="004D18B1">
      <w:pPr>
        <w:pStyle w:val="FootnoteText"/>
        <w:rPr>
          <w:lang w:val="fr-FR"/>
        </w:rPr>
      </w:pPr>
      <w:r w:rsidRPr="00E61876">
        <w:rPr>
          <w:rStyle w:val="FootnoteReference"/>
          <w:sz w:val="18"/>
          <w:szCs w:val="18"/>
        </w:rPr>
        <w:footnoteRef/>
      </w:r>
      <w:r w:rsidRPr="00E61876">
        <w:rPr>
          <w:sz w:val="18"/>
          <w:szCs w:val="18"/>
          <w:lang w:val="fr-FR"/>
        </w:rPr>
        <w:t xml:space="preserve"> S’il y a eu prolongation de la durée du projet, la date de fin révisée et approuvée devrait figurer à cet endroit. À défaut d’approbation d’une quelconque extension du projet, la date de fin réelle est la même que la date de fin prévue à l’origine. La date de fin équivaut à la date de clôture opérationnelle – c’est-à-dire la date d’achèvement de l’ensemble des activités dont est chargée toute organisation participante dans le cadre du Plan MPTF ou du Programme conjoint approuvés. Concernant le Mémorandum d’accord, les organisations participantes doivent signaler au Bureau du MPTF que tel ou tel programme arrive au terme de ses activités opérationnelles.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CA" w:rsidRDefault="007320CA">
    <w:pPr>
      <w:pStyle w:val="Header"/>
    </w:pPr>
  </w:p>
  <w:p w:rsidR="007320CA" w:rsidRDefault="007320C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CA" w:rsidRDefault="007320CA" w:rsidP="00595EB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20CA" w:rsidRDefault="007320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CA" w:rsidRDefault="007320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394"/>
    <w:multiLevelType w:val="hybridMultilevel"/>
    <w:tmpl w:val="4D5083FC"/>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52CEF"/>
    <w:multiLevelType w:val="hybridMultilevel"/>
    <w:tmpl w:val="22DA6FFE"/>
    <w:lvl w:ilvl="0" w:tplc="04090001">
      <w:start w:val="1"/>
      <w:numFmt w:val="bullet"/>
      <w:lvlText w:val=""/>
      <w:lvlJc w:val="left"/>
      <w:pPr>
        <w:ind w:left="360" w:hanging="360"/>
      </w:pPr>
      <w:rPr>
        <w:rFonts w:ascii="Symbol" w:hAnsi="Symbol" w:hint="default"/>
      </w:rPr>
    </w:lvl>
    <w:lvl w:ilvl="1" w:tplc="FD9CD228">
      <w:start w:val="1"/>
      <w:numFmt w:val="decimal"/>
      <w:lvlText w:val="1.%2."/>
      <w:lvlJc w:val="left"/>
      <w:pPr>
        <w:ind w:left="794" w:hanging="454"/>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6A389B"/>
    <w:multiLevelType w:val="hybridMultilevel"/>
    <w:tmpl w:val="996C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FB1859"/>
    <w:multiLevelType w:val="multilevel"/>
    <w:tmpl w:val="634E3C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B4D4374"/>
    <w:multiLevelType w:val="hybridMultilevel"/>
    <w:tmpl w:val="1CF07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A20F8C"/>
    <w:multiLevelType w:val="multilevel"/>
    <w:tmpl w:val="62DAE21E"/>
    <w:lvl w:ilvl="0">
      <w:start w:val="3"/>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nsid w:val="0FEB5570"/>
    <w:multiLevelType w:val="hybridMultilevel"/>
    <w:tmpl w:val="012092BC"/>
    <w:lvl w:ilvl="0" w:tplc="A0624842">
      <w:start w:val="1"/>
      <w:numFmt w:val="upperRoman"/>
      <w:lvlText w:val="%1."/>
      <w:lvlJc w:val="left"/>
      <w:pPr>
        <w:tabs>
          <w:tab w:val="num" w:pos="1080"/>
        </w:tabs>
        <w:ind w:left="1080" w:hanging="720"/>
      </w:pPr>
      <w:rPr>
        <w:rFonts w:cs="Times New Roman" w:hint="default"/>
      </w:rPr>
    </w:lvl>
    <w:lvl w:ilvl="1" w:tplc="862A952A">
      <w:numFmt w:val="none"/>
      <w:lvlText w:val=""/>
      <w:lvlJc w:val="left"/>
      <w:pPr>
        <w:tabs>
          <w:tab w:val="num" w:pos="360"/>
        </w:tabs>
      </w:pPr>
      <w:rPr>
        <w:rFonts w:cs="Times New Roman"/>
      </w:rPr>
    </w:lvl>
    <w:lvl w:ilvl="2" w:tplc="E7485428">
      <w:numFmt w:val="none"/>
      <w:lvlText w:val=""/>
      <w:lvlJc w:val="left"/>
      <w:pPr>
        <w:tabs>
          <w:tab w:val="num" w:pos="360"/>
        </w:tabs>
      </w:pPr>
      <w:rPr>
        <w:rFonts w:cs="Times New Roman"/>
      </w:rPr>
    </w:lvl>
    <w:lvl w:ilvl="3" w:tplc="FD789764">
      <w:numFmt w:val="none"/>
      <w:lvlText w:val=""/>
      <w:lvlJc w:val="left"/>
      <w:pPr>
        <w:tabs>
          <w:tab w:val="num" w:pos="360"/>
        </w:tabs>
      </w:pPr>
      <w:rPr>
        <w:rFonts w:cs="Times New Roman"/>
      </w:rPr>
    </w:lvl>
    <w:lvl w:ilvl="4" w:tplc="5EFA0FBC">
      <w:numFmt w:val="none"/>
      <w:lvlText w:val=""/>
      <w:lvlJc w:val="left"/>
      <w:pPr>
        <w:tabs>
          <w:tab w:val="num" w:pos="360"/>
        </w:tabs>
      </w:pPr>
      <w:rPr>
        <w:rFonts w:cs="Times New Roman"/>
      </w:rPr>
    </w:lvl>
    <w:lvl w:ilvl="5" w:tplc="1336440C">
      <w:numFmt w:val="none"/>
      <w:lvlText w:val=""/>
      <w:lvlJc w:val="left"/>
      <w:pPr>
        <w:tabs>
          <w:tab w:val="num" w:pos="360"/>
        </w:tabs>
      </w:pPr>
      <w:rPr>
        <w:rFonts w:cs="Times New Roman"/>
      </w:rPr>
    </w:lvl>
    <w:lvl w:ilvl="6" w:tplc="D87228D2">
      <w:numFmt w:val="none"/>
      <w:lvlText w:val=""/>
      <w:lvlJc w:val="left"/>
      <w:pPr>
        <w:tabs>
          <w:tab w:val="num" w:pos="360"/>
        </w:tabs>
      </w:pPr>
      <w:rPr>
        <w:rFonts w:cs="Times New Roman"/>
      </w:rPr>
    </w:lvl>
    <w:lvl w:ilvl="7" w:tplc="49E6716E">
      <w:numFmt w:val="none"/>
      <w:lvlText w:val=""/>
      <w:lvlJc w:val="left"/>
      <w:pPr>
        <w:tabs>
          <w:tab w:val="num" w:pos="360"/>
        </w:tabs>
      </w:pPr>
      <w:rPr>
        <w:rFonts w:cs="Times New Roman"/>
      </w:rPr>
    </w:lvl>
    <w:lvl w:ilvl="8" w:tplc="035EA2D6">
      <w:numFmt w:val="none"/>
      <w:lvlText w:val=""/>
      <w:lvlJc w:val="left"/>
      <w:pPr>
        <w:tabs>
          <w:tab w:val="num" w:pos="360"/>
        </w:tabs>
      </w:pPr>
      <w:rPr>
        <w:rFonts w:cs="Times New Roman"/>
      </w:rPr>
    </w:lvl>
  </w:abstractNum>
  <w:abstractNum w:abstractNumId="7">
    <w:nsid w:val="121F63FE"/>
    <w:multiLevelType w:val="hybridMultilevel"/>
    <w:tmpl w:val="81A2AA54"/>
    <w:lvl w:ilvl="0" w:tplc="04090001">
      <w:start w:val="1"/>
      <w:numFmt w:val="bullet"/>
      <w:lvlText w:val=""/>
      <w:lvlJc w:val="left"/>
      <w:pPr>
        <w:ind w:left="360" w:hanging="360"/>
      </w:pPr>
      <w:rPr>
        <w:rFonts w:ascii="Symbol" w:hAnsi="Symbol" w:hint="default"/>
      </w:rPr>
    </w:lvl>
    <w:lvl w:ilvl="1" w:tplc="E2BCE75A">
      <w:start w:val="1"/>
      <w:numFmt w:val="decimal"/>
      <w:lvlText w:val="2.%2."/>
      <w:lvlJc w:val="left"/>
      <w:pPr>
        <w:ind w:left="794" w:hanging="454"/>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4233868"/>
    <w:multiLevelType w:val="hybridMultilevel"/>
    <w:tmpl w:val="B9347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7E0C4A"/>
    <w:multiLevelType w:val="hybridMultilevel"/>
    <w:tmpl w:val="36921220"/>
    <w:lvl w:ilvl="0" w:tplc="7E76DF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76711EF"/>
    <w:multiLevelType w:val="multilevel"/>
    <w:tmpl w:val="7DEAFE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7B76CE0"/>
    <w:multiLevelType w:val="multilevel"/>
    <w:tmpl w:val="1EB4495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B013220"/>
    <w:multiLevelType w:val="multilevel"/>
    <w:tmpl w:val="4BD237B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3">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BA656C"/>
    <w:multiLevelType w:val="hybridMultilevel"/>
    <w:tmpl w:val="4C6AD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34195F"/>
    <w:multiLevelType w:val="multilevel"/>
    <w:tmpl w:val="FDAEAA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33D5D19"/>
    <w:multiLevelType w:val="multilevel"/>
    <w:tmpl w:val="9258DCF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6D13C84"/>
    <w:multiLevelType w:val="hybridMultilevel"/>
    <w:tmpl w:val="2190F706"/>
    <w:lvl w:ilvl="0" w:tplc="04090001">
      <w:start w:val="1"/>
      <w:numFmt w:val="bullet"/>
      <w:lvlText w:val=""/>
      <w:lvlJc w:val="left"/>
      <w:pPr>
        <w:ind w:left="360" w:hanging="360"/>
      </w:pPr>
      <w:rPr>
        <w:rFonts w:ascii="Symbol" w:hAnsi="Symbol" w:hint="default"/>
      </w:rPr>
    </w:lvl>
    <w:lvl w:ilvl="1" w:tplc="4EE2B39A">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235A08"/>
    <w:multiLevelType w:val="hybridMultilevel"/>
    <w:tmpl w:val="825EBF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C4C7510"/>
    <w:multiLevelType w:val="hybridMultilevel"/>
    <w:tmpl w:val="8F4E4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C96C5D"/>
    <w:multiLevelType w:val="hybridMultilevel"/>
    <w:tmpl w:val="13BEA530"/>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8F2833"/>
    <w:multiLevelType w:val="multilevel"/>
    <w:tmpl w:val="B6428A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4AA7A41"/>
    <w:multiLevelType w:val="hybridMultilevel"/>
    <w:tmpl w:val="E3362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58B19BC"/>
    <w:multiLevelType w:val="hybridMultilevel"/>
    <w:tmpl w:val="A66282D0"/>
    <w:lvl w:ilvl="0" w:tplc="46C0875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7A9572B"/>
    <w:multiLevelType w:val="hybridMultilevel"/>
    <w:tmpl w:val="8B1C1FF0"/>
    <w:lvl w:ilvl="0" w:tplc="0806268E">
      <w:start w:val="1"/>
      <w:numFmt w:val="decimal"/>
      <w:lvlText w:val="%1."/>
      <w:lvlJc w:val="left"/>
      <w:pPr>
        <w:tabs>
          <w:tab w:val="num" w:pos="340"/>
        </w:tabs>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7B55E1"/>
    <w:multiLevelType w:val="hybridMultilevel"/>
    <w:tmpl w:val="C5667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3A43E4"/>
    <w:multiLevelType w:val="hybridMultilevel"/>
    <w:tmpl w:val="97948C28"/>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1232AC"/>
    <w:multiLevelType w:val="hybridMultilevel"/>
    <w:tmpl w:val="5DC82272"/>
    <w:lvl w:ilvl="0" w:tplc="04090001">
      <w:start w:val="1"/>
      <w:numFmt w:val="bullet"/>
      <w:lvlText w:val=""/>
      <w:lvlJc w:val="left"/>
      <w:pPr>
        <w:ind w:left="360" w:hanging="360"/>
      </w:pPr>
      <w:rPr>
        <w:rFonts w:ascii="Symbol" w:hAnsi="Symbol" w:hint="default"/>
      </w:rPr>
    </w:lvl>
    <w:lvl w:ilvl="1" w:tplc="80282592">
      <w:start w:val="1"/>
      <w:numFmt w:val="decimal"/>
      <w:lvlText w:val="3.%2."/>
      <w:lvlJc w:val="left"/>
      <w:pPr>
        <w:ind w:left="794" w:hanging="454"/>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BE52DA8"/>
    <w:multiLevelType w:val="hybridMultilevel"/>
    <w:tmpl w:val="45984094"/>
    <w:lvl w:ilvl="0" w:tplc="139C8F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C62599D"/>
    <w:multiLevelType w:val="multilevel"/>
    <w:tmpl w:val="455073B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2">
    <w:nsid w:val="648E7538"/>
    <w:multiLevelType w:val="hybridMultilevel"/>
    <w:tmpl w:val="94DA02AC"/>
    <w:lvl w:ilvl="0" w:tplc="F07A1824">
      <w:numFmt w:val="bullet"/>
      <w:lvlText w:val="-"/>
      <w:lvlJc w:val="left"/>
      <w:pPr>
        <w:ind w:left="360" w:hanging="360"/>
      </w:pPr>
      <w:rPr>
        <w:rFonts w:ascii="Book Antiqua" w:eastAsiaTheme="minorEastAsia" w:hAnsi="Book Antiqua" w:cstheme="minorBidi"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3">
    <w:nsid w:val="6A1B5A37"/>
    <w:multiLevelType w:val="hybridMultilevel"/>
    <w:tmpl w:val="B524DE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A22640"/>
    <w:multiLevelType w:val="hybridMultilevel"/>
    <w:tmpl w:val="5E6A8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6101C0"/>
    <w:multiLevelType w:val="hybridMultilevel"/>
    <w:tmpl w:val="9B3611CC"/>
    <w:lvl w:ilvl="0" w:tplc="E586F77A">
      <w:start w:val="1"/>
      <w:numFmt w:val="bullet"/>
      <w:lvlText w:val="-"/>
      <w:lvlJc w:val="left"/>
      <w:pPr>
        <w:ind w:left="360" w:hanging="360"/>
      </w:pPr>
      <w:rPr>
        <w:rFonts w:ascii="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C044A9"/>
    <w:multiLevelType w:val="hybridMultilevel"/>
    <w:tmpl w:val="B690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AE7CEE"/>
    <w:multiLevelType w:val="hybridMultilevel"/>
    <w:tmpl w:val="2550B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D23F82"/>
    <w:multiLevelType w:val="hybridMultilevel"/>
    <w:tmpl w:val="B49EA15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0"/>
  </w:num>
  <w:num w:numId="4">
    <w:abstractNumId w:val="22"/>
  </w:num>
  <w:num w:numId="5">
    <w:abstractNumId w:val="28"/>
  </w:num>
  <w:num w:numId="6">
    <w:abstractNumId w:val="24"/>
  </w:num>
  <w:num w:numId="7">
    <w:abstractNumId w:val="36"/>
  </w:num>
  <w:num w:numId="8">
    <w:abstractNumId w:val="13"/>
  </w:num>
  <w:num w:numId="9">
    <w:abstractNumId w:val="19"/>
  </w:num>
  <w:num w:numId="10">
    <w:abstractNumId w:val="39"/>
  </w:num>
  <w:num w:numId="11">
    <w:abstractNumId w:val="15"/>
  </w:num>
  <w:num w:numId="12">
    <w:abstractNumId w:val="25"/>
  </w:num>
  <w:num w:numId="13">
    <w:abstractNumId w:val="8"/>
  </w:num>
  <w:num w:numId="14">
    <w:abstractNumId w:val="37"/>
  </w:num>
  <w:num w:numId="15">
    <w:abstractNumId w:val="12"/>
  </w:num>
  <w:num w:numId="16">
    <w:abstractNumId w:val="3"/>
  </w:num>
  <w:num w:numId="17">
    <w:abstractNumId w:val="27"/>
  </w:num>
  <w:num w:numId="18">
    <w:abstractNumId w:val="11"/>
  </w:num>
  <w:num w:numId="19">
    <w:abstractNumId w:val="32"/>
  </w:num>
  <w:num w:numId="20">
    <w:abstractNumId w:val="33"/>
  </w:num>
  <w:num w:numId="21">
    <w:abstractNumId w:val="26"/>
  </w:num>
  <w:num w:numId="22">
    <w:abstractNumId w:val="34"/>
  </w:num>
  <w:num w:numId="23">
    <w:abstractNumId w:val="14"/>
  </w:num>
  <w:num w:numId="24">
    <w:abstractNumId w:val="1"/>
  </w:num>
  <w:num w:numId="25">
    <w:abstractNumId w:val="7"/>
  </w:num>
  <w:num w:numId="26">
    <w:abstractNumId w:val="29"/>
  </w:num>
  <w:num w:numId="27">
    <w:abstractNumId w:val="16"/>
  </w:num>
  <w:num w:numId="28">
    <w:abstractNumId w:val="17"/>
  </w:num>
  <w:num w:numId="29">
    <w:abstractNumId w:val="9"/>
  </w:num>
  <w:num w:numId="30">
    <w:abstractNumId w:val="31"/>
  </w:num>
  <w:num w:numId="31">
    <w:abstractNumId w:val="10"/>
  </w:num>
  <w:num w:numId="32">
    <w:abstractNumId w:val="23"/>
  </w:num>
  <w:num w:numId="33">
    <w:abstractNumId w:val="5"/>
  </w:num>
  <w:num w:numId="34">
    <w:abstractNumId w:val="18"/>
  </w:num>
  <w:num w:numId="35">
    <w:abstractNumId w:val="38"/>
  </w:num>
  <w:num w:numId="36">
    <w:abstractNumId w:val="4"/>
  </w:num>
  <w:num w:numId="37">
    <w:abstractNumId w:val="2"/>
  </w:num>
  <w:num w:numId="38">
    <w:abstractNumId w:val="30"/>
  </w:num>
  <w:num w:numId="39">
    <w:abstractNumId w:val="20"/>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EE4"/>
    <w:rsid w:val="00000B40"/>
    <w:rsid w:val="00001E49"/>
    <w:rsid w:val="00003415"/>
    <w:rsid w:val="00004401"/>
    <w:rsid w:val="0000600A"/>
    <w:rsid w:val="00006D54"/>
    <w:rsid w:val="00007B30"/>
    <w:rsid w:val="00007BC1"/>
    <w:rsid w:val="00011069"/>
    <w:rsid w:val="000116C1"/>
    <w:rsid w:val="0001585B"/>
    <w:rsid w:val="00015C58"/>
    <w:rsid w:val="000164AE"/>
    <w:rsid w:val="00021032"/>
    <w:rsid w:val="00022ACB"/>
    <w:rsid w:val="000234F4"/>
    <w:rsid w:val="000256FA"/>
    <w:rsid w:val="00026454"/>
    <w:rsid w:val="0003210A"/>
    <w:rsid w:val="00033959"/>
    <w:rsid w:val="00036E35"/>
    <w:rsid w:val="000440E9"/>
    <w:rsid w:val="00044194"/>
    <w:rsid w:val="000445F1"/>
    <w:rsid w:val="00044C6F"/>
    <w:rsid w:val="00044EF4"/>
    <w:rsid w:val="0004701E"/>
    <w:rsid w:val="00047A98"/>
    <w:rsid w:val="00050376"/>
    <w:rsid w:val="00051516"/>
    <w:rsid w:val="00054DCB"/>
    <w:rsid w:val="00055CA5"/>
    <w:rsid w:val="00060B1F"/>
    <w:rsid w:val="00064103"/>
    <w:rsid w:val="000646FF"/>
    <w:rsid w:val="00065738"/>
    <w:rsid w:val="000665EF"/>
    <w:rsid w:val="000674E5"/>
    <w:rsid w:val="0006769A"/>
    <w:rsid w:val="00067E99"/>
    <w:rsid w:val="000704A3"/>
    <w:rsid w:val="00070673"/>
    <w:rsid w:val="00071863"/>
    <w:rsid w:val="0007217D"/>
    <w:rsid w:val="0007284C"/>
    <w:rsid w:val="00075220"/>
    <w:rsid w:val="00075754"/>
    <w:rsid w:val="00075E09"/>
    <w:rsid w:val="00076233"/>
    <w:rsid w:val="00076F81"/>
    <w:rsid w:val="00077606"/>
    <w:rsid w:val="000815B9"/>
    <w:rsid w:val="00083FC2"/>
    <w:rsid w:val="0008415E"/>
    <w:rsid w:val="00087A5F"/>
    <w:rsid w:val="000909BE"/>
    <w:rsid w:val="00091616"/>
    <w:rsid w:val="000949C9"/>
    <w:rsid w:val="000961B9"/>
    <w:rsid w:val="000A0D87"/>
    <w:rsid w:val="000A14A2"/>
    <w:rsid w:val="000A21E7"/>
    <w:rsid w:val="000A30F8"/>
    <w:rsid w:val="000A483D"/>
    <w:rsid w:val="000A53DE"/>
    <w:rsid w:val="000A7307"/>
    <w:rsid w:val="000B08F7"/>
    <w:rsid w:val="000B0D45"/>
    <w:rsid w:val="000B1923"/>
    <w:rsid w:val="000B2836"/>
    <w:rsid w:val="000B3020"/>
    <w:rsid w:val="000B3D7E"/>
    <w:rsid w:val="000B4388"/>
    <w:rsid w:val="000B7AFA"/>
    <w:rsid w:val="000C124B"/>
    <w:rsid w:val="000C1E2D"/>
    <w:rsid w:val="000C663B"/>
    <w:rsid w:val="000D0696"/>
    <w:rsid w:val="000D2CC5"/>
    <w:rsid w:val="000D32F1"/>
    <w:rsid w:val="000D3582"/>
    <w:rsid w:val="000D4A21"/>
    <w:rsid w:val="000D5162"/>
    <w:rsid w:val="000D637F"/>
    <w:rsid w:val="000D6F3F"/>
    <w:rsid w:val="000D7806"/>
    <w:rsid w:val="000E20A9"/>
    <w:rsid w:val="000E20E0"/>
    <w:rsid w:val="000E222E"/>
    <w:rsid w:val="000E2244"/>
    <w:rsid w:val="000E4422"/>
    <w:rsid w:val="000E5282"/>
    <w:rsid w:val="000E56D7"/>
    <w:rsid w:val="000E7FB6"/>
    <w:rsid w:val="000F04C6"/>
    <w:rsid w:val="000F17B2"/>
    <w:rsid w:val="000F3EF9"/>
    <w:rsid w:val="00104412"/>
    <w:rsid w:val="00105995"/>
    <w:rsid w:val="001075E0"/>
    <w:rsid w:val="001079CC"/>
    <w:rsid w:val="00110257"/>
    <w:rsid w:val="00110DDD"/>
    <w:rsid w:val="00111C9C"/>
    <w:rsid w:val="00112D95"/>
    <w:rsid w:val="0011440F"/>
    <w:rsid w:val="00114904"/>
    <w:rsid w:val="0011559A"/>
    <w:rsid w:val="00116120"/>
    <w:rsid w:val="001169F1"/>
    <w:rsid w:val="001176DE"/>
    <w:rsid w:val="00117EEA"/>
    <w:rsid w:val="00122DC1"/>
    <w:rsid w:val="00122E13"/>
    <w:rsid w:val="0012466B"/>
    <w:rsid w:val="00131EE4"/>
    <w:rsid w:val="00132CB9"/>
    <w:rsid w:val="00133BD3"/>
    <w:rsid w:val="001377E8"/>
    <w:rsid w:val="0014011C"/>
    <w:rsid w:val="00140706"/>
    <w:rsid w:val="001473C0"/>
    <w:rsid w:val="001519D1"/>
    <w:rsid w:val="00151F6F"/>
    <w:rsid w:val="00152115"/>
    <w:rsid w:val="00152378"/>
    <w:rsid w:val="001524E6"/>
    <w:rsid w:val="001527E8"/>
    <w:rsid w:val="00152E92"/>
    <w:rsid w:val="00153319"/>
    <w:rsid w:val="00154290"/>
    <w:rsid w:val="001576EA"/>
    <w:rsid w:val="001607BA"/>
    <w:rsid w:val="00163695"/>
    <w:rsid w:val="0016493F"/>
    <w:rsid w:val="001662E1"/>
    <w:rsid w:val="001700D9"/>
    <w:rsid w:val="00170556"/>
    <w:rsid w:val="00171F6E"/>
    <w:rsid w:val="00172EA3"/>
    <w:rsid w:val="00173E5B"/>
    <w:rsid w:val="0017581B"/>
    <w:rsid w:val="00176685"/>
    <w:rsid w:val="001822CA"/>
    <w:rsid w:val="001836FF"/>
    <w:rsid w:val="00184AD1"/>
    <w:rsid w:val="00184B1C"/>
    <w:rsid w:val="00192C0F"/>
    <w:rsid w:val="001A222A"/>
    <w:rsid w:val="001A37C9"/>
    <w:rsid w:val="001A43F0"/>
    <w:rsid w:val="001A5E0B"/>
    <w:rsid w:val="001A6CBC"/>
    <w:rsid w:val="001A7C6E"/>
    <w:rsid w:val="001B67A1"/>
    <w:rsid w:val="001C0F28"/>
    <w:rsid w:val="001C1653"/>
    <w:rsid w:val="001C171D"/>
    <w:rsid w:val="001C6983"/>
    <w:rsid w:val="001D1819"/>
    <w:rsid w:val="001D280D"/>
    <w:rsid w:val="001D2AAC"/>
    <w:rsid w:val="001E4DCF"/>
    <w:rsid w:val="001E5296"/>
    <w:rsid w:val="001E5490"/>
    <w:rsid w:val="001E79E5"/>
    <w:rsid w:val="001E7D90"/>
    <w:rsid w:val="001F0026"/>
    <w:rsid w:val="001F07E2"/>
    <w:rsid w:val="001F157C"/>
    <w:rsid w:val="001F269E"/>
    <w:rsid w:val="001F33F1"/>
    <w:rsid w:val="001F40E3"/>
    <w:rsid w:val="001F47E7"/>
    <w:rsid w:val="001F6F2F"/>
    <w:rsid w:val="001F7C1C"/>
    <w:rsid w:val="00202126"/>
    <w:rsid w:val="0020340C"/>
    <w:rsid w:val="002036CC"/>
    <w:rsid w:val="00203C63"/>
    <w:rsid w:val="00205161"/>
    <w:rsid w:val="0021092C"/>
    <w:rsid w:val="00211E51"/>
    <w:rsid w:val="002139A1"/>
    <w:rsid w:val="00213A4E"/>
    <w:rsid w:val="00216361"/>
    <w:rsid w:val="002167F3"/>
    <w:rsid w:val="0021731C"/>
    <w:rsid w:val="00220856"/>
    <w:rsid w:val="00221499"/>
    <w:rsid w:val="0022562F"/>
    <w:rsid w:val="00225E6B"/>
    <w:rsid w:val="0022642C"/>
    <w:rsid w:val="00231319"/>
    <w:rsid w:val="00231D6C"/>
    <w:rsid w:val="00231E0F"/>
    <w:rsid w:val="00231E45"/>
    <w:rsid w:val="00236E0F"/>
    <w:rsid w:val="0023795C"/>
    <w:rsid w:val="00240103"/>
    <w:rsid w:val="00240E17"/>
    <w:rsid w:val="00241E68"/>
    <w:rsid w:val="0024221A"/>
    <w:rsid w:val="00243BD4"/>
    <w:rsid w:val="00243FE0"/>
    <w:rsid w:val="0024567C"/>
    <w:rsid w:val="00246D67"/>
    <w:rsid w:val="0024716E"/>
    <w:rsid w:val="00247557"/>
    <w:rsid w:val="0025103B"/>
    <w:rsid w:val="002518FB"/>
    <w:rsid w:val="00252830"/>
    <w:rsid w:val="002534D1"/>
    <w:rsid w:val="00253822"/>
    <w:rsid w:val="00253B25"/>
    <w:rsid w:val="00257F89"/>
    <w:rsid w:val="00261E1B"/>
    <w:rsid w:val="00264361"/>
    <w:rsid w:val="00267D99"/>
    <w:rsid w:val="0027031A"/>
    <w:rsid w:val="002715AD"/>
    <w:rsid w:val="00272907"/>
    <w:rsid w:val="00272BDB"/>
    <w:rsid w:val="0027398B"/>
    <w:rsid w:val="00275D16"/>
    <w:rsid w:val="0028032D"/>
    <w:rsid w:val="00282180"/>
    <w:rsid w:val="002828C1"/>
    <w:rsid w:val="00283362"/>
    <w:rsid w:val="00287829"/>
    <w:rsid w:val="00293B3A"/>
    <w:rsid w:val="00294158"/>
    <w:rsid w:val="00294791"/>
    <w:rsid w:val="0029694B"/>
    <w:rsid w:val="00297385"/>
    <w:rsid w:val="00297516"/>
    <w:rsid w:val="002A2CED"/>
    <w:rsid w:val="002A4481"/>
    <w:rsid w:val="002A4982"/>
    <w:rsid w:val="002B056D"/>
    <w:rsid w:val="002B0660"/>
    <w:rsid w:val="002B222B"/>
    <w:rsid w:val="002B31EF"/>
    <w:rsid w:val="002B32E5"/>
    <w:rsid w:val="002C20F1"/>
    <w:rsid w:val="002C2869"/>
    <w:rsid w:val="002C5958"/>
    <w:rsid w:val="002C6D27"/>
    <w:rsid w:val="002C73D4"/>
    <w:rsid w:val="002D0C9D"/>
    <w:rsid w:val="002D105C"/>
    <w:rsid w:val="002D1712"/>
    <w:rsid w:val="002D359A"/>
    <w:rsid w:val="002D3F09"/>
    <w:rsid w:val="002D4116"/>
    <w:rsid w:val="002D5DF4"/>
    <w:rsid w:val="002D7970"/>
    <w:rsid w:val="002D7D73"/>
    <w:rsid w:val="002E04E8"/>
    <w:rsid w:val="002E0C2B"/>
    <w:rsid w:val="002E1FAB"/>
    <w:rsid w:val="002E5AE5"/>
    <w:rsid w:val="002F17D3"/>
    <w:rsid w:val="002F29D9"/>
    <w:rsid w:val="002F402B"/>
    <w:rsid w:val="002F672E"/>
    <w:rsid w:val="002F68CE"/>
    <w:rsid w:val="002F69C6"/>
    <w:rsid w:val="002F6F9A"/>
    <w:rsid w:val="0030076E"/>
    <w:rsid w:val="0030251E"/>
    <w:rsid w:val="003029D7"/>
    <w:rsid w:val="00302A7B"/>
    <w:rsid w:val="00304929"/>
    <w:rsid w:val="00304C5E"/>
    <w:rsid w:val="003056C7"/>
    <w:rsid w:val="00310519"/>
    <w:rsid w:val="003105E7"/>
    <w:rsid w:val="00310E18"/>
    <w:rsid w:val="00312718"/>
    <w:rsid w:val="0031284B"/>
    <w:rsid w:val="003153D6"/>
    <w:rsid w:val="00316BDB"/>
    <w:rsid w:val="00317C09"/>
    <w:rsid w:val="00317EDC"/>
    <w:rsid w:val="003236F5"/>
    <w:rsid w:val="00323F71"/>
    <w:rsid w:val="003253D2"/>
    <w:rsid w:val="00330A9F"/>
    <w:rsid w:val="00332795"/>
    <w:rsid w:val="00332F6C"/>
    <w:rsid w:val="00334073"/>
    <w:rsid w:val="003344F4"/>
    <w:rsid w:val="00334865"/>
    <w:rsid w:val="003411B4"/>
    <w:rsid w:val="003414EA"/>
    <w:rsid w:val="003423D0"/>
    <w:rsid w:val="00342CAC"/>
    <w:rsid w:val="00343FB0"/>
    <w:rsid w:val="00345956"/>
    <w:rsid w:val="00347FBC"/>
    <w:rsid w:val="0035188C"/>
    <w:rsid w:val="00351BF9"/>
    <w:rsid w:val="00351DC5"/>
    <w:rsid w:val="00352446"/>
    <w:rsid w:val="00353B68"/>
    <w:rsid w:val="00354BF1"/>
    <w:rsid w:val="0035519D"/>
    <w:rsid w:val="003620EA"/>
    <w:rsid w:val="00362F26"/>
    <w:rsid w:val="0036668E"/>
    <w:rsid w:val="00370882"/>
    <w:rsid w:val="003717E7"/>
    <w:rsid w:val="0037226B"/>
    <w:rsid w:val="0037263B"/>
    <w:rsid w:val="00373CAF"/>
    <w:rsid w:val="00374251"/>
    <w:rsid w:val="0038208B"/>
    <w:rsid w:val="00382990"/>
    <w:rsid w:val="00382FDA"/>
    <w:rsid w:val="00384C8C"/>
    <w:rsid w:val="00386337"/>
    <w:rsid w:val="0038672F"/>
    <w:rsid w:val="00390545"/>
    <w:rsid w:val="003917BB"/>
    <w:rsid w:val="00391CBF"/>
    <w:rsid w:val="00391F1C"/>
    <w:rsid w:val="003976B5"/>
    <w:rsid w:val="003A069A"/>
    <w:rsid w:val="003A24A9"/>
    <w:rsid w:val="003A2657"/>
    <w:rsid w:val="003A4E7F"/>
    <w:rsid w:val="003B0A11"/>
    <w:rsid w:val="003B15C1"/>
    <w:rsid w:val="003B261F"/>
    <w:rsid w:val="003B3457"/>
    <w:rsid w:val="003B51B9"/>
    <w:rsid w:val="003B5289"/>
    <w:rsid w:val="003C339C"/>
    <w:rsid w:val="003C3526"/>
    <w:rsid w:val="003C377A"/>
    <w:rsid w:val="003C40C4"/>
    <w:rsid w:val="003C4DF5"/>
    <w:rsid w:val="003C5543"/>
    <w:rsid w:val="003D0FB8"/>
    <w:rsid w:val="003D1A08"/>
    <w:rsid w:val="003D1AA7"/>
    <w:rsid w:val="003D2B23"/>
    <w:rsid w:val="003D50C7"/>
    <w:rsid w:val="003E4838"/>
    <w:rsid w:val="003E791B"/>
    <w:rsid w:val="003E7E5E"/>
    <w:rsid w:val="003F01A8"/>
    <w:rsid w:val="003F17F5"/>
    <w:rsid w:val="003F3DA5"/>
    <w:rsid w:val="004001D8"/>
    <w:rsid w:val="004021CB"/>
    <w:rsid w:val="0040574D"/>
    <w:rsid w:val="00406858"/>
    <w:rsid w:val="004154D6"/>
    <w:rsid w:val="00415EFE"/>
    <w:rsid w:val="00417E63"/>
    <w:rsid w:val="0042137C"/>
    <w:rsid w:val="00421A64"/>
    <w:rsid w:val="00422376"/>
    <w:rsid w:val="00425304"/>
    <w:rsid w:val="00425664"/>
    <w:rsid w:val="004259C7"/>
    <w:rsid w:val="00426461"/>
    <w:rsid w:val="00432BDA"/>
    <w:rsid w:val="0043308D"/>
    <w:rsid w:val="00433561"/>
    <w:rsid w:val="00435D0C"/>
    <w:rsid w:val="00437CA3"/>
    <w:rsid w:val="00440713"/>
    <w:rsid w:val="004407D1"/>
    <w:rsid w:val="00443DB4"/>
    <w:rsid w:val="00444BCB"/>
    <w:rsid w:val="0044507A"/>
    <w:rsid w:val="00445B9D"/>
    <w:rsid w:val="00446F36"/>
    <w:rsid w:val="00450B6E"/>
    <w:rsid w:val="00450BB2"/>
    <w:rsid w:val="00450F6C"/>
    <w:rsid w:val="00451B93"/>
    <w:rsid w:val="00461426"/>
    <w:rsid w:val="00461D96"/>
    <w:rsid w:val="00462138"/>
    <w:rsid w:val="004638D6"/>
    <w:rsid w:val="00463A57"/>
    <w:rsid w:val="00465A60"/>
    <w:rsid w:val="00465F7A"/>
    <w:rsid w:val="004677BE"/>
    <w:rsid w:val="0047050A"/>
    <w:rsid w:val="004710AD"/>
    <w:rsid w:val="00471A2D"/>
    <w:rsid w:val="0047349D"/>
    <w:rsid w:val="00473B43"/>
    <w:rsid w:val="00474681"/>
    <w:rsid w:val="004748F0"/>
    <w:rsid w:val="00474A01"/>
    <w:rsid w:val="00474E09"/>
    <w:rsid w:val="00475EC5"/>
    <w:rsid w:val="00476137"/>
    <w:rsid w:val="0047782C"/>
    <w:rsid w:val="004801A7"/>
    <w:rsid w:val="004855DB"/>
    <w:rsid w:val="0048739A"/>
    <w:rsid w:val="0049081F"/>
    <w:rsid w:val="004925FD"/>
    <w:rsid w:val="004958E3"/>
    <w:rsid w:val="004A0C1E"/>
    <w:rsid w:val="004A44E3"/>
    <w:rsid w:val="004A5EDB"/>
    <w:rsid w:val="004A760C"/>
    <w:rsid w:val="004A7955"/>
    <w:rsid w:val="004B09CC"/>
    <w:rsid w:val="004B68F6"/>
    <w:rsid w:val="004B708D"/>
    <w:rsid w:val="004B7957"/>
    <w:rsid w:val="004B7EBF"/>
    <w:rsid w:val="004C210D"/>
    <w:rsid w:val="004C3797"/>
    <w:rsid w:val="004C6B3B"/>
    <w:rsid w:val="004D18B1"/>
    <w:rsid w:val="004D1A5D"/>
    <w:rsid w:val="004D445C"/>
    <w:rsid w:val="004D4C2B"/>
    <w:rsid w:val="004D518D"/>
    <w:rsid w:val="004D5E5E"/>
    <w:rsid w:val="004E3C1D"/>
    <w:rsid w:val="004E4157"/>
    <w:rsid w:val="004E6DDD"/>
    <w:rsid w:val="004F41DA"/>
    <w:rsid w:val="004F42A0"/>
    <w:rsid w:val="004F4458"/>
    <w:rsid w:val="004F5437"/>
    <w:rsid w:val="004F5C76"/>
    <w:rsid w:val="004F612B"/>
    <w:rsid w:val="004F6F83"/>
    <w:rsid w:val="004F7526"/>
    <w:rsid w:val="004F7992"/>
    <w:rsid w:val="0050016A"/>
    <w:rsid w:val="00500C18"/>
    <w:rsid w:val="00500C29"/>
    <w:rsid w:val="00500C8A"/>
    <w:rsid w:val="00503079"/>
    <w:rsid w:val="00503995"/>
    <w:rsid w:val="005039F1"/>
    <w:rsid w:val="00506BB3"/>
    <w:rsid w:val="005070D8"/>
    <w:rsid w:val="0051171E"/>
    <w:rsid w:val="00511EF1"/>
    <w:rsid w:val="00513D41"/>
    <w:rsid w:val="00514E99"/>
    <w:rsid w:val="005161F9"/>
    <w:rsid w:val="00517BFC"/>
    <w:rsid w:val="005206D6"/>
    <w:rsid w:val="0052365C"/>
    <w:rsid w:val="00523E7A"/>
    <w:rsid w:val="00523EFF"/>
    <w:rsid w:val="00526AC9"/>
    <w:rsid w:val="00527264"/>
    <w:rsid w:val="00527731"/>
    <w:rsid w:val="0053054F"/>
    <w:rsid w:val="00530B10"/>
    <w:rsid w:val="005327CC"/>
    <w:rsid w:val="00532CBB"/>
    <w:rsid w:val="00537241"/>
    <w:rsid w:val="00537D9F"/>
    <w:rsid w:val="005440CA"/>
    <w:rsid w:val="005501B5"/>
    <w:rsid w:val="005511BA"/>
    <w:rsid w:val="00551486"/>
    <w:rsid w:val="00553721"/>
    <w:rsid w:val="005555B2"/>
    <w:rsid w:val="005562ED"/>
    <w:rsid w:val="00557073"/>
    <w:rsid w:val="005605CC"/>
    <w:rsid w:val="0056097D"/>
    <w:rsid w:val="005642EE"/>
    <w:rsid w:val="0056460A"/>
    <w:rsid w:val="00565422"/>
    <w:rsid w:val="00566068"/>
    <w:rsid w:val="005675A0"/>
    <w:rsid w:val="00567F17"/>
    <w:rsid w:val="005716BA"/>
    <w:rsid w:val="005730D9"/>
    <w:rsid w:val="00573D5E"/>
    <w:rsid w:val="0057747B"/>
    <w:rsid w:val="0058052B"/>
    <w:rsid w:val="00580626"/>
    <w:rsid w:val="0058079E"/>
    <w:rsid w:val="005809F9"/>
    <w:rsid w:val="00580D38"/>
    <w:rsid w:val="00582B7A"/>
    <w:rsid w:val="005836FE"/>
    <w:rsid w:val="00585B55"/>
    <w:rsid w:val="00587925"/>
    <w:rsid w:val="005901F5"/>
    <w:rsid w:val="005929FC"/>
    <w:rsid w:val="00595EB4"/>
    <w:rsid w:val="00596F21"/>
    <w:rsid w:val="005A085D"/>
    <w:rsid w:val="005A110A"/>
    <w:rsid w:val="005A2963"/>
    <w:rsid w:val="005A3D08"/>
    <w:rsid w:val="005A4AE8"/>
    <w:rsid w:val="005A4E98"/>
    <w:rsid w:val="005A55C8"/>
    <w:rsid w:val="005A7566"/>
    <w:rsid w:val="005B053A"/>
    <w:rsid w:val="005B0A0A"/>
    <w:rsid w:val="005B2CC8"/>
    <w:rsid w:val="005B3424"/>
    <w:rsid w:val="005B7EEA"/>
    <w:rsid w:val="005C00DE"/>
    <w:rsid w:val="005C37E3"/>
    <w:rsid w:val="005C661D"/>
    <w:rsid w:val="005C6D88"/>
    <w:rsid w:val="005C7355"/>
    <w:rsid w:val="005C73A2"/>
    <w:rsid w:val="005C7AFA"/>
    <w:rsid w:val="005D2620"/>
    <w:rsid w:val="005D42D6"/>
    <w:rsid w:val="005D5E80"/>
    <w:rsid w:val="005D6AF3"/>
    <w:rsid w:val="005D6E70"/>
    <w:rsid w:val="005D7155"/>
    <w:rsid w:val="005E1A95"/>
    <w:rsid w:val="005E2839"/>
    <w:rsid w:val="005E7678"/>
    <w:rsid w:val="005E7908"/>
    <w:rsid w:val="005F0E7F"/>
    <w:rsid w:val="005F1A40"/>
    <w:rsid w:val="005F26F8"/>
    <w:rsid w:val="005F5182"/>
    <w:rsid w:val="005F52EC"/>
    <w:rsid w:val="00601040"/>
    <w:rsid w:val="00601804"/>
    <w:rsid w:val="0060279C"/>
    <w:rsid w:val="00603A46"/>
    <w:rsid w:val="00607912"/>
    <w:rsid w:val="0061117C"/>
    <w:rsid w:val="00611BD1"/>
    <w:rsid w:val="00611DE4"/>
    <w:rsid w:val="006132F7"/>
    <w:rsid w:val="00613450"/>
    <w:rsid w:val="006149E7"/>
    <w:rsid w:val="00616DE0"/>
    <w:rsid w:val="00620383"/>
    <w:rsid w:val="00622157"/>
    <w:rsid w:val="00622814"/>
    <w:rsid w:val="00623F06"/>
    <w:rsid w:val="00625CC4"/>
    <w:rsid w:val="00625E7A"/>
    <w:rsid w:val="00626899"/>
    <w:rsid w:val="00627724"/>
    <w:rsid w:val="00627A59"/>
    <w:rsid w:val="006329C7"/>
    <w:rsid w:val="00637CE9"/>
    <w:rsid w:val="006400B3"/>
    <w:rsid w:val="006417AF"/>
    <w:rsid w:val="00641C39"/>
    <w:rsid w:val="0064358A"/>
    <w:rsid w:val="00643882"/>
    <w:rsid w:val="00643DBE"/>
    <w:rsid w:val="00645321"/>
    <w:rsid w:val="00645DEF"/>
    <w:rsid w:val="00646390"/>
    <w:rsid w:val="0065640A"/>
    <w:rsid w:val="00656AC7"/>
    <w:rsid w:val="00661128"/>
    <w:rsid w:val="0066211F"/>
    <w:rsid w:val="00663FC1"/>
    <w:rsid w:val="00667123"/>
    <w:rsid w:val="00667365"/>
    <w:rsid w:val="0067017B"/>
    <w:rsid w:val="006720F2"/>
    <w:rsid w:val="00673BC8"/>
    <w:rsid w:val="00676026"/>
    <w:rsid w:val="0067663C"/>
    <w:rsid w:val="00677142"/>
    <w:rsid w:val="00677D6C"/>
    <w:rsid w:val="00680CD8"/>
    <w:rsid w:val="0068295C"/>
    <w:rsid w:val="00682A5E"/>
    <w:rsid w:val="00686E13"/>
    <w:rsid w:val="006908A9"/>
    <w:rsid w:val="00690D2A"/>
    <w:rsid w:val="00690DE0"/>
    <w:rsid w:val="00690E6B"/>
    <w:rsid w:val="00691A52"/>
    <w:rsid w:val="006942CF"/>
    <w:rsid w:val="006944F3"/>
    <w:rsid w:val="00694A8D"/>
    <w:rsid w:val="006954A1"/>
    <w:rsid w:val="006A1C9C"/>
    <w:rsid w:val="006A22AE"/>
    <w:rsid w:val="006A259B"/>
    <w:rsid w:val="006A599A"/>
    <w:rsid w:val="006A7F21"/>
    <w:rsid w:val="006B2089"/>
    <w:rsid w:val="006B2124"/>
    <w:rsid w:val="006B301D"/>
    <w:rsid w:val="006B3AC1"/>
    <w:rsid w:val="006B4A98"/>
    <w:rsid w:val="006B5076"/>
    <w:rsid w:val="006B5D15"/>
    <w:rsid w:val="006C1F0A"/>
    <w:rsid w:val="006C3F9B"/>
    <w:rsid w:val="006C59A7"/>
    <w:rsid w:val="006C7E2F"/>
    <w:rsid w:val="006D13E5"/>
    <w:rsid w:val="006D25F3"/>
    <w:rsid w:val="006D3B69"/>
    <w:rsid w:val="006D73C0"/>
    <w:rsid w:val="006E014B"/>
    <w:rsid w:val="006E07E6"/>
    <w:rsid w:val="006E1149"/>
    <w:rsid w:val="006E1D9C"/>
    <w:rsid w:val="006E3923"/>
    <w:rsid w:val="006E4B4B"/>
    <w:rsid w:val="006E553E"/>
    <w:rsid w:val="006E5545"/>
    <w:rsid w:val="006E59DD"/>
    <w:rsid w:val="006E7EC7"/>
    <w:rsid w:val="006F2564"/>
    <w:rsid w:val="006F262D"/>
    <w:rsid w:val="006F351D"/>
    <w:rsid w:val="006F626D"/>
    <w:rsid w:val="006F7F13"/>
    <w:rsid w:val="00700EBF"/>
    <w:rsid w:val="007024F9"/>
    <w:rsid w:val="00702CEF"/>
    <w:rsid w:val="0070326C"/>
    <w:rsid w:val="00705F4F"/>
    <w:rsid w:val="0071087B"/>
    <w:rsid w:val="0071258C"/>
    <w:rsid w:val="007140CB"/>
    <w:rsid w:val="00714262"/>
    <w:rsid w:val="00714883"/>
    <w:rsid w:val="00716650"/>
    <w:rsid w:val="00716A5B"/>
    <w:rsid w:val="00716F13"/>
    <w:rsid w:val="007244B1"/>
    <w:rsid w:val="0072545E"/>
    <w:rsid w:val="00730F04"/>
    <w:rsid w:val="0073108D"/>
    <w:rsid w:val="00731564"/>
    <w:rsid w:val="007320CA"/>
    <w:rsid w:val="0073224A"/>
    <w:rsid w:val="007335B1"/>
    <w:rsid w:val="007363B0"/>
    <w:rsid w:val="00737024"/>
    <w:rsid w:val="007416DD"/>
    <w:rsid w:val="00741F65"/>
    <w:rsid w:val="00742904"/>
    <w:rsid w:val="00744768"/>
    <w:rsid w:val="00745FC8"/>
    <w:rsid w:val="007461D0"/>
    <w:rsid w:val="0074677C"/>
    <w:rsid w:val="007500D6"/>
    <w:rsid w:val="00750CAC"/>
    <w:rsid w:val="00752660"/>
    <w:rsid w:val="00753C6A"/>
    <w:rsid w:val="0075558F"/>
    <w:rsid w:val="00755737"/>
    <w:rsid w:val="00756D2F"/>
    <w:rsid w:val="00756D7C"/>
    <w:rsid w:val="00760368"/>
    <w:rsid w:val="00761EDA"/>
    <w:rsid w:val="00764328"/>
    <w:rsid w:val="00764709"/>
    <w:rsid w:val="00765F9A"/>
    <w:rsid w:val="00766CF9"/>
    <w:rsid w:val="00767DA5"/>
    <w:rsid w:val="00770115"/>
    <w:rsid w:val="00770526"/>
    <w:rsid w:val="00771E3E"/>
    <w:rsid w:val="00771E3F"/>
    <w:rsid w:val="00777DAD"/>
    <w:rsid w:val="007817A1"/>
    <w:rsid w:val="0078215C"/>
    <w:rsid w:val="0078453A"/>
    <w:rsid w:val="00784BB6"/>
    <w:rsid w:val="00784F14"/>
    <w:rsid w:val="00785B5F"/>
    <w:rsid w:val="00785C6C"/>
    <w:rsid w:val="00785CD3"/>
    <w:rsid w:val="00787D3C"/>
    <w:rsid w:val="00787D76"/>
    <w:rsid w:val="0079095F"/>
    <w:rsid w:val="00791B47"/>
    <w:rsid w:val="00793A5E"/>
    <w:rsid w:val="00796535"/>
    <w:rsid w:val="007A0180"/>
    <w:rsid w:val="007A1AEA"/>
    <w:rsid w:val="007A42EB"/>
    <w:rsid w:val="007A43DF"/>
    <w:rsid w:val="007A4F00"/>
    <w:rsid w:val="007B051D"/>
    <w:rsid w:val="007B1131"/>
    <w:rsid w:val="007B2313"/>
    <w:rsid w:val="007B3CA7"/>
    <w:rsid w:val="007B635C"/>
    <w:rsid w:val="007C0290"/>
    <w:rsid w:val="007C3D5B"/>
    <w:rsid w:val="007C658C"/>
    <w:rsid w:val="007D1104"/>
    <w:rsid w:val="007D3C16"/>
    <w:rsid w:val="007D43C7"/>
    <w:rsid w:val="007D4575"/>
    <w:rsid w:val="007E04CD"/>
    <w:rsid w:val="007E247B"/>
    <w:rsid w:val="007E2D5C"/>
    <w:rsid w:val="007E62A4"/>
    <w:rsid w:val="007E6CA7"/>
    <w:rsid w:val="007F0357"/>
    <w:rsid w:val="007F0E38"/>
    <w:rsid w:val="007F13A2"/>
    <w:rsid w:val="007F15B7"/>
    <w:rsid w:val="007F1ED2"/>
    <w:rsid w:val="007F2932"/>
    <w:rsid w:val="007F4334"/>
    <w:rsid w:val="007F4F3B"/>
    <w:rsid w:val="007F4FE9"/>
    <w:rsid w:val="007F517F"/>
    <w:rsid w:val="007F5BFE"/>
    <w:rsid w:val="007F63E3"/>
    <w:rsid w:val="00802856"/>
    <w:rsid w:val="00802E6F"/>
    <w:rsid w:val="00803746"/>
    <w:rsid w:val="008041E4"/>
    <w:rsid w:val="00806D23"/>
    <w:rsid w:val="0081222C"/>
    <w:rsid w:val="0081739C"/>
    <w:rsid w:val="00820564"/>
    <w:rsid w:val="00820A57"/>
    <w:rsid w:val="00823C02"/>
    <w:rsid w:val="00823CA4"/>
    <w:rsid w:val="00827568"/>
    <w:rsid w:val="00827FA1"/>
    <w:rsid w:val="008301FA"/>
    <w:rsid w:val="00830E72"/>
    <w:rsid w:val="00833289"/>
    <w:rsid w:val="00833C9B"/>
    <w:rsid w:val="00835C70"/>
    <w:rsid w:val="00842A31"/>
    <w:rsid w:val="0084419A"/>
    <w:rsid w:val="008541D9"/>
    <w:rsid w:val="00857450"/>
    <w:rsid w:val="00860750"/>
    <w:rsid w:val="0086161D"/>
    <w:rsid w:val="00863EAC"/>
    <w:rsid w:val="0086516A"/>
    <w:rsid w:val="0086531F"/>
    <w:rsid w:val="008671CB"/>
    <w:rsid w:val="008671F8"/>
    <w:rsid w:val="0087190C"/>
    <w:rsid w:val="008728B9"/>
    <w:rsid w:val="008735CC"/>
    <w:rsid w:val="00873FA0"/>
    <w:rsid w:val="008740B7"/>
    <w:rsid w:val="00880C23"/>
    <w:rsid w:val="00881E8E"/>
    <w:rsid w:val="008836A5"/>
    <w:rsid w:val="008836CD"/>
    <w:rsid w:val="00887C43"/>
    <w:rsid w:val="00890EED"/>
    <w:rsid w:val="00891165"/>
    <w:rsid w:val="008924E2"/>
    <w:rsid w:val="00895424"/>
    <w:rsid w:val="00896457"/>
    <w:rsid w:val="00896D16"/>
    <w:rsid w:val="00897798"/>
    <w:rsid w:val="008A66FC"/>
    <w:rsid w:val="008A6E9C"/>
    <w:rsid w:val="008B2958"/>
    <w:rsid w:val="008B4A4C"/>
    <w:rsid w:val="008B5E07"/>
    <w:rsid w:val="008B60CA"/>
    <w:rsid w:val="008C0690"/>
    <w:rsid w:val="008C2B2E"/>
    <w:rsid w:val="008C320C"/>
    <w:rsid w:val="008C4D11"/>
    <w:rsid w:val="008C5C72"/>
    <w:rsid w:val="008D082E"/>
    <w:rsid w:val="008D0F26"/>
    <w:rsid w:val="008D13D5"/>
    <w:rsid w:val="008D155A"/>
    <w:rsid w:val="008D1AA6"/>
    <w:rsid w:val="008D4411"/>
    <w:rsid w:val="008D71B6"/>
    <w:rsid w:val="008E0A5E"/>
    <w:rsid w:val="008E1419"/>
    <w:rsid w:val="008E1F81"/>
    <w:rsid w:val="008E4C0F"/>
    <w:rsid w:val="008E5CC1"/>
    <w:rsid w:val="008E6CF2"/>
    <w:rsid w:val="008E7654"/>
    <w:rsid w:val="008E7DB9"/>
    <w:rsid w:val="008F1B3F"/>
    <w:rsid w:val="008F25E8"/>
    <w:rsid w:val="008F39A0"/>
    <w:rsid w:val="008F4692"/>
    <w:rsid w:val="008F5157"/>
    <w:rsid w:val="008F67C2"/>
    <w:rsid w:val="008F6FE5"/>
    <w:rsid w:val="008F7FBA"/>
    <w:rsid w:val="00900CF7"/>
    <w:rsid w:val="00902AD2"/>
    <w:rsid w:val="00904594"/>
    <w:rsid w:val="0091170F"/>
    <w:rsid w:val="00913321"/>
    <w:rsid w:val="00913F40"/>
    <w:rsid w:val="00914F6A"/>
    <w:rsid w:val="00917FB2"/>
    <w:rsid w:val="00920048"/>
    <w:rsid w:val="00920E4B"/>
    <w:rsid w:val="00923401"/>
    <w:rsid w:val="009239B2"/>
    <w:rsid w:val="00924095"/>
    <w:rsid w:val="0092446B"/>
    <w:rsid w:val="00927152"/>
    <w:rsid w:val="00930386"/>
    <w:rsid w:val="00931BC0"/>
    <w:rsid w:val="009323FE"/>
    <w:rsid w:val="00934E2F"/>
    <w:rsid w:val="00935A2B"/>
    <w:rsid w:val="009401FB"/>
    <w:rsid w:val="009407A9"/>
    <w:rsid w:val="0094204B"/>
    <w:rsid w:val="00945DBC"/>
    <w:rsid w:val="00945E8E"/>
    <w:rsid w:val="00946194"/>
    <w:rsid w:val="00946707"/>
    <w:rsid w:val="009471BC"/>
    <w:rsid w:val="009474A4"/>
    <w:rsid w:val="009500CF"/>
    <w:rsid w:val="00950D56"/>
    <w:rsid w:val="00950F75"/>
    <w:rsid w:val="00957239"/>
    <w:rsid w:val="00960C89"/>
    <w:rsid w:val="00960ECC"/>
    <w:rsid w:val="00964057"/>
    <w:rsid w:val="009640D4"/>
    <w:rsid w:val="009666E0"/>
    <w:rsid w:val="0097055D"/>
    <w:rsid w:val="0097355D"/>
    <w:rsid w:val="00973C48"/>
    <w:rsid w:val="00975D04"/>
    <w:rsid w:val="00980921"/>
    <w:rsid w:val="00982199"/>
    <w:rsid w:val="00982847"/>
    <w:rsid w:val="00982BA9"/>
    <w:rsid w:val="009831F3"/>
    <w:rsid w:val="00983F69"/>
    <w:rsid w:val="00986FCF"/>
    <w:rsid w:val="009871FA"/>
    <w:rsid w:val="009902EB"/>
    <w:rsid w:val="00991457"/>
    <w:rsid w:val="009970C2"/>
    <w:rsid w:val="009A0711"/>
    <w:rsid w:val="009A1749"/>
    <w:rsid w:val="009A208D"/>
    <w:rsid w:val="009A2495"/>
    <w:rsid w:val="009A33BB"/>
    <w:rsid w:val="009A4A08"/>
    <w:rsid w:val="009A6009"/>
    <w:rsid w:val="009A7264"/>
    <w:rsid w:val="009A7BCC"/>
    <w:rsid w:val="009B1FA8"/>
    <w:rsid w:val="009B244B"/>
    <w:rsid w:val="009B4FC4"/>
    <w:rsid w:val="009B5AB0"/>
    <w:rsid w:val="009C1AF6"/>
    <w:rsid w:val="009C3319"/>
    <w:rsid w:val="009C3829"/>
    <w:rsid w:val="009C4737"/>
    <w:rsid w:val="009C66AE"/>
    <w:rsid w:val="009D13ED"/>
    <w:rsid w:val="009D14FE"/>
    <w:rsid w:val="009D17B5"/>
    <w:rsid w:val="009D2D31"/>
    <w:rsid w:val="009D64E0"/>
    <w:rsid w:val="009D7AD5"/>
    <w:rsid w:val="009E1227"/>
    <w:rsid w:val="009E38C8"/>
    <w:rsid w:val="009E56DE"/>
    <w:rsid w:val="009E5F65"/>
    <w:rsid w:val="009F32D8"/>
    <w:rsid w:val="009F3E8C"/>
    <w:rsid w:val="009F418C"/>
    <w:rsid w:val="00A04B1B"/>
    <w:rsid w:val="00A05311"/>
    <w:rsid w:val="00A05BEC"/>
    <w:rsid w:val="00A06CA8"/>
    <w:rsid w:val="00A10D82"/>
    <w:rsid w:val="00A13E6B"/>
    <w:rsid w:val="00A17619"/>
    <w:rsid w:val="00A20262"/>
    <w:rsid w:val="00A2353B"/>
    <w:rsid w:val="00A23A5A"/>
    <w:rsid w:val="00A24C5A"/>
    <w:rsid w:val="00A24EBB"/>
    <w:rsid w:val="00A2645A"/>
    <w:rsid w:val="00A27755"/>
    <w:rsid w:val="00A27CB9"/>
    <w:rsid w:val="00A3088C"/>
    <w:rsid w:val="00A31D45"/>
    <w:rsid w:val="00A342B9"/>
    <w:rsid w:val="00A34445"/>
    <w:rsid w:val="00A352D9"/>
    <w:rsid w:val="00A36A32"/>
    <w:rsid w:val="00A36FBE"/>
    <w:rsid w:val="00A37A88"/>
    <w:rsid w:val="00A42965"/>
    <w:rsid w:val="00A45AAE"/>
    <w:rsid w:val="00A4631F"/>
    <w:rsid w:val="00A51D26"/>
    <w:rsid w:val="00A530F0"/>
    <w:rsid w:val="00A54FBF"/>
    <w:rsid w:val="00A55F66"/>
    <w:rsid w:val="00A61201"/>
    <w:rsid w:val="00A622AB"/>
    <w:rsid w:val="00A63BA0"/>
    <w:rsid w:val="00A64338"/>
    <w:rsid w:val="00A65A61"/>
    <w:rsid w:val="00A67C1A"/>
    <w:rsid w:val="00A7117E"/>
    <w:rsid w:val="00A71221"/>
    <w:rsid w:val="00A7134A"/>
    <w:rsid w:val="00A730B6"/>
    <w:rsid w:val="00A735A5"/>
    <w:rsid w:val="00A73726"/>
    <w:rsid w:val="00A73F7E"/>
    <w:rsid w:val="00A746BC"/>
    <w:rsid w:val="00A80FC8"/>
    <w:rsid w:val="00A81DEF"/>
    <w:rsid w:val="00A81F66"/>
    <w:rsid w:val="00A82B03"/>
    <w:rsid w:val="00A831D6"/>
    <w:rsid w:val="00A83E99"/>
    <w:rsid w:val="00A8480A"/>
    <w:rsid w:val="00A848CE"/>
    <w:rsid w:val="00A84AA1"/>
    <w:rsid w:val="00A862DB"/>
    <w:rsid w:val="00A866E9"/>
    <w:rsid w:val="00A86967"/>
    <w:rsid w:val="00A871EF"/>
    <w:rsid w:val="00A875A2"/>
    <w:rsid w:val="00A91C02"/>
    <w:rsid w:val="00A93624"/>
    <w:rsid w:val="00A97D61"/>
    <w:rsid w:val="00AA0EA3"/>
    <w:rsid w:val="00AA0EA4"/>
    <w:rsid w:val="00AA137D"/>
    <w:rsid w:val="00AA1F14"/>
    <w:rsid w:val="00AA2B6B"/>
    <w:rsid w:val="00AA5460"/>
    <w:rsid w:val="00AA5E24"/>
    <w:rsid w:val="00AA6398"/>
    <w:rsid w:val="00AA6817"/>
    <w:rsid w:val="00AA7090"/>
    <w:rsid w:val="00AA7BA6"/>
    <w:rsid w:val="00AB1F97"/>
    <w:rsid w:val="00AB3457"/>
    <w:rsid w:val="00AB6227"/>
    <w:rsid w:val="00AB7CFA"/>
    <w:rsid w:val="00AC0261"/>
    <w:rsid w:val="00AC08E7"/>
    <w:rsid w:val="00AC1523"/>
    <w:rsid w:val="00AC165B"/>
    <w:rsid w:val="00AC2685"/>
    <w:rsid w:val="00AC344F"/>
    <w:rsid w:val="00AC4B9A"/>
    <w:rsid w:val="00AC62AE"/>
    <w:rsid w:val="00AC656D"/>
    <w:rsid w:val="00AD0CEA"/>
    <w:rsid w:val="00AD17CB"/>
    <w:rsid w:val="00AD6103"/>
    <w:rsid w:val="00AD676E"/>
    <w:rsid w:val="00AE1932"/>
    <w:rsid w:val="00AE6D6C"/>
    <w:rsid w:val="00AE7679"/>
    <w:rsid w:val="00AF16E1"/>
    <w:rsid w:val="00AF2097"/>
    <w:rsid w:val="00AF26DE"/>
    <w:rsid w:val="00AF26E4"/>
    <w:rsid w:val="00AF4C40"/>
    <w:rsid w:val="00AF692B"/>
    <w:rsid w:val="00AF711A"/>
    <w:rsid w:val="00B01031"/>
    <w:rsid w:val="00B0486A"/>
    <w:rsid w:val="00B0515E"/>
    <w:rsid w:val="00B05DCC"/>
    <w:rsid w:val="00B10372"/>
    <w:rsid w:val="00B1096B"/>
    <w:rsid w:val="00B11444"/>
    <w:rsid w:val="00B13496"/>
    <w:rsid w:val="00B15707"/>
    <w:rsid w:val="00B16FBD"/>
    <w:rsid w:val="00B173A1"/>
    <w:rsid w:val="00B1793B"/>
    <w:rsid w:val="00B17E8F"/>
    <w:rsid w:val="00B218D9"/>
    <w:rsid w:val="00B22C27"/>
    <w:rsid w:val="00B22E49"/>
    <w:rsid w:val="00B233D6"/>
    <w:rsid w:val="00B235FF"/>
    <w:rsid w:val="00B23DA9"/>
    <w:rsid w:val="00B276DC"/>
    <w:rsid w:val="00B3070F"/>
    <w:rsid w:val="00B33934"/>
    <w:rsid w:val="00B3500B"/>
    <w:rsid w:val="00B36F6C"/>
    <w:rsid w:val="00B459BE"/>
    <w:rsid w:val="00B46A7B"/>
    <w:rsid w:val="00B5121A"/>
    <w:rsid w:val="00B515EC"/>
    <w:rsid w:val="00B51784"/>
    <w:rsid w:val="00B560EA"/>
    <w:rsid w:val="00B56FC4"/>
    <w:rsid w:val="00B572CA"/>
    <w:rsid w:val="00B57829"/>
    <w:rsid w:val="00B65841"/>
    <w:rsid w:val="00B66979"/>
    <w:rsid w:val="00B66DD3"/>
    <w:rsid w:val="00B67B28"/>
    <w:rsid w:val="00B72551"/>
    <w:rsid w:val="00B756AB"/>
    <w:rsid w:val="00B75B82"/>
    <w:rsid w:val="00B81307"/>
    <w:rsid w:val="00B81CF0"/>
    <w:rsid w:val="00B82901"/>
    <w:rsid w:val="00B8292A"/>
    <w:rsid w:val="00B83059"/>
    <w:rsid w:val="00B83B3D"/>
    <w:rsid w:val="00B86ED6"/>
    <w:rsid w:val="00B87E11"/>
    <w:rsid w:val="00B9025B"/>
    <w:rsid w:val="00B9187E"/>
    <w:rsid w:val="00B9613A"/>
    <w:rsid w:val="00BA14FE"/>
    <w:rsid w:val="00BA3313"/>
    <w:rsid w:val="00BA382F"/>
    <w:rsid w:val="00BA67DC"/>
    <w:rsid w:val="00BA6E35"/>
    <w:rsid w:val="00BA7873"/>
    <w:rsid w:val="00BB251D"/>
    <w:rsid w:val="00BB3035"/>
    <w:rsid w:val="00BB34FA"/>
    <w:rsid w:val="00BB56A2"/>
    <w:rsid w:val="00BB7C5B"/>
    <w:rsid w:val="00BC03BA"/>
    <w:rsid w:val="00BC0501"/>
    <w:rsid w:val="00BC0E55"/>
    <w:rsid w:val="00BC20CB"/>
    <w:rsid w:val="00BC69E4"/>
    <w:rsid w:val="00BD0E0C"/>
    <w:rsid w:val="00BD2621"/>
    <w:rsid w:val="00BD4404"/>
    <w:rsid w:val="00BD643A"/>
    <w:rsid w:val="00BD77C2"/>
    <w:rsid w:val="00BE0155"/>
    <w:rsid w:val="00BE7463"/>
    <w:rsid w:val="00BF5C4A"/>
    <w:rsid w:val="00C0022F"/>
    <w:rsid w:val="00C002C1"/>
    <w:rsid w:val="00C07552"/>
    <w:rsid w:val="00C11431"/>
    <w:rsid w:val="00C13380"/>
    <w:rsid w:val="00C1386E"/>
    <w:rsid w:val="00C13956"/>
    <w:rsid w:val="00C149A1"/>
    <w:rsid w:val="00C17453"/>
    <w:rsid w:val="00C20FD2"/>
    <w:rsid w:val="00C220C7"/>
    <w:rsid w:val="00C22A60"/>
    <w:rsid w:val="00C23239"/>
    <w:rsid w:val="00C250A8"/>
    <w:rsid w:val="00C252BB"/>
    <w:rsid w:val="00C25A58"/>
    <w:rsid w:val="00C27397"/>
    <w:rsid w:val="00C27EF3"/>
    <w:rsid w:val="00C304A0"/>
    <w:rsid w:val="00C30E7F"/>
    <w:rsid w:val="00C32220"/>
    <w:rsid w:val="00C344F7"/>
    <w:rsid w:val="00C35FEA"/>
    <w:rsid w:val="00C36A08"/>
    <w:rsid w:val="00C37A84"/>
    <w:rsid w:val="00C37F0F"/>
    <w:rsid w:val="00C40DDE"/>
    <w:rsid w:val="00C412C4"/>
    <w:rsid w:val="00C41FE1"/>
    <w:rsid w:val="00C420CD"/>
    <w:rsid w:val="00C421E4"/>
    <w:rsid w:val="00C45BDD"/>
    <w:rsid w:val="00C46CDB"/>
    <w:rsid w:val="00C47534"/>
    <w:rsid w:val="00C4759A"/>
    <w:rsid w:val="00C47B25"/>
    <w:rsid w:val="00C50326"/>
    <w:rsid w:val="00C510EC"/>
    <w:rsid w:val="00C51D09"/>
    <w:rsid w:val="00C529E6"/>
    <w:rsid w:val="00C601CB"/>
    <w:rsid w:val="00C60E63"/>
    <w:rsid w:val="00C61084"/>
    <w:rsid w:val="00C61E4A"/>
    <w:rsid w:val="00C6579B"/>
    <w:rsid w:val="00C658E9"/>
    <w:rsid w:val="00C74F38"/>
    <w:rsid w:val="00C75C04"/>
    <w:rsid w:val="00C76E94"/>
    <w:rsid w:val="00C777C6"/>
    <w:rsid w:val="00C80F34"/>
    <w:rsid w:val="00C81E96"/>
    <w:rsid w:val="00C82844"/>
    <w:rsid w:val="00C83328"/>
    <w:rsid w:val="00C835B3"/>
    <w:rsid w:val="00C8565B"/>
    <w:rsid w:val="00C87C0A"/>
    <w:rsid w:val="00C91073"/>
    <w:rsid w:val="00C91AD3"/>
    <w:rsid w:val="00C94DCE"/>
    <w:rsid w:val="00C95957"/>
    <w:rsid w:val="00CA0322"/>
    <w:rsid w:val="00CA18F6"/>
    <w:rsid w:val="00CA1AE6"/>
    <w:rsid w:val="00CA4FCE"/>
    <w:rsid w:val="00CA5E13"/>
    <w:rsid w:val="00CA62E4"/>
    <w:rsid w:val="00CB13ED"/>
    <w:rsid w:val="00CB14B6"/>
    <w:rsid w:val="00CB1A69"/>
    <w:rsid w:val="00CB2032"/>
    <w:rsid w:val="00CB491D"/>
    <w:rsid w:val="00CB5F92"/>
    <w:rsid w:val="00CC0FDE"/>
    <w:rsid w:val="00CC3E63"/>
    <w:rsid w:val="00CC5677"/>
    <w:rsid w:val="00CC79FA"/>
    <w:rsid w:val="00CD0722"/>
    <w:rsid w:val="00CD0F8C"/>
    <w:rsid w:val="00CD13D1"/>
    <w:rsid w:val="00CD31C0"/>
    <w:rsid w:val="00CD67A6"/>
    <w:rsid w:val="00CD788A"/>
    <w:rsid w:val="00CE132F"/>
    <w:rsid w:val="00CE1D08"/>
    <w:rsid w:val="00CE3F19"/>
    <w:rsid w:val="00CE5026"/>
    <w:rsid w:val="00CE53C8"/>
    <w:rsid w:val="00CE5424"/>
    <w:rsid w:val="00CF046E"/>
    <w:rsid w:val="00CF14E6"/>
    <w:rsid w:val="00CF423C"/>
    <w:rsid w:val="00CF4B02"/>
    <w:rsid w:val="00CF4C3A"/>
    <w:rsid w:val="00CF7162"/>
    <w:rsid w:val="00CF7795"/>
    <w:rsid w:val="00CF7901"/>
    <w:rsid w:val="00D05520"/>
    <w:rsid w:val="00D05D28"/>
    <w:rsid w:val="00D06D29"/>
    <w:rsid w:val="00D201C8"/>
    <w:rsid w:val="00D21953"/>
    <w:rsid w:val="00D2249A"/>
    <w:rsid w:val="00D22A18"/>
    <w:rsid w:val="00D35637"/>
    <w:rsid w:val="00D357E5"/>
    <w:rsid w:val="00D36EED"/>
    <w:rsid w:val="00D43678"/>
    <w:rsid w:val="00D45619"/>
    <w:rsid w:val="00D50023"/>
    <w:rsid w:val="00D505AF"/>
    <w:rsid w:val="00D56077"/>
    <w:rsid w:val="00D577A0"/>
    <w:rsid w:val="00D60B18"/>
    <w:rsid w:val="00D60EB6"/>
    <w:rsid w:val="00D6336D"/>
    <w:rsid w:val="00D640D1"/>
    <w:rsid w:val="00D64E7F"/>
    <w:rsid w:val="00D65CCB"/>
    <w:rsid w:val="00D710D2"/>
    <w:rsid w:val="00D7514F"/>
    <w:rsid w:val="00D772A9"/>
    <w:rsid w:val="00D811FB"/>
    <w:rsid w:val="00D8277F"/>
    <w:rsid w:val="00D83375"/>
    <w:rsid w:val="00D83CED"/>
    <w:rsid w:val="00D872F5"/>
    <w:rsid w:val="00D935A5"/>
    <w:rsid w:val="00D93A5D"/>
    <w:rsid w:val="00D944DE"/>
    <w:rsid w:val="00D94BE4"/>
    <w:rsid w:val="00D95F9A"/>
    <w:rsid w:val="00D9641B"/>
    <w:rsid w:val="00D97C26"/>
    <w:rsid w:val="00D97D8B"/>
    <w:rsid w:val="00DA2B5B"/>
    <w:rsid w:val="00DA3D4A"/>
    <w:rsid w:val="00DA4046"/>
    <w:rsid w:val="00DA4844"/>
    <w:rsid w:val="00DA4FDD"/>
    <w:rsid w:val="00DA775E"/>
    <w:rsid w:val="00DB589F"/>
    <w:rsid w:val="00DB74B8"/>
    <w:rsid w:val="00DC01DA"/>
    <w:rsid w:val="00DC2949"/>
    <w:rsid w:val="00DC4B6B"/>
    <w:rsid w:val="00DC5C44"/>
    <w:rsid w:val="00DD5414"/>
    <w:rsid w:val="00DD6CFE"/>
    <w:rsid w:val="00DE0446"/>
    <w:rsid w:val="00DE1133"/>
    <w:rsid w:val="00DE16C5"/>
    <w:rsid w:val="00DE3246"/>
    <w:rsid w:val="00DE34D4"/>
    <w:rsid w:val="00DE4A5C"/>
    <w:rsid w:val="00DE5B3E"/>
    <w:rsid w:val="00DE62A4"/>
    <w:rsid w:val="00DE709A"/>
    <w:rsid w:val="00DF01D0"/>
    <w:rsid w:val="00DF0872"/>
    <w:rsid w:val="00DF306C"/>
    <w:rsid w:val="00DF31D1"/>
    <w:rsid w:val="00DF3A59"/>
    <w:rsid w:val="00DF6AF0"/>
    <w:rsid w:val="00DF6EB6"/>
    <w:rsid w:val="00DF749D"/>
    <w:rsid w:val="00DF7969"/>
    <w:rsid w:val="00E01F94"/>
    <w:rsid w:val="00E020E6"/>
    <w:rsid w:val="00E02A2F"/>
    <w:rsid w:val="00E038A3"/>
    <w:rsid w:val="00E05225"/>
    <w:rsid w:val="00E06B10"/>
    <w:rsid w:val="00E10553"/>
    <w:rsid w:val="00E2120D"/>
    <w:rsid w:val="00E2128C"/>
    <w:rsid w:val="00E215EA"/>
    <w:rsid w:val="00E250F7"/>
    <w:rsid w:val="00E2586E"/>
    <w:rsid w:val="00E25A69"/>
    <w:rsid w:val="00E25DC9"/>
    <w:rsid w:val="00E260A8"/>
    <w:rsid w:val="00E260DA"/>
    <w:rsid w:val="00E26B20"/>
    <w:rsid w:val="00E27CFE"/>
    <w:rsid w:val="00E3324E"/>
    <w:rsid w:val="00E3344A"/>
    <w:rsid w:val="00E33B9D"/>
    <w:rsid w:val="00E35ED8"/>
    <w:rsid w:val="00E43B35"/>
    <w:rsid w:val="00E43E1F"/>
    <w:rsid w:val="00E44F5D"/>
    <w:rsid w:val="00E452D4"/>
    <w:rsid w:val="00E523FE"/>
    <w:rsid w:val="00E536D6"/>
    <w:rsid w:val="00E539CB"/>
    <w:rsid w:val="00E61876"/>
    <w:rsid w:val="00E62BD4"/>
    <w:rsid w:val="00E630B6"/>
    <w:rsid w:val="00E66B2F"/>
    <w:rsid w:val="00E671FF"/>
    <w:rsid w:val="00E67AFE"/>
    <w:rsid w:val="00E71738"/>
    <w:rsid w:val="00E7462A"/>
    <w:rsid w:val="00E752F7"/>
    <w:rsid w:val="00E7622F"/>
    <w:rsid w:val="00E83E21"/>
    <w:rsid w:val="00E8638A"/>
    <w:rsid w:val="00E87F26"/>
    <w:rsid w:val="00E91FBF"/>
    <w:rsid w:val="00E9243C"/>
    <w:rsid w:val="00E92C65"/>
    <w:rsid w:val="00E93327"/>
    <w:rsid w:val="00E975ED"/>
    <w:rsid w:val="00E97C7F"/>
    <w:rsid w:val="00EA1E5D"/>
    <w:rsid w:val="00EA2C06"/>
    <w:rsid w:val="00EA657C"/>
    <w:rsid w:val="00EA7271"/>
    <w:rsid w:val="00EB0E59"/>
    <w:rsid w:val="00EB399B"/>
    <w:rsid w:val="00EB3CD6"/>
    <w:rsid w:val="00EB42CD"/>
    <w:rsid w:val="00EB46CD"/>
    <w:rsid w:val="00EC485E"/>
    <w:rsid w:val="00EC537E"/>
    <w:rsid w:val="00ED0039"/>
    <w:rsid w:val="00ED0CEC"/>
    <w:rsid w:val="00ED4898"/>
    <w:rsid w:val="00ED62A1"/>
    <w:rsid w:val="00ED6697"/>
    <w:rsid w:val="00ED765A"/>
    <w:rsid w:val="00EE165E"/>
    <w:rsid w:val="00EE2108"/>
    <w:rsid w:val="00EE23AC"/>
    <w:rsid w:val="00EE39E0"/>
    <w:rsid w:val="00EE408C"/>
    <w:rsid w:val="00EE6554"/>
    <w:rsid w:val="00EE6724"/>
    <w:rsid w:val="00EF01C0"/>
    <w:rsid w:val="00EF0D04"/>
    <w:rsid w:val="00EF2232"/>
    <w:rsid w:val="00EF38A5"/>
    <w:rsid w:val="00EF46C5"/>
    <w:rsid w:val="00EF6332"/>
    <w:rsid w:val="00F019F5"/>
    <w:rsid w:val="00F04F85"/>
    <w:rsid w:val="00F1030B"/>
    <w:rsid w:val="00F10751"/>
    <w:rsid w:val="00F10FB2"/>
    <w:rsid w:val="00F121BF"/>
    <w:rsid w:val="00F12830"/>
    <w:rsid w:val="00F12AFD"/>
    <w:rsid w:val="00F14BCA"/>
    <w:rsid w:val="00F15D02"/>
    <w:rsid w:val="00F17308"/>
    <w:rsid w:val="00F17F99"/>
    <w:rsid w:val="00F20FBD"/>
    <w:rsid w:val="00F2216A"/>
    <w:rsid w:val="00F22783"/>
    <w:rsid w:val="00F24CEE"/>
    <w:rsid w:val="00F254D1"/>
    <w:rsid w:val="00F25876"/>
    <w:rsid w:val="00F3284D"/>
    <w:rsid w:val="00F32960"/>
    <w:rsid w:val="00F32B63"/>
    <w:rsid w:val="00F34CDF"/>
    <w:rsid w:val="00F34E56"/>
    <w:rsid w:val="00F37E13"/>
    <w:rsid w:val="00F42EE7"/>
    <w:rsid w:val="00F43423"/>
    <w:rsid w:val="00F45193"/>
    <w:rsid w:val="00F4723A"/>
    <w:rsid w:val="00F477B0"/>
    <w:rsid w:val="00F4782E"/>
    <w:rsid w:val="00F502AD"/>
    <w:rsid w:val="00F50A54"/>
    <w:rsid w:val="00F50D68"/>
    <w:rsid w:val="00F512CF"/>
    <w:rsid w:val="00F60C36"/>
    <w:rsid w:val="00F6198B"/>
    <w:rsid w:val="00F640AF"/>
    <w:rsid w:val="00F7321F"/>
    <w:rsid w:val="00F734C3"/>
    <w:rsid w:val="00F73754"/>
    <w:rsid w:val="00F74BA5"/>
    <w:rsid w:val="00F76F16"/>
    <w:rsid w:val="00F801D7"/>
    <w:rsid w:val="00F80466"/>
    <w:rsid w:val="00F80DE8"/>
    <w:rsid w:val="00F828E6"/>
    <w:rsid w:val="00F832BF"/>
    <w:rsid w:val="00F8396F"/>
    <w:rsid w:val="00F844A6"/>
    <w:rsid w:val="00F850AB"/>
    <w:rsid w:val="00F86BCF"/>
    <w:rsid w:val="00F90734"/>
    <w:rsid w:val="00F90A92"/>
    <w:rsid w:val="00F9520E"/>
    <w:rsid w:val="00F95A45"/>
    <w:rsid w:val="00F95F7A"/>
    <w:rsid w:val="00F960A2"/>
    <w:rsid w:val="00FA2501"/>
    <w:rsid w:val="00FA299A"/>
    <w:rsid w:val="00FA3EAC"/>
    <w:rsid w:val="00FA44BB"/>
    <w:rsid w:val="00FA45F3"/>
    <w:rsid w:val="00FA78C0"/>
    <w:rsid w:val="00FA7B6B"/>
    <w:rsid w:val="00FB07A7"/>
    <w:rsid w:val="00FB2CED"/>
    <w:rsid w:val="00FB4A3A"/>
    <w:rsid w:val="00FB5633"/>
    <w:rsid w:val="00FB5FE3"/>
    <w:rsid w:val="00FB7D2F"/>
    <w:rsid w:val="00FC0747"/>
    <w:rsid w:val="00FC0976"/>
    <w:rsid w:val="00FC3721"/>
    <w:rsid w:val="00FC3905"/>
    <w:rsid w:val="00FD06AF"/>
    <w:rsid w:val="00FD1E2B"/>
    <w:rsid w:val="00FD351A"/>
    <w:rsid w:val="00FD4016"/>
    <w:rsid w:val="00FD6386"/>
    <w:rsid w:val="00FD6533"/>
    <w:rsid w:val="00FE15B0"/>
    <w:rsid w:val="00FE32C6"/>
    <w:rsid w:val="00FE3AAC"/>
    <w:rsid w:val="00FE3CCD"/>
    <w:rsid w:val="00FE43F8"/>
    <w:rsid w:val="00FE6E13"/>
    <w:rsid w:val="00FF0E0A"/>
    <w:rsid w:val="00FF1974"/>
    <w:rsid w:val="00FF19B5"/>
    <w:rsid w:val="00FF434A"/>
    <w:rsid w:val="00FF4565"/>
    <w:rsid w:val="00FF4945"/>
    <w:rsid w:val="00FF52FA"/>
    <w:rsid w:val="00FF5D2F"/>
    <w:rsid w:val="00FF66AE"/>
    <w:rsid w:val="00FF6D08"/>
    <w:rsid w:val="00FF7A24"/>
    <w:rsid w:val="00FF7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D4"/>
    <w:rPr>
      <w:sz w:val="24"/>
      <w:szCs w:val="24"/>
      <w:lang w:val="fr-FR" w:eastAsia="fr-FR"/>
    </w:rPr>
  </w:style>
  <w:style w:type="paragraph" w:styleId="Heading1">
    <w:name w:val="heading 1"/>
    <w:basedOn w:val="Normal"/>
    <w:next w:val="Normal"/>
    <w:link w:val="Heading1Char"/>
    <w:uiPriority w:val="99"/>
    <w:qFormat/>
    <w:rsid w:val="00AC08E7"/>
    <w:pPr>
      <w:keepNext/>
      <w:ind w:left="708"/>
      <w:jc w:val="both"/>
      <w:outlineLvl w:val="0"/>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C08E7"/>
    <w:rPr>
      <w:rFonts w:cs="Arial"/>
      <w:b/>
      <w:bCs/>
      <w:sz w:val="24"/>
      <w:szCs w:val="24"/>
      <w:u w:val="single"/>
      <w:lang w:val="fr-FR" w:eastAsia="fr-FR"/>
    </w:rPr>
  </w:style>
  <w:style w:type="paragraph" w:styleId="Header">
    <w:name w:val="header"/>
    <w:basedOn w:val="Normal"/>
    <w:link w:val="HeaderChar"/>
    <w:uiPriority w:val="99"/>
    <w:rsid w:val="004D18B1"/>
    <w:pPr>
      <w:tabs>
        <w:tab w:val="center" w:pos="4536"/>
        <w:tab w:val="right" w:pos="9072"/>
      </w:tabs>
    </w:pPr>
  </w:style>
  <w:style w:type="character" w:customStyle="1" w:styleId="HeaderChar">
    <w:name w:val="Header Char"/>
    <w:link w:val="Header"/>
    <w:uiPriority w:val="99"/>
    <w:semiHidden/>
    <w:rsid w:val="00A76B56"/>
    <w:rPr>
      <w:sz w:val="24"/>
      <w:szCs w:val="24"/>
      <w:lang w:val="fr-FR" w:eastAsia="fr-FR"/>
    </w:rPr>
  </w:style>
  <w:style w:type="character" w:styleId="PageNumber">
    <w:name w:val="page number"/>
    <w:uiPriority w:val="99"/>
    <w:rsid w:val="004D18B1"/>
    <w:rPr>
      <w:rFonts w:cs="Times New Roman"/>
    </w:rPr>
  </w:style>
  <w:style w:type="character" w:styleId="Hyperlink">
    <w:name w:val="Hyperlink"/>
    <w:uiPriority w:val="99"/>
    <w:rsid w:val="004D18B1"/>
    <w:rPr>
      <w:rFonts w:cs="Times New Roman"/>
      <w:color w:val="0000FF"/>
      <w:u w:val="single"/>
    </w:rPr>
  </w:style>
  <w:style w:type="paragraph" w:styleId="BodyText">
    <w:name w:val="Body Text"/>
    <w:basedOn w:val="Normal"/>
    <w:link w:val="BodyTextChar"/>
    <w:uiPriority w:val="99"/>
    <w:rsid w:val="004D18B1"/>
    <w:rPr>
      <w:rFonts w:ascii="Arial" w:hAnsi="Arial" w:cs="Arial"/>
      <w:sz w:val="20"/>
      <w:szCs w:val="20"/>
      <w:lang w:val="en-US" w:eastAsia="en-US"/>
    </w:rPr>
  </w:style>
  <w:style w:type="character" w:customStyle="1" w:styleId="BodyTextChar">
    <w:name w:val="Body Text Char"/>
    <w:link w:val="BodyText"/>
    <w:uiPriority w:val="99"/>
    <w:semiHidden/>
    <w:rsid w:val="00A76B56"/>
    <w:rPr>
      <w:sz w:val="24"/>
      <w:szCs w:val="24"/>
      <w:lang w:val="fr-FR" w:eastAsia="fr-FR"/>
    </w:rPr>
  </w:style>
  <w:style w:type="paragraph" w:styleId="Footer">
    <w:name w:val="footer"/>
    <w:basedOn w:val="Normal"/>
    <w:link w:val="FooterChar"/>
    <w:uiPriority w:val="99"/>
    <w:rsid w:val="004D18B1"/>
    <w:pPr>
      <w:tabs>
        <w:tab w:val="center" w:pos="4320"/>
        <w:tab w:val="right" w:pos="8640"/>
      </w:tabs>
    </w:pPr>
  </w:style>
  <w:style w:type="character" w:customStyle="1" w:styleId="FooterChar">
    <w:name w:val="Footer Char"/>
    <w:link w:val="Footer"/>
    <w:uiPriority w:val="99"/>
    <w:locked/>
    <w:rsid w:val="004D18B1"/>
    <w:rPr>
      <w:sz w:val="24"/>
      <w:lang w:val="fr-FR" w:eastAsia="fr-FR"/>
    </w:rPr>
  </w:style>
  <w:style w:type="paragraph" w:customStyle="1" w:styleId="Paragrafoelenco1">
    <w:name w:val="Paragrafo elenco1"/>
    <w:basedOn w:val="Normal"/>
    <w:uiPriority w:val="99"/>
    <w:rsid w:val="004D18B1"/>
    <w:pPr>
      <w:ind w:left="720"/>
      <w:contextualSpacing/>
    </w:pPr>
    <w:rPr>
      <w:lang w:val="en-US" w:eastAsia="en-US"/>
    </w:rPr>
  </w:style>
  <w:style w:type="paragraph" w:styleId="FootnoteText">
    <w:name w:val="footnote text"/>
    <w:basedOn w:val="Normal"/>
    <w:link w:val="FootnoteTextChar"/>
    <w:uiPriority w:val="99"/>
    <w:rsid w:val="004D18B1"/>
    <w:rPr>
      <w:sz w:val="20"/>
      <w:szCs w:val="20"/>
      <w:lang w:val="en-US" w:eastAsia="en-US"/>
    </w:rPr>
  </w:style>
  <w:style w:type="character" w:customStyle="1" w:styleId="FootnoteTextChar">
    <w:name w:val="Footnote Text Char"/>
    <w:link w:val="FootnoteText"/>
    <w:uiPriority w:val="99"/>
    <w:locked/>
    <w:rsid w:val="004D18B1"/>
    <w:rPr>
      <w:rFonts w:cs="Times New Roman"/>
      <w:lang w:val="en-US" w:eastAsia="en-US" w:bidi="ar-SA"/>
    </w:rPr>
  </w:style>
  <w:style w:type="character" w:styleId="FootnoteReference">
    <w:name w:val="footnote reference"/>
    <w:rsid w:val="004D18B1"/>
    <w:rPr>
      <w:rFonts w:cs="Times New Roman"/>
      <w:vertAlign w:val="superscript"/>
    </w:rPr>
  </w:style>
  <w:style w:type="paragraph" w:customStyle="1" w:styleId="H1">
    <w:name w:val="H1"/>
    <w:uiPriority w:val="99"/>
    <w:rsid w:val="004D18B1"/>
    <w:pPr>
      <w:spacing w:before="60" w:after="60"/>
    </w:pPr>
    <w:rPr>
      <w:rFonts w:cs="Arial"/>
      <w:b/>
      <w:bCs/>
      <w:kern w:val="32"/>
      <w:sz w:val="24"/>
      <w:szCs w:val="32"/>
      <w:lang w:val="en-GB"/>
    </w:rPr>
  </w:style>
  <w:style w:type="paragraph" w:customStyle="1" w:styleId="H2">
    <w:name w:val="H2"/>
    <w:uiPriority w:val="99"/>
    <w:rsid w:val="004D18B1"/>
    <w:rPr>
      <w:rFonts w:cs="Arial"/>
      <w:b/>
      <w:bCs/>
      <w:iCs/>
      <w:sz w:val="22"/>
      <w:szCs w:val="28"/>
      <w:lang w:val="en-GB"/>
    </w:rPr>
  </w:style>
  <w:style w:type="paragraph" w:styleId="BalloonText">
    <w:name w:val="Balloon Text"/>
    <w:basedOn w:val="Normal"/>
    <w:link w:val="BalloonTextChar"/>
    <w:uiPriority w:val="99"/>
    <w:semiHidden/>
    <w:unhideWhenUsed/>
    <w:rsid w:val="00426461"/>
    <w:rPr>
      <w:rFonts w:ascii="Tahoma" w:hAnsi="Tahoma" w:cs="Tahoma"/>
      <w:sz w:val="16"/>
      <w:szCs w:val="16"/>
    </w:rPr>
  </w:style>
  <w:style w:type="character" w:customStyle="1" w:styleId="BalloonTextChar">
    <w:name w:val="Balloon Text Char"/>
    <w:basedOn w:val="DefaultParagraphFont"/>
    <w:link w:val="BalloonText"/>
    <w:uiPriority w:val="99"/>
    <w:semiHidden/>
    <w:rsid w:val="00426461"/>
    <w:rPr>
      <w:rFonts w:ascii="Tahoma" w:hAnsi="Tahoma" w:cs="Tahoma"/>
      <w:sz w:val="16"/>
      <w:szCs w:val="16"/>
      <w:lang w:val="fr-FR" w:eastAsia="fr-FR"/>
    </w:rPr>
  </w:style>
  <w:style w:type="paragraph" w:styleId="ListParagraph">
    <w:name w:val="List Paragraph"/>
    <w:basedOn w:val="Normal"/>
    <w:link w:val="ListParagraphChar"/>
    <w:uiPriority w:val="34"/>
    <w:qFormat/>
    <w:rsid w:val="00FE32C6"/>
    <w:pPr>
      <w:ind w:left="720"/>
      <w:contextualSpacing/>
    </w:pPr>
    <w:rPr>
      <w:lang w:val="en-GB" w:eastAsia="en-US"/>
    </w:rPr>
  </w:style>
  <w:style w:type="character" w:customStyle="1" w:styleId="hps">
    <w:name w:val="hps"/>
    <w:rsid w:val="00FE32C6"/>
  </w:style>
  <w:style w:type="character" w:customStyle="1" w:styleId="ListParagraphChar">
    <w:name w:val="List Paragraph Char"/>
    <w:link w:val="ListParagraph"/>
    <w:uiPriority w:val="34"/>
    <w:rsid w:val="00FE32C6"/>
    <w:rPr>
      <w:sz w:val="24"/>
      <w:szCs w:val="24"/>
      <w:lang w:val="en-GB"/>
    </w:rPr>
  </w:style>
  <w:style w:type="paragraph" w:styleId="Caption">
    <w:name w:val="caption"/>
    <w:basedOn w:val="Normal"/>
    <w:next w:val="Normal"/>
    <w:unhideWhenUsed/>
    <w:qFormat/>
    <w:locked/>
    <w:rsid w:val="00523EFF"/>
    <w:pPr>
      <w:spacing w:after="200"/>
    </w:pPr>
    <w:rPr>
      <w:b/>
      <w:bCs/>
      <w:color w:val="4F81BD" w:themeColor="accent1"/>
      <w:sz w:val="18"/>
      <w:szCs w:val="18"/>
    </w:rPr>
  </w:style>
  <w:style w:type="paragraph" w:styleId="BodyText3">
    <w:name w:val="Body Text 3"/>
    <w:basedOn w:val="Normal"/>
    <w:link w:val="BodyText3Char"/>
    <w:uiPriority w:val="99"/>
    <w:semiHidden/>
    <w:unhideWhenUsed/>
    <w:rsid w:val="00C87C0A"/>
    <w:pPr>
      <w:spacing w:after="120"/>
    </w:pPr>
    <w:rPr>
      <w:sz w:val="16"/>
      <w:szCs w:val="16"/>
    </w:rPr>
  </w:style>
  <w:style w:type="character" w:customStyle="1" w:styleId="BodyText3Char">
    <w:name w:val="Body Text 3 Char"/>
    <w:basedOn w:val="DefaultParagraphFont"/>
    <w:link w:val="BodyText3"/>
    <w:uiPriority w:val="99"/>
    <w:semiHidden/>
    <w:rsid w:val="00C87C0A"/>
    <w:rPr>
      <w:sz w:val="16"/>
      <w:szCs w:val="16"/>
      <w:lang w:val="fr-FR" w:eastAsia="fr-FR"/>
    </w:rPr>
  </w:style>
  <w:style w:type="table" w:styleId="MediumGrid3-Accent5">
    <w:name w:val="Medium Grid 3 Accent 5"/>
    <w:basedOn w:val="TableNormal"/>
    <w:uiPriority w:val="69"/>
    <w:rsid w:val="009C4737"/>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CommentReference">
    <w:name w:val="annotation reference"/>
    <w:basedOn w:val="DefaultParagraphFont"/>
    <w:uiPriority w:val="99"/>
    <w:semiHidden/>
    <w:unhideWhenUsed/>
    <w:rsid w:val="006E59DD"/>
    <w:rPr>
      <w:sz w:val="16"/>
      <w:szCs w:val="16"/>
    </w:rPr>
  </w:style>
  <w:style w:type="paragraph" w:styleId="CommentText">
    <w:name w:val="annotation text"/>
    <w:basedOn w:val="Normal"/>
    <w:link w:val="CommentTextChar"/>
    <w:uiPriority w:val="99"/>
    <w:semiHidden/>
    <w:unhideWhenUsed/>
    <w:rsid w:val="006E59DD"/>
    <w:rPr>
      <w:sz w:val="20"/>
      <w:szCs w:val="20"/>
    </w:rPr>
  </w:style>
  <w:style w:type="character" w:customStyle="1" w:styleId="CommentTextChar">
    <w:name w:val="Comment Text Char"/>
    <w:basedOn w:val="DefaultParagraphFont"/>
    <w:link w:val="CommentText"/>
    <w:uiPriority w:val="99"/>
    <w:semiHidden/>
    <w:rsid w:val="006E59DD"/>
    <w:rPr>
      <w:lang w:val="fr-FR" w:eastAsia="fr-FR"/>
    </w:rPr>
  </w:style>
  <w:style w:type="paragraph" w:styleId="CommentSubject">
    <w:name w:val="annotation subject"/>
    <w:basedOn w:val="CommentText"/>
    <w:next w:val="CommentText"/>
    <w:link w:val="CommentSubjectChar"/>
    <w:uiPriority w:val="99"/>
    <w:semiHidden/>
    <w:unhideWhenUsed/>
    <w:rsid w:val="006E59DD"/>
    <w:rPr>
      <w:b/>
      <w:bCs/>
    </w:rPr>
  </w:style>
  <w:style w:type="character" w:customStyle="1" w:styleId="CommentSubjectChar">
    <w:name w:val="Comment Subject Char"/>
    <w:basedOn w:val="CommentTextChar"/>
    <w:link w:val="CommentSubject"/>
    <w:uiPriority w:val="99"/>
    <w:semiHidden/>
    <w:rsid w:val="006E59DD"/>
    <w:rPr>
      <w:b/>
      <w:bCs/>
      <w:lang w:val="fr-FR" w:eastAsia="fr-FR"/>
    </w:rPr>
  </w:style>
  <w:style w:type="paragraph" w:styleId="Subtitle">
    <w:name w:val="Subtitle"/>
    <w:basedOn w:val="Normal"/>
    <w:next w:val="Normal"/>
    <w:link w:val="SubtitleChar"/>
    <w:qFormat/>
    <w:locked/>
    <w:rsid w:val="00AC08E7"/>
    <w:pPr>
      <w:numPr>
        <w:ilvl w:val="1"/>
      </w:numPr>
    </w:pPr>
    <w:rPr>
      <w:rFonts w:eastAsiaTheme="majorEastAsia" w:cstheme="majorBidi"/>
      <w:b/>
      <w:iCs/>
      <w:spacing w:val="15"/>
    </w:rPr>
  </w:style>
  <w:style w:type="character" w:customStyle="1" w:styleId="SubtitleChar">
    <w:name w:val="Subtitle Char"/>
    <w:basedOn w:val="DefaultParagraphFont"/>
    <w:link w:val="Subtitle"/>
    <w:rsid w:val="00AC08E7"/>
    <w:rPr>
      <w:rFonts w:eastAsiaTheme="majorEastAsia" w:cstheme="majorBidi"/>
      <w:b/>
      <w:iCs/>
      <w:spacing w:val="15"/>
      <w:sz w:val="24"/>
      <w:szCs w:val="24"/>
      <w:lang w:val="fr-FR" w:eastAsia="fr-FR"/>
    </w:rPr>
  </w:style>
  <w:style w:type="paragraph" w:styleId="TOCHeading">
    <w:name w:val="TOC Heading"/>
    <w:basedOn w:val="Heading1"/>
    <w:next w:val="Normal"/>
    <w:uiPriority w:val="39"/>
    <w:semiHidden/>
    <w:unhideWhenUsed/>
    <w:qFormat/>
    <w:rsid w:val="00AC08E7"/>
    <w:pPr>
      <w:keepLines/>
      <w:spacing w:before="480" w:line="276" w:lineRule="auto"/>
      <w:ind w:left="0"/>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locked/>
    <w:rsid w:val="00AC08E7"/>
    <w:pPr>
      <w:spacing w:after="100"/>
    </w:pPr>
  </w:style>
  <w:style w:type="table" w:styleId="TableGrid">
    <w:name w:val="Table Grid"/>
    <w:basedOn w:val="TableNormal"/>
    <w:locked/>
    <w:rsid w:val="00353B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D4"/>
    <w:rPr>
      <w:sz w:val="24"/>
      <w:szCs w:val="24"/>
      <w:lang w:val="fr-FR" w:eastAsia="fr-FR"/>
    </w:rPr>
  </w:style>
  <w:style w:type="paragraph" w:styleId="Heading1">
    <w:name w:val="heading 1"/>
    <w:basedOn w:val="Normal"/>
    <w:next w:val="Normal"/>
    <w:link w:val="Heading1Char"/>
    <w:uiPriority w:val="99"/>
    <w:qFormat/>
    <w:rsid w:val="00AC08E7"/>
    <w:pPr>
      <w:keepNext/>
      <w:ind w:left="708"/>
      <w:jc w:val="both"/>
      <w:outlineLvl w:val="0"/>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C08E7"/>
    <w:rPr>
      <w:rFonts w:cs="Arial"/>
      <w:b/>
      <w:bCs/>
      <w:sz w:val="24"/>
      <w:szCs w:val="24"/>
      <w:u w:val="single"/>
      <w:lang w:val="fr-FR" w:eastAsia="fr-FR"/>
    </w:rPr>
  </w:style>
  <w:style w:type="paragraph" w:styleId="Header">
    <w:name w:val="header"/>
    <w:basedOn w:val="Normal"/>
    <w:link w:val="HeaderChar"/>
    <w:uiPriority w:val="99"/>
    <w:rsid w:val="004D18B1"/>
    <w:pPr>
      <w:tabs>
        <w:tab w:val="center" w:pos="4536"/>
        <w:tab w:val="right" w:pos="9072"/>
      </w:tabs>
    </w:pPr>
  </w:style>
  <w:style w:type="character" w:customStyle="1" w:styleId="HeaderChar">
    <w:name w:val="Header Char"/>
    <w:link w:val="Header"/>
    <w:uiPriority w:val="99"/>
    <w:semiHidden/>
    <w:rsid w:val="00A76B56"/>
    <w:rPr>
      <w:sz w:val="24"/>
      <w:szCs w:val="24"/>
      <w:lang w:val="fr-FR" w:eastAsia="fr-FR"/>
    </w:rPr>
  </w:style>
  <w:style w:type="character" w:styleId="PageNumber">
    <w:name w:val="page number"/>
    <w:uiPriority w:val="99"/>
    <w:rsid w:val="004D18B1"/>
    <w:rPr>
      <w:rFonts w:cs="Times New Roman"/>
    </w:rPr>
  </w:style>
  <w:style w:type="character" w:styleId="Hyperlink">
    <w:name w:val="Hyperlink"/>
    <w:uiPriority w:val="99"/>
    <w:rsid w:val="004D18B1"/>
    <w:rPr>
      <w:rFonts w:cs="Times New Roman"/>
      <w:color w:val="0000FF"/>
      <w:u w:val="single"/>
    </w:rPr>
  </w:style>
  <w:style w:type="paragraph" w:styleId="BodyText">
    <w:name w:val="Body Text"/>
    <w:basedOn w:val="Normal"/>
    <w:link w:val="BodyTextChar"/>
    <w:uiPriority w:val="99"/>
    <w:rsid w:val="004D18B1"/>
    <w:rPr>
      <w:rFonts w:ascii="Arial" w:hAnsi="Arial" w:cs="Arial"/>
      <w:sz w:val="20"/>
      <w:szCs w:val="20"/>
      <w:lang w:val="en-US" w:eastAsia="en-US"/>
    </w:rPr>
  </w:style>
  <w:style w:type="character" w:customStyle="1" w:styleId="BodyTextChar">
    <w:name w:val="Body Text Char"/>
    <w:link w:val="BodyText"/>
    <w:uiPriority w:val="99"/>
    <w:semiHidden/>
    <w:rsid w:val="00A76B56"/>
    <w:rPr>
      <w:sz w:val="24"/>
      <w:szCs w:val="24"/>
      <w:lang w:val="fr-FR" w:eastAsia="fr-FR"/>
    </w:rPr>
  </w:style>
  <w:style w:type="paragraph" w:styleId="Footer">
    <w:name w:val="footer"/>
    <w:basedOn w:val="Normal"/>
    <w:link w:val="FooterChar"/>
    <w:uiPriority w:val="99"/>
    <w:rsid w:val="004D18B1"/>
    <w:pPr>
      <w:tabs>
        <w:tab w:val="center" w:pos="4320"/>
        <w:tab w:val="right" w:pos="8640"/>
      </w:tabs>
    </w:pPr>
  </w:style>
  <w:style w:type="character" w:customStyle="1" w:styleId="FooterChar">
    <w:name w:val="Footer Char"/>
    <w:link w:val="Footer"/>
    <w:uiPriority w:val="99"/>
    <w:locked/>
    <w:rsid w:val="004D18B1"/>
    <w:rPr>
      <w:sz w:val="24"/>
      <w:lang w:val="fr-FR" w:eastAsia="fr-FR"/>
    </w:rPr>
  </w:style>
  <w:style w:type="paragraph" w:customStyle="1" w:styleId="Paragrafoelenco1">
    <w:name w:val="Paragrafo elenco1"/>
    <w:basedOn w:val="Normal"/>
    <w:uiPriority w:val="99"/>
    <w:rsid w:val="004D18B1"/>
    <w:pPr>
      <w:ind w:left="720"/>
      <w:contextualSpacing/>
    </w:pPr>
    <w:rPr>
      <w:lang w:val="en-US" w:eastAsia="en-US"/>
    </w:rPr>
  </w:style>
  <w:style w:type="paragraph" w:styleId="FootnoteText">
    <w:name w:val="footnote text"/>
    <w:basedOn w:val="Normal"/>
    <w:link w:val="FootnoteTextChar"/>
    <w:uiPriority w:val="99"/>
    <w:rsid w:val="004D18B1"/>
    <w:rPr>
      <w:sz w:val="20"/>
      <w:szCs w:val="20"/>
      <w:lang w:val="en-US" w:eastAsia="en-US"/>
    </w:rPr>
  </w:style>
  <w:style w:type="character" w:customStyle="1" w:styleId="FootnoteTextChar">
    <w:name w:val="Footnote Text Char"/>
    <w:link w:val="FootnoteText"/>
    <w:uiPriority w:val="99"/>
    <w:locked/>
    <w:rsid w:val="004D18B1"/>
    <w:rPr>
      <w:rFonts w:cs="Times New Roman"/>
      <w:lang w:val="en-US" w:eastAsia="en-US" w:bidi="ar-SA"/>
    </w:rPr>
  </w:style>
  <w:style w:type="character" w:styleId="FootnoteReference">
    <w:name w:val="footnote reference"/>
    <w:rsid w:val="004D18B1"/>
    <w:rPr>
      <w:rFonts w:cs="Times New Roman"/>
      <w:vertAlign w:val="superscript"/>
    </w:rPr>
  </w:style>
  <w:style w:type="paragraph" w:customStyle="1" w:styleId="H1">
    <w:name w:val="H1"/>
    <w:uiPriority w:val="99"/>
    <w:rsid w:val="004D18B1"/>
    <w:pPr>
      <w:spacing w:before="60" w:after="60"/>
    </w:pPr>
    <w:rPr>
      <w:rFonts w:cs="Arial"/>
      <w:b/>
      <w:bCs/>
      <w:kern w:val="32"/>
      <w:sz w:val="24"/>
      <w:szCs w:val="32"/>
      <w:lang w:val="en-GB"/>
    </w:rPr>
  </w:style>
  <w:style w:type="paragraph" w:customStyle="1" w:styleId="H2">
    <w:name w:val="H2"/>
    <w:uiPriority w:val="99"/>
    <w:rsid w:val="004D18B1"/>
    <w:rPr>
      <w:rFonts w:cs="Arial"/>
      <w:b/>
      <w:bCs/>
      <w:iCs/>
      <w:sz w:val="22"/>
      <w:szCs w:val="28"/>
      <w:lang w:val="en-GB"/>
    </w:rPr>
  </w:style>
  <w:style w:type="paragraph" w:styleId="BalloonText">
    <w:name w:val="Balloon Text"/>
    <w:basedOn w:val="Normal"/>
    <w:link w:val="BalloonTextChar"/>
    <w:uiPriority w:val="99"/>
    <w:semiHidden/>
    <w:unhideWhenUsed/>
    <w:rsid w:val="00426461"/>
    <w:rPr>
      <w:rFonts w:ascii="Tahoma" w:hAnsi="Tahoma" w:cs="Tahoma"/>
      <w:sz w:val="16"/>
      <w:szCs w:val="16"/>
    </w:rPr>
  </w:style>
  <w:style w:type="character" w:customStyle="1" w:styleId="BalloonTextChar">
    <w:name w:val="Balloon Text Char"/>
    <w:basedOn w:val="DefaultParagraphFont"/>
    <w:link w:val="BalloonText"/>
    <w:uiPriority w:val="99"/>
    <w:semiHidden/>
    <w:rsid w:val="00426461"/>
    <w:rPr>
      <w:rFonts w:ascii="Tahoma" w:hAnsi="Tahoma" w:cs="Tahoma"/>
      <w:sz w:val="16"/>
      <w:szCs w:val="16"/>
      <w:lang w:val="fr-FR" w:eastAsia="fr-FR"/>
    </w:rPr>
  </w:style>
  <w:style w:type="paragraph" w:styleId="ListParagraph">
    <w:name w:val="List Paragraph"/>
    <w:basedOn w:val="Normal"/>
    <w:link w:val="ListParagraphChar"/>
    <w:uiPriority w:val="34"/>
    <w:qFormat/>
    <w:rsid w:val="00FE32C6"/>
    <w:pPr>
      <w:ind w:left="720"/>
      <w:contextualSpacing/>
    </w:pPr>
    <w:rPr>
      <w:lang w:val="en-GB" w:eastAsia="en-US"/>
    </w:rPr>
  </w:style>
  <w:style w:type="character" w:customStyle="1" w:styleId="hps">
    <w:name w:val="hps"/>
    <w:rsid w:val="00FE32C6"/>
  </w:style>
  <w:style w:type="character" w:customStyle="1" w:styleId="ListParagraphChar">
    <w:name w:val="List Paragraph Char"/>
    <w:link w:val="ListParagraph"/>
    <w:uiPriority w:val="34"/>
    <w:rsid w:val="00FE32C6"/>
    <w:rPr>
      <w:sz w:val="24"/>
      <w:szCs w:val="24"/>
      <w:lang w:val="en-GB"/>
    </w:rPr>
  </w:style>
  <w:style w:type="paragraph" w:styleId="Caption">
    <w:name w:val="caption"/>
    <w:basedOn w:val="Normal"/>
    <w:next w:val="Normal"/>
    <w:unhideWhenUsed/>
    <w:qFormat/>
    <w:locked/>
    <w:rsid w:val="00523EFF"/>
    <w:pPr>
      <w:spacing w:after="200"/>
    </w:pPr>
    <w:rPr>
      <w:b/>
      <w:bCs/>
      <w:color w:val="4F81BD" w:themeColor="accent1"/>
      <w:sz w:val="18"/>
      <w:szCs w:val="18"/>
    </w:rPr>
  </w:style>
  <w:style w:type="paragraph" w:styleId="BodyText3">
    <w:name w:val="Body Text 3"/>
    <w:basedOn w:val="Normal"/>
    <w:link w:val="BodyText3Char"/>
    <w:uiPriority w:val="99"/>
    <w:semiHidden/>
    <w:unhideWhenUsed/>
    <w:rsid w:val="00C87C0A"/>
    <w:pPr>
      <w:spacing w:after="120"/>
    </w:pPr>
    <w:rPr>
      <w:sz w:val="16"/>
      <w:szCs w:val="16"/>
    </w:rPr>
  </w:style>
  <w:style w:type="character" w:customStyle="1" w:styleId="BodyText3Char">
    <w:name w:val="Body Text 3 Char"/>
    <w:basedOn w:val="DefaultParagraphFont"/>
    <w:link w:val="BodyText3"/>
    <w:uiPriority w:val="99"/>
    <w:semiHidden/>
    <w:rsid w:val="00C87C0A"/>
    <w:rPr>
      <w:sz w:val="16"/>
      <w:szCs w:val="16"/>
      <w:lang w:val="fr-FR" w:eastAsia="fr-FR"/>
    </w:rPr>
  </w:style>
  <w:style w:type="table" w:styleId="MediumGrid3-Accent5">
    <w:name w:val="Medium Grid 3 Accent 5"/>
    <w:basedOn w:val="TableNormal"/>
    <w:uiPriority w:val="69"/>
    <w:rsid w:val="009C4737"/>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CommentReference">
    <w:name w:val="annotation reference"/>
    <w:basedOn w:val="DefaultParagraphFont"/>
    <w:uiPriority w:val="99"/>
    <w:semiHidden/>
    <w:unhideWhenUsed/>
    <w:rsid w:val="006E59DD"/>
    <w:rPr>
      <w:sz w:val="16"/>
      <w:szCs w:val="16"/>
    </w:rPr>
  </w:style>
  <w:style w:type="paragraph" w:styleId="CommentText">
    <w:name w:val="annotation text"/>
    <w:basedOn w:val="Normal"/>
    <w:link w:val="CommentTextChar"/>
    <w:uiPriority w:val="99"/>
    <w:semiHidden/>
    <w:unhideWhenUsed/>
    <w:rsid w:val="006E59DD"/>
    <w:rPr>
      <w:sz w:val="20"/>
      <w:szCs w:val="20"/>
    </w:rPr>
  </w:style>
  <w:style w:type="character" w:customStyle="1" w:styleId="CommentTextChar">
    <w:name w:val="Comment Text Char"/>
    <w:basedOn w:val="DefaultParagraphFont"/>
    <w:link w:val="CommentText"/>
    <w:uiPriority w:val="99"/>
    <w:semiHidden/>
    <w:rsid w:val="006E59DD"/>
    <w:rPr>
      <w:lang w:val="fr-FR" w:eastAsia="fr-FR"/>
    </w:rPr>
  </w:style>
  <w:style w:type="paragraph" w:styleId="CommentSubject">
    <w:name w:val="annotation subject"/>
    <w:basedOn w:val="CommentText"/>
    <w:next w:val="CommentText"/>
    <w:link w:val="CommentSubjectChar"/>
    <w:uiPriority w:val="99"/>
    <w:semiHidden/>
    <w:unhideWhenUsed/>
    <w:rsid w:val="006E59DD"/>
    <w:rPr>
      <w:b/>
      <w:bCs/>
    </w:rPr>
  </w:style>
  <w:style w:type="character" w:customStyle="1" w:styleId="CommentSubjectChar">
    <w:name w:val="Comment Subject Char"/>
    <w:basedOn w:val="CommentTextChar"/>
    <w:link w:val="CommentSubject"/>
    <w:uiPriority w:val="99"/>
    <w:semiHidden/>
    <w:rsid w:val="006E59DD"/>
    <w:rPr>
      <w:b/>
      <w:bCs/>
      <w:lang w:val="fr-FR" w:eastAsia="fr-FR"/>
    </w:rPr>
  </w:style>
  <w:style w:type="paragraph" w:styleId="Subtitle">
    <w:name w:val="Subtitle"/>
    <w:basedOn w:val="Normal"/>
    <w:next w:val="Normal"/>
    <w:link w:val="SubtitleChar"/>
    <w:qFormat/>
    <w:locked/>
    <w:rsid w:val="00AC08E7"/>
    <w:pPr>
      <w:numPr>
        <w:ilvl w:val="1"/>
      </w:numPr>
    </w:pPr>
    <w:rPr>
      <w:rFonts w:eastAsiaTheme="majorEastAsia" w:cstheme="majorBidi"/>
      <w:b/>
      <w:iCs/>
      <w:spacing w:val="15"/>
    </w:rPr>
  </w:style>
  <w:style w:type="character" w:customStyle="1" w:styleId="SubtitleChar">
    <w:name w:val="Subtitle Char"/>
    <w:basedOn w:val="DefaultParagraphFont"/>
    <w:link w:val="Subtitle"/>
    <w:rsid w:val="00AC08E7"/>
    <w:rPr>
      <w:rFonts w:eastAsiaTheme="majorEastAsia" w:cstheme="majorBidi"/>
      <w:b/>
      <w:iCs/>
      <w:spacing w:val="15"/>
      <w:sz w:val="24"/>
      <w:szCs w:val="24"/>
      <w:lang w:val="fr-FR" w:eastAsia="fr-FR"/>
    </w:rPr>
  </w:style>
  <w:style w:type="paragraph" w:styleId="TOCHeading">
    <w:name w:val="TOC Heading"/>
    <w:basedOn w:val="Heading1"/>
    <w:next w:val="Normal"/>
    <w:uiPriority w:val="39"/>
    <w:semiHidden/>
    <w:unhideWhenUsed/>
    <w:qFormat/>
    <w:rsid w:val="00AC08E7"/>
    <w:pPr>
      <w:keepLines/>
      <w:spacing w:before="480" w:line="276" w:lineRule="auto"/>
      <w:ind w:left="0"/>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locked/>
    <w:rsid w:val="00AC08E7"/>
    <w:pPr>
      <w:spacing w:after="100"/>
    </w:pPr>
  </w:style>
  <w:style w:type="table" w:styleId="TableGrid">
    <w:name w:val="Table Grid"/>
    <w:basedOn w:val="TableNormal"/>
    <w:locked/>
    <w:rsid w:val="00353B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567677">
      <w:bodyDiv w:val="1"/>
      <w:marLeft w:val="0"/>
      <w:marRight w:val="0"/>
      <w:marTop w:val="0"/>
      <w:marBottom w:val="0"/>
      <w:divBdr>
        <w:top w:val="none" w:sz="0" w:space="0" w:color="auto"/>
        <w:left w:val="none" w:sz="0" w:space="0" w:color="auto"/>
        <w:bottom w:val="none" w:sz="0" w:space="0" w:color="auto"/>
        <w:right w:val="none" w:sz="0" w:space="0" w:color="auto"/>
      </w:divBdr>
    </w:div>
    <w:div w:id="1698316150">
      <w:bodyDiv w:val="1"/>
      <w:marLeft w:val="0"/>
      <w:marRight w:val="0"/>
      <w:marTop w:val="0"/>
      <w:marBottom w:val="0"/>
      <w:divBdr>
        <w:top w:val="none" w:sz="0" w:space="0" w:color="auto"/>
        <w:left w:val="none" w:sz="0" w:space="0" w:color="auto"/>
        <w:bottom w:val="none" w:sz="0" w:space="0" w:color="auto"/>
        <w:right w:val="none" w:sz="0" w:space="0" w:color="auto"/>
      </w:divBdr>
    </w:div>
    <w:div w:id="198647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jdubois\Desktop\Unicef\PBF%20ex%20Kal&#233;ah\Rapport%20Annuel%202013%20Projet%20Ex-Kalea.docx" TargetMode="Externa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gfrederic@unicef.org" TargetMode="External"/><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mdtf.undp.org/" TargetMode="External"/><Relationship Id="rId1" Type="http://schemas.openxmlformats.org/officeDocument/2006/relationships/hyperlink" Target="http://mdtf.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AFC7E-06EC-419B-9ACC-1B6AE7886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6648</Words>
  <Characters>36373</Characters>
  <Application>Microsoft Office Word</Application>
  <DocSecurity>4</DocSecurity>
  <Lines>303</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Partie E-TEMPLATE 4.4</vt:lpstr>
      <vt:lpstr>Partie E-TEMPLATE 4.4</vt:lpstr>
    </vt:vector>
  </TitlesOfParts>
  <Company>UNICEF</Company>
  <LinksUpToDate>false</LinksUpToDate>
  <CharactersWithSpaces>42936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Partie E-TEMPLATE 4.4</dc:title>
  <dc:creator>Julie Dubois</dc:creator>
  <cp:lastModifiedBy>Mitsy Jean-Louis</cp:lastModifiedBy>
  <cp:revision>2</cp:revision>
  <dcterms:created xsi:type="dcterms:W3CDTF">2014-03-28T15:38:00Z</dcterms:created>
  <dcterms:modified xsi:type="dcterms:W3CDTF">2014-03-28T15:38:00Z</dcterms:modified>
</cp:coreProperties>
</file>