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130BF" w14:textId="77777777" w:rsidR="00CF6D08" w:rsidRPr="00EE50E9" w:rsidRDefault="00086C0F">
      <w:pPr>
        <w:rPr>
          <w:b/>
        </w:rPr>
      </w:pPr>
      <w:bookmarkStart w:id="0" w:name="_GoBack"/>
      <w:bookmarkEnd w:id="0"/>
      <w:r>
        <w:rPr>
          <w:rFonts w:ascii="Arial" w:hAnsi="Arial"/>
          <w:noProof/>
          <w:spacing w:val="-3"/>
          <w:sz w:val="20"/>
          <w:lang w:val="en-US" w:eastAsia="en-US"/>
        </w:rPr>
        <w:drawing>
          <wp:anchor distT="0" distB="0" distL="114300" distR="114300" simplePos="0" relativeHeight="251658240" behindDoc="0" locked="0" layoutInCell="1" allowOverlap="1" wp14:anchorId="0B8FA3A4" wp14:editId="20857331">
            <wp:simplePos x="0" y="0"/>
            <wp:positionH relativeFrom="column">
              <wp:posOffset>4114800</wp:posOffset>
            </wp:positionH>
            <wp:positionV relativeFrom="paragraph">
              <wp:posOffset>-114300</wp:posOffset>
            </wp:positionV>
            <wp:extent cx="1437005" cy="1099185"/>
            <wp:effectExtent l="0" t="0" r="10795" b="0"/>
            <wp:wrapThrough wrapText="bothSides">
              <wp:wrapPolygon edited="0">
                <wp:start x="0" y="0"/>
                <wp:lineTo x="0" y="20964"/>
                <wp:lineTo x="21380" y="20964"/>
                <wp:lineTo x="21380" y="0"/>
                <wp:lineTo x="0" y="0"/>
              </wp:wrapPolygon>
            </wp:wrapThrough>
            <wp:docPr id="3" name="Picture 3" descr="PBF_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_trian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00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pacing w:val="-3"/>
          <w:sz w:val="20"/>
          <w:lang w:val="en-US" w:eastAsia="en-US"/>
        </w:rPr>
        <w:drawing>
          <wp:anchor distT="0" distB="0" distL="114300" distR="114300" simplePos="0" relativeHeight="251659264" behindDoc="0" locked="0" layoutInCell="1" allowOverlap="1" wp14:anchorId="3AA0E383" wp14:editId="4944E1B8">
            <wp:simplePos x="0" y="0"/>
            <wp:positionH relativeFrom="column">
              <wp:posOffset>114300</wp:posOffset>
            </wp:positionH>
            <wp:positionV relativeFrom="paragraph">
              <wp:posOffset>114300</wp:posOffset>
            </wp:positionV>
            <wp:extent cx="1460500" cy="609600"/>
            <wp:effectExtent l="0" t="0" r="12700" b="0"/>
            <wp:wrapSquare wrapText="bothSides"/>
            <wp:docPr id="6" name="Picture 6" descr="PBSO Logo English _small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BSO Logo English _smaller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F6D08" w:rsidRPr="00EE50E9">
        <w:tab/>
      </w:r>
      <w:r w:rsidR="00CF6D08" w:rsidRPr="00EE50E9">
        <w:tab/>
      </w:r>
      <w:r w:rsidR="00CF6D08" w:rsidRPr="00EE50E9">
        <w:tab/>
      </w:r>
      <w:r w:rsidR="00CF6D08" w:rsidRPr="00EE50E9">
        <w:tab/>
      </w:r>
      <w:r w:rsidR="00CF6D08" w:rsidRPr="00EE50E9">
        <w:tab/>
      </w:r>
      <w:r w:rsidR="00CF6D08" w:rsidRPr="00EE50E9">
        <w:tab/>
      </w:r>
      <w:r w:rsidR="00CF6D08" w:rsidRPr="00EE50E9">
        <w:tab/>
      </w:r>
      <w:r w:rsidR="00CF6D08" w:rsidRPr="00EE50E9">
        <w:tab/>
      </w:r>
      <w:r w:rsidR="00CF6D08" w:rsidRPr="00EE50E9">
        <w:tab/>
      </w:r>
    </w:p>
    <w:p w14:paraId="5437B094" w14:textId="050A3479" w:rsidR="00CF6D08" w:rsidRPr="00EE50E9" w:rsidRDefault="00C0444B" w:rsidP="00913BF5">
      <w:pPr>
        <w:numPr>
          <w:ilvl w:val="12"/>
          <w:numId w:val="0"/>
        </w:numPr>
        <w:tabs>
          <w:tab w:val="left" w:pos="0"/>
        </w:tabs>
        <w:suppressAutoHyphens/>
        <w:jc w:val="center"/>
        <w:rPr>
          <w:b/>
          <w:bCs/>
          <w:spacing w:val="-3"/>
        </w:rPr>
      </w:pPr>
      <w:r>
        <w:rPr>
          <w:noProof/>
          <w:lang w:val="en-US" w:eastAsia="en-US"/>
        </w:rPr>
        <w:drawing>
          <wp:inline distT="0" distB="0" distL="0" distR="0" wp14:anchorId="738BAF2A" wp14:editId="50CBDAB7">
            <wp:extent cx="1625600" cy="1052195"/>
            <wp:effectExtent l="0" t="0" r="0" b="0"/>
            <wp:docPr id="1" name="Image 1" descr="F:\LOGOS PBF\Logo PBF rectangle sans nom.jpg"/>
            <wp:cNvGraphicFramePr/>
            <a:graphic xmlns:a="http://schemas.openxmlformats.org/drawingml/2006/main">
              <a:graphicData uri="http://schemas.openxmlformats.org/drawingml/2006/picture">
                <pic:pic xmlns:pic="http://schemas.openxmlformats.org/drawingml/2006/picture">
                  <pic:nvPicPr>
                    <pic:cNvPr id="3" name="Image 3" descr="F:\LOGOS PBF\Logo PBF rectangle sans nom.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0" cy="1052195"/>
                    </a:xfrm>
                    <a:prstGeom prst="rect">
                      <a:avLst/>
                    </a:prstGeom>
                    <a:noFill/>
                    <a:ln>
                      <a:noFill/>
                    </a:ln>
                  </pic:spPr>
                </pic:pic>
              </a:graphicData>
            </a:graphic>
          </wp:inline>
        </w:drawing>
      </w:r>
    </w:p>
    <w:p w14:paraId="777E0983" w14:textId="77777777" w:rsidR="00086C0F" w:rsidRDefault="00086C0F" w:rsidP="00086C0F">
      <w:pPr>
        <w:rPr>
          <w:b/>
          <w:bCs/>
          <w:sz w:val="28"/>
          <w:szCs w:val="28"/>
        </w:rPr>
      </w:pPr>
    </w:p>
    <w:p w14:paraId="393FD389" w14:textId="77777777" w:rsidR="00086C0F" w:rsidRDefault="00086C0F" w:rsidP="00913BF5">
      <w:pPr>
        <w:jc w:val="center"/>
        <w:rPr>
          <w:b/>
          <w:bCs/>
          <w:sz w:val="28"/>
          <w:szCs w:val="28"/>
        </w:rPr>
      </w:pPr>
    </w:p>
    <w:p w14:paraId="60A30CCE" w14:textId="77777777" w:rsidR="00086C0F" w:rsidRDefault="00086C0F" w:rsidP="00086C0F">
      <w:pPr>
        <w:rPr>
          <w:b/>
          <w:bCs/>
          <w:sz w:val="28"/>
          <w:szCs w:val="28"/>
        </w:rPr>
      </w:pPr>
      <w:r>
        <w:rPr>
          <w:b/>
          <w:bCs/>
          <w:sz w:val="28"/>
          <w:szCs w:val="28"/>
        </w:rPr>
        <w:t xml:space="preserve">   </w:t>
      </w:r>
    </w:p>
    <w:p w14:paraId="6A2F1319" w14:textId="77777777" w:rsidR="00CF6D08" w:rsidRPr="00EE50E9" w:rsidRDefault="00086C0F" w:rsidP="00086C0F">
      <w:pPr>
        <w:jc w:val="center"/>
        <w:rPr>
          <w:b/>
          <w:sz w:val="22"/>
          <w:szCs w:val="22"/>
        </w:rPr>
      </w:pPr>
      <w:r>
        <w:rPr>
          <w:b/>
          <w:bCs/>
          <w:sz w:val="28"/>
          <w:szCs w:val="28"/>
        </w:rPr>
        <w:t xml:space="preserve">PAYS : REPUBLIQUE DE GUINEE </w:t>
      </w:r>
    </w:p>
    <w:p w14:paraId="2AFCA53D" w14:textId="77777777" w:rsidR="00CF6D08" w:rsidRPr="00EE50E9" w:rsidRDefault="00CF6D08" w:rsidP="00913BF5">
      <w:pPr>
        <w:jc w:val="center"/>
        <w:rPr>
          <w:b/>
          <w:sz w:val="22"/>
          <w:szCs w:val="22"/>
        </w:rPr>
      </w:pPr>
    </w:p>
    <w:p w14:paraId="395BD201" w14:textId="77777777" w:rsidR="00CF6D08" w:rsidRPr="00153116" w:rsidRDefault="00086C0F" w:rsidP="00913BF5">
      <w:pPr>
        <w:jc w:val="center"/>
        <w:rPr>
          <w:b/>
        </w:rPr>
      </w:pPr>
      <w:r w:rsidRPr="00153116">
        <w:rPr>
          <w:b/>
        </w:rPr>
        <w:t xml:space="preserve">RAPPORT SEMESTRIEL </w:t>
      </w:r>
      <w:r w:rsidR="00177B1B" w:rsidRPr="00153116">
        <w:rPr>
          <w:b/>
        </w:rPr>
        <w:t>PROGRAMME CONJOINT DE PREVENTION ET REPONSE AUX VIOLENCES BASEES SUR LE GENRE EN GUINEE</w:t>
      </w:r>
    </w:p>
    <w:p w14:paraId="129436B9" w14:textId="77777777" w:rsidR="00CF6D08" w:rsidRPr="00EE50E9" w:rsidRDefault="00CF6D08" w:rsidP="00913BF5">
      <w:pPr>
        <w:jc w:val="center"/>
        <w:rPr>
          <w:b/>
          <w:sz w:val="22"/>
          <w:szCs w:val="22"/>
        </w:rPr>
      </w:pPr>
    </w:p>
    <w:p w14:paraId="5B042030" w14:textId="77777777" w:rsidR="00CF6D08" w:rsidRPr="00153116" w:rsidRDefault="00CF6D08" w:rsidP="00913BF5">
      <w:pPr>
        <w:jc w:val="center"/>
        <w:rPr>
          <w:b/>
        </w:rPr>
      </w:pPr>
      <w:r w:rsidRPr="00153116">
        <w:rPr>
          <w:b/>
        </w:rPr>
        <w:t>POUR LA PERIODE</w:t>
      </w:r>
      <w:r w:rsidR="00177B1B" w:rsidRPr="00153116">
        <w:rPr>
          <w:b/>
        </w:rPr>
        <w:t xml:space="preserve"> </w:t>
      </w:r>
      <w:r w:rsidRPr="00153116">
        <w:rPr>
          <w:b/>
          <w:u w:val="single"/>
        </w:rPr>
        <w:t>JANVIER- JUIN 20</w:t>
      </w:r>
      <w:r w:rsidR="00177B1B" w:rsidRPr="00153116">
        <w:rPr>
          <w:b/>
          <w:u w:val="single"/>
        </w:rPr>
        <w:t>1</w:t>
      </w:r>
      <w:r w:rsidR="008D4570" w:rsidRPr="00153116">
        <w:rPr>
          <w:b/>
          <w:u w:val="single"/>
        </w:rPr>
        <w:t>4</w:t>
      </w:r>
    </w:p>
    <w:p w14:paraId="4853A821" w14:textId="77777777" w:rsidR="00CF6D08" w:rsidRPr="00EE50E9" w:rsidRDefault="00CF6D08" w:rsidP="00913BF5">
      <w:pPr>
        <w:jc w:val="center"/>
        <w:rPr>
          <w:b/>
          <w:sz w:val="22"/>
          <w:szCs w:val="22"/>
        </w:rPr>
      </w:pP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55"/>
        <w:gridCol w:w="2880"/>
        <w:gridCol w:w="2340"/>
      </w:tblGrid>
      <w:tr w:rsidR="00CF6D08" w:rsidRPr="00EE50E9" w14:paraId="74895F50" w14:textId="77777777" w:rsidTr="00CA7429">
        <w:trPr>
          <w:trHeight w:val="620"/>
        </w:trPr>
        <w:tc>
          <w:tcPr>
            <w:tcW w:w="2835" w:type="dxa"/>
            <w:shd w:val="clear" w:color="auto" w:fill="E6E6E6"/>
            <w:vAlign w:val="center"/>
          </w:tcPr>
          <w:p w14:paraId="4C65D9E5" w14:textId="77777777" w:rsidR="00CF6D08" w:rsidRPr="00EE50E9" w:rsidRDefault="00715D98" w:rsidP="00715D98">
            <w:pPr>
              <w:rPr>
                <w:b/>
              </w:rPr>
            </w:pPr>
            <w:r>
              <w:rPr>
                <w:b/>
                <w:sz w:val="22"/>
                <w:szCs w:val="22"/>
              </w:rPr>
              <w:t>Numéro du projet et titre</w:t>
            </w:r>
            <w:r w:rsidR="00CF6D08" w:rsidRPr="00EE50E9">
              <w:rPr>
                <w:b/>
                <w:sz w:val="22"/>
                <w:szCs w:val="22"/>
              </w:rPr>
              <w:t xml:space="preserve"> </w:t>
            </w:r>
          </w:p>
        </w:tc>
        <w:tc>
          <w:tcPr>
            <w:tcW w:w="7475" w:type="dxa"/>
            <w:gridSpan w:val="3"/>
            <w:shd w:val="clear" w:color="auto" w:fill="FFFFFF"/>
          </w:tcPr>
          <w:p w14:paraId="7A651335" w14:textId="77777777" w:rsidR="00CF6D08" w:rsidRPr="005326BC" w:rsidRDefault="00CF6D08" w:rsidP="00913BF5">
            <w:pPr>
              <w:rPr>
                <w:b/>
              </w:rPr>
            </w:pPr>
          </w:p>
          <w:p w14:paraId="344A1C97" w14:textId="77777777" w:rsidR="00CF6D08" w:rsidRDefault="00CF6D08" w:rsidP="003E2EE9">
            <w:pPr>
              <w:jc w:val="center"/>
              <w:rPr>
                <w:b/>
              </w:rPr>
            </w:pPr>
            <w:r w:rsidRPr="005326BC">
              <w:rPr>
                <w:b/>
              </w:rPr>
              <w:t>PBF/</w:t>
            </w:r>
            <w:r w:rsidR="00177B1B" w:rsidRPr="005326BC">
              <w:rPr>
                <w:b/>
              </w:rPr>
              <w:t>IRF</w:t>
            </w:r>
            <w:r w:rsidRPr="005326BC">
              <w:rPr>
                <w:b/>
              </w:rPr>
              <w:t>/</w:t>
            </w:r>
            <w:r w:rsidR="00177B1B" w:rsidRPr="005326BC">
              <w:rPr>
                <w:b/>
              </w:rPr>
              <w:t>52</w:t>
            </w:r>
            <w:r w:rsidR="00715D98" w:rsidRPr="005326BC">
              <w:rPr>
                <w:b/>
              </w:rPr>
              <w:t xml:space="preserve"> – Programme Conjoint de Prévention et Réponse aux Violences basées sur le Genre en Guinée</w:t>
            </w:r>
          </w:p>
          <w:p w14:paraId="129EE379" w14:textId="77777777" w:rsidR="0095686F" w:rsidRPr="005326BC" w:rsidRDefault="0095686F" w:rsidP="003E2EE9">
            <w:pPr>
              <w:jc w:val="center"/>
              <w:rPr>
                <w:b/>
              </w:rPr>
            </w:pPr>
          </w:p>
        </w:tc>
      </w:tr>
      <w:tr w:rsidR="00CF6D08" w:rsidRPr="00EE50E9" w14:paraId="5334249B" w14:textId="77777777" w:rsidTr="00CA7429">
        <w:trPr>
          <w:trHeight w:val="436"/>
        </w:trPr>
        <w:tc>
          <w:tcPr>
            <w:tcW w:w="2835" w:type="dxa"/>
            <w:shd w:val="clear" w:color="auto" w:fill="E6E6E6"/>
            <w:vAlign w:val="center"/>
          </w:tcPr>
          <w:p w14:paraId="551A6F68" w14:textId="77777777" w:rsidR="00CF6D08" w:rsidRPr="00EE50E9" w:rsidRDefault="00CF6D08" w:rsidP="00031555">
            <w:r w:rsidRPr="00EE50E9">
              <w:rPr>
                <w:b/>
                <w:sz w:val="22"/>
                <w:szCs w:val="22"/>
              </w:rPr>
              <w:t xml:space="preserve">Organe(s) bénéficiaire(s):  </w:t>
            </w:r>
          </w:p>
        </w:tc>
        <w:tc>
          <w:tcPr>
            <w:tcW w:w="7475" w:type="dxa"/>
            <w:gridSpan w:val="3"/>
            <w:vAlign w:val="center"/>
          </w:tcPr>
          <w:p w14:paraId="7230BF9F" w14:textId="77777777" w:rsidR="00CF6D08" w:rsidRPr="00EE50E9" w:rsidRDefault="00177B1B" w:rsidP="00913BF5">
            <w:r>
              <w:t>UNFPA, UNICEF, PNUD</w:t>
            </w:r>
          </w:p>
        </w:tc>
      </w:tr>
      <w:tr w:rsidR="00CF6D08" w:rsidRPr="00EE50E9" w14:paraId="365E34AF" w14:textId="77777777" w:rsidTr="00CA7429">
        <w:trPr>
          <w:trHeight w:val="375"/>
        </w:trPr>
        <w:tc>
          <w:tcPr>
            <w:tcW w:w="2835" w:type="dxa"/>
            <w:shd w:val="clear" w:color="auto" w:fill="E6E6E6"/>
            <w:vAlign w:val="center"/>
          </w:tcPr>
          <w:p w14:paraId="126D333D" w14:textId="77777777" w:rsidR="00CF6D08" w:rsidRPr="00EE50E9" w:rsidRDefault="00CF6D08" w:rsidP="00913BF5">
            <w:pPr>
              <w:rPr>
                <w:bCs/>
              </w:rPr>
            </w:pPr>
            <w:r w:rsidRPr="00EE50E9">
              <w:rPr>
                <w:b/>
                <w:sz w:val="22"/>
                <w:szCs w:val="22"/>
              </w:rPr>
              <w:t>Partenaires d’exécution (gouvernement, institutions de l’ONU, ONG, etc.)</w:t>
            </w:r>
          </w:p>
        </w:tc>
        <w:tc>
          <w:tcPr>
            <w:tcW w:w="7475" w:type="dxa"/>
            <w:gridSpan w:val="3"/>
            <w:vAlign w:val="center"/>
          </w:tcPr>
          <w:p w14:paraId="02537857" w14:textId="77777777" w:rsidR="00770B2D" w:rsidRDefault="00770B2D" w:rsidP="00770B2D">
            <w:pPr>
              <w:pStyle w:val="BodyText"/>
              <w:spacing w:after="0"/>
              <w:ind w:left="374"/>
              <w:rPr>
                <w:bCs/>
                <w:iCs/>
                <w:snapToGrid w:val="0"/>
                <w:lang w:val="fr-FR"/>
              </w:rPr>
            </w:pPr>
          </w:p>
          <w:p w14:paraId="573C5887" w14:textId="77777777" w:rsidR="008D4570" w:rsidRPr="00E97538" w:rsidRDefault="008D4570" w:rsidP="008D4570">
            <w:pPr>
              <w:pStyle w:val="BodyText"/>
              <w:numPr>
                <w:ilvl w:val="0"/>
                <w:numId w:val="3"/>
              </w:numPr>
              <w:spacing w:after="0"/>
              <w:ind w:left="374" w:hanging="357"/>
              <w:rPr>
                <w:bCs/>
                <w:iCs/>
                <w:snapToGrid w:val="0"/>
                <w:lang w:val="fr-FR"/>
              </w:rPr>
            </w:pPr>
            <w:r>
              <w:rPr>
                <w:bCs/>
                <w:iCs/>
                <w:snapToGrid w:val="0"/>
                <w:lang w:val="fr-FR"/>
              </w:rPr>
              <w:t>Ministère de l’Action</w:t>
            </w:r>
            <w:r w:rsidRPr="00E97538">
              <w:rPr>
                <w:bCs/>
                <w:iCs/>
                <w:snapToGrid w:val="0"/>
                <w:lang w:val="fr-FR"/>
              </w:rPr>
              <w:t xml:space="preserve"> Sociale, de la Promotion Féminine et de l’Enfance</w:t>
            </w:r>
          </w:p>
          <w:p w14:paraId="411D125B" w14:textId="77777777" w:rsidR="008D4570" w:rsidRPr="00E97538" w:rsidRDefault="008D4570" w:rsidP="008D4570">
            <w:pPr>
              <w:pStyle w:val="BodyText"/>
              <w:numPr>
                <w:ilvl w:val="0"/>
                <w:numId w:val="3"/>
              </w:numPr>
              <w:spacing w:after="0"/>
              <w:ind w:left="374" w:hanging="357"/>
              <w:rPr>
                <w:bCs/>
                <w:iCs/>
                <w:snapToGrid w:val="0"/>
                <w:lang w:val="fr-FR"/>
              </w:rPr>
            </w:pPr>
            <w:r w:rsidRPr="00E97538">
              <w:rPr>
                <w:bCs/>
                <w:iCs/>
                <w:snapToGrid w:val="0"/>
                <w:lang w:val="fr-FR"/>
              </w:rPr>
              <w:t>Ministère de la Défense Nationale</w:t>
            </w:r>
          </w:p>
          <w:p w14:paraId="1355F957" w14:textId="77777777" w:rsidR="008D4570" w:rsidRDefault="008D4570" w:rsidP="008D4570">
            <w:pPr>
              <w:pStyle w:val="BodyText"/>
              <w:numPr>
                <w:ilvl w:val="0"/>
                <w:numId w:val="3"/>
              </w:numPr>
              <w:spacing w:after="0"/>
              <w:ind w:left="374" w:hanging="357"/>
              <w:rPr>
                <w:bCs/>
                <w:iCs/>
                <w:snapToGrid w:val="0"/>
                <w:lang w:val="fr-FR"/>
              </w:rPr>
            </w:pPr>
            <w:r w:rsidRPr="00E97538">
              <w:rPr>
                <w:bCs/>
                <w:iCs/>
                <w:snapToGrid w:val="0"/>
                <w:lang w:val="fr-FR"/>
              </w:rPr>
              <w:t>Ministère de la Sécurité et de la Protection Civile</w:t>
            </w:r>
            <w:r>
              <w:rPr>
                <w:bCs/>
                <w:iCs/>
                <w:snapToGrid w:val="0"/>
                <w:lang w:val="fr-FR"/>
              </w:rPr>
              <w:t xml:space="preserve"> (OPROGEM)</w:t>
            </w:r>
          </w:p>
          <w:p w14:paraId="644B2EA2" w14:textId="77777777" w:rsidR="008D4570" w:rsidRPr="00E97538" w:rsidRDefault="008D4570" w:rsidP="008D4570">
            <w:pPr>
              <w:pStyle w:val="BodyText"/>
              <w:numPr>
                <w:ilvl w:val="0"/>
                <w:numId w:val="3"/>
              </w:numPr>
              <w:spacing w:after="0"/>
              <w:ind w:left="374" w:hanging="357"/>
              <w:rPr>
                <w:bCs/>
                <w:iCs/>
                <w:snapToGrid w:val="0"/>
                <w:lang w:val="fr-FR"/>
              </w:rPr>
            </w:pPr>
            <w:r>
              <w:rPr>
                <w:bCs/>
                <w:iCs/>
                <w:snapToGrid w:val="0"/>
                <w:lang w:val="fr-FR"/>
              </w:rPr>
              <w:t>Ministère de la Justice</w:t>
            </w:r>
          </w:p>
          <w:p w14:paraId="3348E740" w14:textId="77777777" w:rsidR="00CF6D08" w:rsidRDefault="008D4570" w:rsidP="008D4570">
            <w:pPr>
              <w:pStyle w:val="BodyText"/>
              <w:spacing w:after="0"/>
              <w:ind w:left="374"/>
              <w:rPr>
                <w:bCs/>
                <w:iCs/>
                <w:snapToGrid w:val="0"/>
                <w:color w:val="000000"/>
                <w:szCs w:val="28"/>
                <w:lang w:val="fr-FR"/>
              </w:rPr>
            </w:pPr>
            <w:r w:rsidRPr="00E97538">
              <w:rPr>
                <w:bCs/>
                <w:iCs/>
                <w:snapToGrid w:val="0"/>
                <w:lang w:val="fr-FR"/>
              </w:rPr>
              <w:t>Organisations de la Société civile</w:t>
            </w:r>
            <w:r>
              <w:rPr>
                <w:bCs/>
                <w:iCs/>
                <w:snapToGrid w:val="0"/>
                <w:lang w:val="fr-FR"/>
              </w:rPr>
              <w:t> : AGIAS, TOSTAN</w:t>
            </w:r>
            <w:r>
              <w:rPr>
                <w:bCs/>
                <w:iCs/>
                <w:snapToGrid w:val="0"/>
                <w:color w:val="000000"/>
                <w:szCs w:val="28"/>
                <w:lang w:val="fr-FR"/>
              </w:rPr>
              <w:t xml:space="preserve">, IBCR, </w:t>
            </w:r>
            <w:r w:rsidRPr="0094231F">
              <w:rPr>
                <w:bCs/>
                <w:iCs/>
                <w:snapToGrid w:val="0"/>
                <w:color w:val="000000"/>
                <w:szCs w:val="28"/>
                <w:lang w:val="fr-FR"/>
              </w:rPr>
              <w:t>JHPIEGO</w:t>
            </w:r>
            <w:r>
              <w:rPr>
                <w:bCs/>
                <w:iCs/>
                <w:snapToGrid w:val="0"/>
                <w:color w:val="000000"/>
                <w:szCs w:val="28"/>
                <w:lang w:val="fr-FR"/>
              </w:rPr>
              <w:t>, SABOU</w:t>
            </w:r>
          </w:p>
          <w:p w14:paraId="0EDC5965" w14:textId="77777777" w:rsidR="00770B2D" w:rsidRPr="00177B1B" w:rsidRDefault="00770B2D" w:rsidP="008D4570">
            <w:pPr>
              <w:pStyle w:val="BodyText"/>
              <w:spacing w:after="0"/>
              <w:ind w:left="374"/>
              <w:rPr>
                <w:bCs/>
                <w:iCs/>
                <w:color w:val="000000"/>
                <w:szCs w:val="22"/>
                <w:lang w:val="fr-FR"/>
              </w:rPr>
            </w:pPr>
          </w:p>
        </w:tc>
      </w:tr>
      <w:tr w:rsidR="00CF6D08" w:rsidRPr="00EE50E9" w14:paraId="330A7531" w14:textId="77777777" w:rsidTr="00CA7429">
        <w:trPr>
          <w:trHeight w:val="375"/>
        </w:trPr>
        <w:tc>
          <w:tcPr>
            <w:tcW w:w="2835" w:type="dxa"/>
            <w:shd w:val="clear" w:color="auto" w:fill="E6E6E6"/>
            <w:vAlign w:val="center"/>
          </w:tcPr>
          <w:p w14:paraId="5717F1DE" w14:textId="77777777" w:rsidR="00CF6D08" w:rsidRPr="00EE50E9" w:rsidRDefault="00CF6D08" w:rsidP="00913BF5">
            <w:pPr>
              <w:rPr>
                <w:b/>
              </w:rPr>
            </w:pPr>
            <w:r w:rsidRPr="00EE50E9">
              <w:rPr>
                <w:b/>
                <w:sz w:val="22"/>
                <w:szCs w:val="22"/>
              </w:rPr>
              <w:t>Site:</w:t>
            </w:r>
          </w:p>
        </w:tc>
        <w:tc>
          <w:tcPr>
            <w:tcW w:w="7475" w:type="dxa"/>
            <w:gridSpan w:val="3"/>
            <w:vAlign w:val="center"/>
          </w:tcPr>
          <w:p w14:paraId="4CA6B8C0" w14:textId="77777777" w:rsidR="00CF6D08" w:rsidRPr="00EE50E9" w:rsidRDefault="00177B1B" w:rsidP="00913BF5">
            <w:r w:rsidRPr="006B7EF4">
              <w:rPr>
                <w:bCs/>
                <w:iCs/>
                <w:sz w:val="22"/>
                <w:szCs w:val="22"/>
                <w:lang w:eastAsia="en-US"/>
              </w:rPr>
              <w:t>Guinée (Conakry, Labé, N’Nzérékoré, Kankan, Mamou)</w:t>
            </w:r>
          </w:p>
        </w:tc>
      </w:tr>
      <w:tr w:rsidR="00CF6D08" w:rsidRPr="00EE50E9" w14:paraId="3EBA8310" w14:textId="77777777" w:rsidTr="00CA7429">
        <w:trPr>
          <w:trHeight w:val="375"/>
        </w:trPr>
        <w:tc>
          <w:tcPr>
            <w:tcW w:w="2835" w:type="dxa"/>
            <w:shd w:val="clear" w:color="auto" w:fill="E6E6E6"/>
          </w:tcPr>
          <w:p w14:paraId="333EB1AB" w14:textId="77777777" w:rsidR="00CF6D08" w:rsidRPr="00EE50E9" w:rsidRDefault="00CF6D08" w:rsidP="00031555">
            <w:pPr>
              <w:rPr>
                <w:b/>
              </w:rPr>
            </w:pPr>
            <w:r w:rsidRPr="00EE50E9">
              <w:rPr>
                <w:b/>
                <w:sz w:val="22"/>
                <w:szCs w:val="22"/>
              </w:rPr>
              <w:t>Budget total approuvé</w:t>
            </w:r>
          </w:p>
        </w:tc>
        <w:tc>
          <w:tcPr>
            <w:tcW w:w="7475" w:type="dxa"/>
            <w:gridSpan w:val="3"/>
            <w:vAlign w:val="center"/>
          </w:tcPr>
          <w:p w14:paraId="0732B0EF" w14:textId="77777777" w:rsidR="00CF6D08" w:rsidRPr="00EE50E9" w:rsidRDefault="00A624E6" w:rsidP="00913BF5">
            <w:r>
              <w:t>1</w:t>
            </w:r>
            <w:proofErr w:type="gramStart"/>
            <w:r>
              <w:t>,</w:t>
            </w:r>
            <w:r w:rsidR="00177B1B">
              <w:t>000,000</w:t>
            </w:r>
            <w:proofErr w:type="gramEnd"/>
            <w:r w:rsidR="00177B1B">
              <w:t xml:space="preserve"> USD</w:t>
            </w:r>
          </w:p>
        </w:tc>
      </w:tr>
      <w:tr w:rsidR="00CF6D08" w:rsidRPr="00EE50E9" w14:paraId="2D69A8DC" w14:textId="77777777" w:rsidTr="00CA7429">
        <w:trPr>
          <w:trHeight w:val="375"/>
        </w:trPr>
        <w:tc>
          <w:tcPr>
            <w:tcW w:w="2835" w:type="dxa"/>
            <w:shd w:val="clear" w:color="auto" w:fill="E6E6E6"/>
          </w:tcPr>
          <w:p w14:paraId="1442C62C" w14:textId="77777777" w:rsidR="00CF6D08" w:rsidRPr="00EE50E9" w:rsidRDefault="00CF6D08" w:rsidP="00031555">
            <w:pPr>
              <w:rPr>
                <w:b/>
              </w:rPr>
            </w:pPr>
            <w:r w:rsidRPr="00EE50E9">
              <w:rPr>
                <w:b/>
                <w:sz w:val="22"/>
                <w:szCs w:val="22"/>
              </w:rPr>
              <w:t xml:space="preserve">Fonds engagés </w:t>
            </w:r>
          </w:p>
        </w:tc>
        <w:tc>
          <w:tcPr>
            <w:tcW w:w="2255" w:type="dxa"/>
            <w:vAlign w:val="center"/>
          </w:tcPr>
          <w:p w14:paraId="60B932CA" w14:textId="77777777" w:rsidR="00CF6D08" w:rsidRPr="0051176A" w:rsidRDefault="00966297" w:rsidP="00913BF5">
            <w:pPr>
              <w:rPr>
                <w:highlight w:val="yellow"/>
              </w:rPr>
            </w:pPr>
            <w:r w:rsidRPr="00966297">
              <w:rPr>
                <w:lang w:eastAsia="ja-JP"/>
              </w:rPr>
              <w:t>902,937 USD</w:t>
            </w:r>
          </w:p>
        </w:tc>
        <w:tc>
          <w:tcPr>
            <w:tcW w:w="2880" w:type="dxa"/>
            <w:shd w:val="pct15" w:color="auto" w:fill="auto"/>
            <w:vAlign w:val="center"/>
          </w:tcPr>
          <w:p w14:paraId="3BDE610D" w14:textId="77777777" w:rsidR="00CF6D08" w:rsidRPr="00EE50E9" w:rsidRDefault="00CF6D08" w:rsidP="00913BF5">
            <w:pPr>
              <w:rPr>
                <w:b/>
              </w:rPr>
            </w:pPr>
            <w:r w:rsidRPr="00EE50E9">
              <w:rPr>
                <w:b/>
                <w:sz w:val="22"/>
                <w:szCs w:val="22"/>
              </w:rPr>
              <w:t>% de fonds engagés / budget total approuvé:</w:t>
            </w:r>
          </w:p>
        </w:tc>
        <w:tc>
          <w:tcPr>
            <w:tcW w:w="2340" w:type="dxa"/>
            <w:vAlign w:val="center"/>
          </w:tcPr>
          <w:p w14:paraId="5D3DF840" w14:textId="77777777" w:rsidR="00CF6D08" w:rsidRPr="0051176A" w:rsidRDefault="00966297" w:rsidP="00913BF5">
            <w:pPr>
              <w:rPr>
                <w:highlight w:val="yellow"/>
              </w:rPr>
            </w:pPr>
            <w:r>
              <w:rPr>
                <w:lang w:eastAsia="ja-JP"/>
              </w:rPr>
              <w:t>90%</w:t>
            </w:r>
          </w:p>
        </w:tc>
      </w:tr>
      <w:tr w:rsidR="00CF6D08" w:rsidRPr="00EE50E9" w14:paraId="56BD93A1" w14:textId="77777777" w:rsidTr="00CA7429">
        <w:trPr>
          <w:trHeight w:val="375"/>
        </w:trPr>
        <w:tc>
          <w:tcPr>
            <w:tcW w:w="2835" w:type="dxa"/>
            <w:shd w:val="clear" w:color="auto" w:fill="E6E6E6"/>
          </w:tcPr>
          <w:p w14:paraId="497FD231" w14:textId="77777777" w:rsidR="00CF6D08" w:rsidRPr="00EE50E9" w:rsidRDefault="00CF6D08" w:rsidP="00031555">
            <w:pPr>
              <w:rPr>
                <w:b/>
              </w:rPr>
            </w:pPr>
            <w:proofErr w:type="gramStart"/>
            <w:r w:rsidRPr="00EE50E9">
              <w:rPr>
                <w:b/>
                <w:sz w:val="22"/>
                <w:szCs w:val="22"/>
              </w:rPr>
              <w:t>Dépenses</w:t>
            </w:r>
            <w:proofErr w:type="gramEnd"/>
            <w:r w:rsidRPr="00EE50E9">
              <w:rPr>
                <w:b/>
                <w:sz w:val="22"/>
                <w:szCs w:val="22"/>
              </w:rPr>
              <w:t>:</w:t>
            </w:r>
          </w:p>
        </w:tc>
        <w:tc>
          <w:tcPr>
            <w:tcW w:w="2255" w:type="dxa"/>
            <w:vAlign w:val="center"/>
          </w:tcPr>
          <w:p w14:paraId="47AF8C93" w14:textId="77777777" w:rsidR="00CF6D08" w:rsidRPr="00966297" w:rsidRDefault="00966297" w:rsidP="008D4570">
            <w:pPr>
              <w:rPr>
                <w:lang w:eastAsia="ja-JP"/>
              </w:rPr>
            </w:pPr>
            <w:r w:rsidRPr="00966297">
              <w:rPr>
                <w:lang w:eastAsia="ja-JP"/>
              </w:rPr>
              <w:t xml:space="preserve">902,937 </w:t>
            </w:r>
            <w:r w:rsidR="001055FE" w:rsidRPr="00966297">
              <w:rPr>
                <w:lang w:eastAsia="ja-JP"/>
              </w:rPr>
              <w:t>USD</w:t>
            </w:r>
          </w:p>
        </w:tc>
        <w:tc>
          <w:tcPr>
            <w:tcW w:w="2880" w:type="dxa"/>
            <w:shd w:val="pct15" w:color="auto" w:fill="auto"/>
            <w:vAlign w:val="center"/>
          </w:tcPr>
          <w:p w14:paraId="34B0B706" w14:textId="77777777" w:rsidR="00CF6D08" w:rsidRPr="00EE50E9" w:rsidRDefault="00CF6D08" w:rsidP="00913BF5">
            <w:r w:rsidRPr="00EE50E9">
              <w:rPr>
                <w:b/>
                <w:sz w:val="22"/>
                <w:szCs w:val="22"/>
              </w:rPr>
              <w:t>% de dépenses / budget total: (taux d’exécution)</w:t>
            </w:r>
          </w:p>
        </w:tc>
        <w:tc>
          <w:tcPr>
            <w:tcW w:w="2340" w:type="dxa"/>
            <w:vAlign w:val="center"/>
          </w:tcPr>
          <w:p w14:paraId="7A6A2FED" w14:textId="77777777" w:rsidR="00CF6D08" w:rsidRPr="0051176A" w:rsidRDefault="00966297" w:rsidP="00913BF5">
            <w:pPr>
              <w:rPr>
                <w:highlight w:val="yellow"/>
                <w:lang w:eastAsia="ja-JP"/>
              </w:rPr>
            </w:pPr>
            <w:r>
              <w:rPr>
                <w:lang w:eastAsia="ja-JP"/>
              </w:rPr>
              <w:t xml:space="preserve">90% </w:t>
            </w:r>
          </w:p>
        </w:tc>
      </w:tr>
      <w:tr w:rsidR="00CF6D08" w:rsidRPr="00EE50E9" w14:paraId="281A1D03" w14:textId="77777777" w:rsidTr="00CA7429">
        <w:trPr>
          <w:trHeight w:val="420"/>
        </w:trPr>
        <w:tc>
          <w:tcPr>
            <w:tcW w:w="2835" w:type="dxa"/>
            <w:shd w:val="clear" w:color="auto" w:fill="E6E6E6"/>
            <w:vAlign w:val="center"/>
          </w:tcPr>
          <w:p w14:paraId="41D55D22" w14:textId="77777777" w:rsidR="00CF6D08" w:rsidRPr="00EE50E9" w:rsidRDefault="00CF6D08" w:rsidP="00913BF5">
            <w:pPr>
              <w:rPr>
                <w:b/>
              </w:rPr>
            </w:pPr>
            <w:r w:rsidRPr="00EE50E9">
              <w:rPr>
                <w:b/>
                <w:sz w:val="22"/>
                <w:szCs w:val="22"/>
              </w:rPr>
              <w:t>Date d’approbation du projet:</w:t>
            </w:r>
          </w:p>
          <w:p w14:paraId="3162AC6E" w14:textId="77777777" w:rsidR="00CF6D08" w:rsidRPr="00EE50E9" w:rsidRDefault="00CF6D08" w:rsidP="00913BF5">
            <w:pPr>
              <w:rPr>
                <w:b/>
              </w:rPr>
            </w:pPr>
          </w:p>
        </w:tc>
        <w:tc>
          <w:tcPr>
            <w:tcW w:w="2255" w:type="dxa"/>
            <w:vAlign w:val="center"/>
          </w:tcPr>
          <w:p w14:paraId="317DD1F3" w14:textId="77777777" w:rsidR="00CF6D08" w:rsidRPr="00715D98" w:rsidRDefault="00177B1B" w:rsidP="00645394">
            <w:pPr>
              <w:rPr>
                <w:b/>
              </w:rPr>
            </w:pPr>
            <w:r w:rsidRPr="00715D98">
              <w:rPr>
                <w:lang w:eastAsia="en-US"/>
              </w:rPr>
              <w:t>08 Mai 2012</w:t>
            </w:r>
          </w:p>
        </w:tc>
        <w:tc>
          <w:tcPr>
            <w:tcW w:w="2880" w:type="dxa"/>
            <w:vMerge w:val="restart"/>
            <w:shd w:val="pct15" w:color="auto" w:fill="auto"/>
            <w:vAlign w:val="center"/>
          </w:tcPr>
          <w:p w14:paraId="42EC36E3" w14:textId="77777777" w:rsidR="00CF6D08" w:rsidRPr="00EE50E9" w:rsidRDefault="00CF6D08" w:rsidP="00913BF5">
            <w:pPr>
              <w:jc w:val="center"/>
              <w:rPr>
                <w:b/>
                <w:bCs/>
              </w:rPr>
            </w:pPr>
            <w:r w:rsidRPr="00EE50E9">
              <w:rPr>
                <w:b/>
                <w:bCs/>
                <w:sz w:val="22"/>
                <w:szCs w:val="22"/>
              </w:rPr>
              <w:t>Retard possible concernant la date de clôture opérationnelle (en nombre de mois)</w:t>
            </w:r>
          </w:p>
        </w:tc>
        <w:tc>
          <w:tcPr>
            <w:tcW w:w="2340" w:type="dxa"/>
            <w:vMerge w:val="restart"/>
            <w:vAlign w:val="center"/>
          </w:tcPr>
          <w:p w14:paraId="7B02739C" w14:textId="77777777" w:rsidR="00CF6D08" w:rsidRPr="00EE50E9" w:rsidRDefault="008D4570" w:rsidP="008D4570">
            <w:pPr>
              <w:rPr>
                <w:bCs/>
              </w:rPr>
            </w:pPr>
            <w:r>
              <w:rPr>
                <w:bCs/>
              </w:rPr>
              <w:t xml:space="preserve">Une extension sans cout de 3 mois a été </w:t>
            </w:r>
            <w:r w:rsidR="009F4CFA">
              <w:rPr>
                <w:bCs/>
              </w:rPr>
              <w:t>obtenue</w:t>
            </w:r>
            <w:r>
              <w:rPr>
                <w:bCs/>
              </w:rPr>
              <w:t xml:space="preserve"> (08 mai au 08 aout 2014)</w:t>
            </w:r>
          </w:p>
        </w:tc>
      </w:tr>
      <w:tr w:rsidR="00CF6D08" w:rsidRPr="00EE50E9" w14:paraId="68329C89" w14:textId="77777777" w:rsidTr="00CA7429">
        <w:trPr>
          <w:trHeight w:val="420"/>
        </w:trPr>
        <w:tc>
          <w:tcPr>
            <w:tcW w:w="2835" w:type="dxa"/>
            <w:shd w:val="clear" w:color="auto" w:fill="E6E6E6"/>
            <w:vAlign w:val="center"/>
          </w:tcPr>
          <w:p w14:paraId="0CD7C0F4" w14:textId="77777777" w:rsidR="00CF6D08" w:rsidRPr="00EE50E9" w:rsidRDefault="00CF6D08" w:rsidP="00913BF5">
            <w:pPr>
              <w:rPr>
                <w:b/>
              </w:rPr>
            </w:pPr>
            <w:r w:rsidRPr="00EE50E9">
              <w:rPr>
                <w:b/>
                <w:sz w:val="22"/>
                <w:szCs w:val="22"/>
              </w:rPr>
              <w:t>Date de démarrage du projet:</w:t>
            </w:r>
          </w:p>
          <w:p w14:paraId="4C120158" w14:textId="77777777" w:rsidR="00CF6D08" w:rsidRPr="00EE50E9" w:rsidRDefault="00CF6D08" w:rsidP="00913BF5">
            <w:pPr>
              <w:rPr>
                <w:b/>
              </w:rPr>
            </w:pPr>
          </w:p>
        </w:tc>
        <w:tc>
          <w:tcPr>
            <w:tcW w:w="2255" w:type="dxa"/>
            <w:vAlign w:val="center"/>
          </w:tcPr>
          <w:p w14:paraId="69CA695A" w14:textId="77777777" w:rsidR="00CF6D08" w:rsidRPr="00715D98" w:rsidRDefault="00645394" w:rsidP="00645394">
            <w:pPr>
              <w:rPr>
                <w:b/>
              </w:rPr>
            </w:pPr>
            <w:r w:rsidRPr="00715D98">
              <w:rPr>
                <w:lang w:eastAsia="en-US"/>
              </w:rPr>
              <w:t>Octobre 2012</w:t>
            </w:r>
          </w:p>
        </w:tc>
        <w:tc>
          <w:tcPr>
            <w:tcW w:w="2880" w:type="dxa"/>
            <w:vMerge/>
            <w:shd w:val="pct15" w:color="auto" w:fill="auto"/>
            <w:vAlign w:val="center"/>
          </w:tcPr>
          <w:p w14:paraId="1538A07A" w14:textId="77777777" w:rsidR="00CF6D08" w:rsidRPr="00EE50E9" w:rsidRDefault="00CF6D08" w:rsidP="00913BF5">
            <w:pPr>
              <w:jc w:val="center"/>
              <w:rPr>
                <w:bCs/>
              </w:rPr>
            </w:pPr>
          </w:p>
        </w:tc>
        <w:tc>
          <w:tcPr>
            <w:tcW w:w="2340" w:type="dxa"/>
            <w:vMerge/>
            <w:vAlign w:val="center"/>
          </w:tcPr>
          <w:p w14:paraId="387128AF" w14:textId="77777777" w:rsidR="00CF6D08" w:rsidRPr="00EE50E9" w:rsidRDefault="00CF6D08" w:rsidP="00913BF5">
            <w:pPr>
              <w:jc w:val="center"/>
              <w:rPr>
                <w:bCs/>
              </w:rPr>
            </w:pPr>
          </w:p>
        </w:tc>
      </w:tr>
      <w:tr w:rsidR="00CF6D08" w:rsidRPr="00EE50E9" w14:paraId="4864799B" w14:textId="77777777" w:rsidTr="00CA7429">
        <w:trPr>
          <w:trHeight w:val="420"/>
        </w:trPr>
        <w:tc>
          <w:tcPr>
            <w:tcW w:w="2835" w:type="dxa"/>
            <w:shd w:val="clear" w:color="auto" w:fill="E6E6E6"/>
            <w:vAlign w:val="center"/>
          </w:tcPr>
          <w:p w14:paraId="78AC213D" w14:textId="77777777" w:rsidR="00CF6D08" w:rsidRPr="00EE50E9" w:rsidRDefault="00CF6D08" w:rsidP="00EE50E9">
            <w:pPr>
              <w:rPr>
                <w:b/>
              </w:rPr>
            </w:pPr>
            <w:r w:rsidRPr="00EE50E9">
              <w:rPr>
                <w:b/>
                <w:sz w:val="22"/>
                <w:szCs w:val="22"/>
              </w:rPr>
              <w:t>Date prévue pour la clôture opérationnelle du projet:</w:t>
            </w:r>
          </w:p>
        </w:tc>
        <w:tc>
          <w:tcPr>
            <w:tcW w:w="2255" w:type="dxa"/>
            <w:vAlign w:val="center"/>
          </w:tcPr>
          <w:p w14:paraId="7E840975" w14:textId="77777777" w:rsidR="00CF6D08" w:rsidRPr="00715D98" w:rsidRDefault="008D4570" w:rsidP="00645394">
            <w:pPr>
              <w:rPr>
                <w:b/>
              </w:rPr>
            </w:pPr>
            <w:r w:rsidRPr="00715D98">
              <w:rPr>
                <w:lang w:eastAsia="en-US"/>
              </w:rPr>
              <w:t>08 Aout</w:t>
            </w:r>
            <w:r w:rsidR="00645394" w:rsidRPr="00715D98">
              <w:rPr>
                <w:lang w:eastAsia="en-US"/>
              </w:rPr>
              <w:t xml:space="preserve"> 2014</w:t>
            </w:r>
            <w:r w:rsidRPr="00715D98">
              <w:rPr>
                <w:lang w:eastAsia="en-US"/>
              </w:rPr>
              <w:t xml:space="preserve"> </w:t>
            </w:r>
          </w:p>
        </w:tc>
        <w:tc>
          <w:tcPr>
            <w:tcW w:w="2880" w:type="dxa"/>
            <w:vMerge/>
            <w:shd w:val="pct15" w:color="auto" w:fill="auto"/>
            <w:vAlign w:val="center"/>
          </w:tcPr>
          <w:p w14:paraId="2A6BC7B7" w14:textId="77777777" w:rsidR="00CF6D08" w:rsidRPr="00EE50E9" w:rsidRDefault="00CF6D08" w:rsidP="00913BF5">
            <w:pPr>
              <w:jc w:val="center"/>
              <w:rPr>
                <w:bCs/>
              </w:rPr>
            </w:pPr>
          </w:p>
        </w:tc>
        <w:tc>
          <w:tcPr>
            <w:tcW w:w="2340" w:type="dxa"/>
            <w:vMerge/>
            <w:vAlign w:val="center"/>
          </w:tcPr>
          <w:p w14:paraId="03D974DA" w14:textId="77777777" w:rsidR="00CF6D08" w:rsidRPr="00EE50E9" w:rsidRDefault="00CF6D08" w:rsidP="00913BF5">
            <w:pPr>
              <w:jc w:val="center"/>
              <w:rPr>
                <w:bCs/>
              </w:rPr>
            </w:pPr>
          </w:p>
        </w:tc>
      </w:tr>
      <w:tr w:rsidR="00CF6D08" w:rsidRPr="00EE50E9" w14:paraId="76F19EB5" w14:textId="77777777" w:rsidTr="00CA7429">
        <w:trPr>
          <w:trHeight w:val="778"/>
        </w:trPr>
        <w:tc>
          <w:tcPr>
            <w:tcW w:w="2835" w:type="dxa"/>
            <w:shd w:val="clear" w:color="auto" w:fill="E6E6E6"/>
            <w:vAlign w:val="center"/>
          </w:tcPr>
          <w:p w14:paraId="519A01CE" w14:textId="77777777" w:rsidR="00CF6D08" w:rsidRPr="00EE50E9" w:rsidRDefault="00CF6D08" w:rsidP="00031555">
            <w:pPr>
              <w:rPr>
                <w:b/>
              </w:rPr>
            </w:pPr>
            <w:r w:rsidRPr="00EE50E9">
              <w:rPr>
                <w:b/>
                <w:sz w:val="22"/>
                <w:szCs w:val="22"/>
              </w:rPr>
              <w:t>Domaine de résultats attendus par le PBF</w:t>
            </w:r>
          </w:p>
        </w:tc>
        <w:tc>
          <w:tcPr>
            <w:tcW w:w="7475" w:type="dxa"/>
            <w:gridSpan w:val="3"/>
            <w:vAlign w:val="center"/>
          </w:tcPr>
          <w:p w14:paraId="1C441527" w14:textId="77777777" w:rsidR="00770B2D" w:rsidRDefault="00770B2D" w:rsidP="00031555">
            <w:pPr>
              <w:rPr>
                <w:bCs/>
              </w:rPr>
            </w:pPr>
          </w:p>
          <w:p w14:paraId="7AEC406C" w14:textId="77777777" w:rsidR="00CF6D08" w:rsidRPr="00715D98" w:rsidRDefault="00031555" w:rsidP="00031555">
            <w:pPr>
              <w:rPr>
                <w:bCs/>
                <w:iCs/>
                <w:lang w:eastAsia="en-US"/>
              </w:rPr>
            </w:pPr>
            <w:r w:rsidRPr="00715D98">
              <w:rPr>
                <w:bCs/>
                <w:iCs/>
                <w:lang w:eastAsia="en-US"/>
              </w:rPr>
              <w:t>Domaine Prioritaire 1 : Appui a la mise en œuvre des accords de paix et de dialogue politique ; Domaine Prioritaire 2 : Prévention et résolution de conflits et la coexistence pacifique</w:t>
            </w:r>
          </w:p>
          <w:p w14:paraId="54706578" w14:textId="77777777" w:rsidR="00770B2D" w:rsidRPr="00EE50E9" w:rsidRDefault="00770B2D" w:rsidP="00031555"/>
        </w:tc>
      </w:tr>
    </w:tbl>
    <w:p w14:paraId="2E627819" w14:textId="77777777" w:rsidR="00770B2D" w:rsidRDefault="00770B2D">
      <w:r>
        <w:lastRenderedPageBreak/>
        <w:br w:type="page"/>
      </w: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3"/>
      </w:tblGrid>
      <w:tr w:rsidR="00031555" w:rsidRPr="00EE50E9" w14:paraId="0803D536" w14:textId="77777777" w:rsidTr="0034096A">
        <w:trPr>
          <w:trHeight w:val="510"/>
        </w:trPr>
        <w:tc>
          <w:tcPr>
            <w:tcW w:w="10623" w:type="dxa"/>
            <w:tcBorders>
              <w:bottom w:val="single" w:sz="4" w:space="0" w:color="auto"/>
            </w:tcBorders>
            <w:shd w:val="clear" w:color="auto" w:fill="E6E6E6"/>
            <w:vAlign w:val="center"/>
          </w:tcPr>
          <w:p w14:paraId="12A611C1" w14:textId="77777777" w:rsidR="00031555" w:rsidRPr="00715D98" w:rsidRDefault="00031555" w:rsidP="00715D98">
            <w:pPr>
              <w:autoSpaceDE w:val="0"/>
              <w:autoSpaceDN w:val="0"/>
              <w:adjustRightInd w:val="0"/>
              <w:rPr>
                <w:bCs/>
                <w:i/>
              </w:rPr>
            </w:pPr>
            <w:r w:rsidRPr="00715D98">
              <w:rPr>
                <w:b/>
              </w:rPr>
              <w:lastRenderedPageBreak/>
              <w:t xml:space="preserve"> Évaluation qualitative de</w:t>
            </w:r>
            <w:r w:rsidR="00715D98" w:rsidRPr="00715D98">
              <w:rPr>
                <w:b/>
              </w:rPr>
              <w:t xml:space="preserve"> l’Etat d’Avancement du Projet</w:t>
            </w:r>
            <w:r w:rsidRPr="00715D98">
              <w:rPr>
                <w:b/>
              </w:rPr>
              <w:t>:</w:t>
            </w:r>
          </w:p>
        </w:tc>
      </w:tr>
      <w:tr w:rsidR="00031555" w:rsidRPr="00EE50E9" w14:paraId="19A7F682" w14:textId="77777777" w:rsidTr="0034096A">
        <w:trPr>
          <w:trHeight w:val="917"/>
        </w:trPr>
        <w:tc>
          <w:tcPr>
            <w:tcW w:w="10623" w:type="dxa"/>
            <w:shd w:val="clear" w:color="auto" w:fill="FFFFFF" w:themeFill="background1"/>
            <w:vAlign w:val="center"/>
          </w:tcPr>
          <w:p w14:paraId="10263BDD" w14:textId="016270AA" w:rsidR="00EB2240" w:rsidRPr="00EB2240" w:rsidRDefault="00C60E72" w:rsidP="00EB2240">
            <w:pPr>
              <w:outlineLvl w:val="0"/>
              <w:rPr>
                <w:i/>
                <w:color w:val="000000"/>
              </w:rPr>
            </w:pPr>
            <w:r>
              <w:rPr>
                <w:i/>
                <w:color w:val="000000"/>
              </w:rPr>
              <w:t xml:space="preserve">1. </w:t>
            </w:r>
            <w:r w:rsidR="00EB2240" w:rsidRPr="00EB2240">
              <w:rPr>
                <w:i/>
                <w:color w:val="000000"/>
              </w:rPr>
              <w:t>Pour chaque résultat attendu, veuillez donner des preuves de l’avancement (si elles existent) pendant la période du rapport </w:t>
            </w:r>
          </w:p>
          <w:p w14:paraId="25D339DF" w14:textId="77777777" w:rsidR="00031555" w:rsidRPr="00C60E72" w:rsidRDefault="00031555" w:rsidP="00031555">
            <w:pPr>
              <w:autoSpaceDE w:val="0"/>
              <w:autoSpaceDN w:val="0"/>
              <w:adjustRightInd w:val="0"/>
              <w:rPr>
                <w:bCs/>
                <w:i/>
                <w:sz w:val="20"/>
                <w:szCs w:val="20"/>
              </w:rPr>
            </w:pPr>
          </w:p>
          <w:p w14:paraId="7EB14F09" w14:textId="34450986" w:rsidR="00770B2D" w:rsidRPr="00B670F8" w:rsidRDefault="00C60E72" w:rsidP="00EB2240">
            <w:pPr>
              <w:pStyle w:val="BodyText2"/>
              <w:spacing w:after="0" w:line="240" w:lineRule="auto"/>
              <w:jc w:val="both"/>
              <w:rPr>
                <w:rFonts w:cs="Arial"/>
                <w:b/>
                <w:bCs/>
                <w:i/>
              </w:rPr>
            </w:pPr>
            <w:r>
              <w:rPr>
                <w:rFonts w:cs="Arial"/>
                <w:b/>
                <w:bCs/>
                <w:i/>
              </w:rPr>
              <w:t>Résultat 1</w:t>
            </w:r>
            <w:r w:rsidR="00031555" w:rsidRPr="00C60E72">
              <w:rPr>
                <w:rFonts w:cs="Arial"/>
                <w:b/>
                <w:bCs/>
                <w:i/>
              </w:rPr>
              <w:t>: Les Forces de Défense et de Sécurité sont en mesure de prendre en charge des cas de VBG</w:t>
            </w:r>
          </w:p>
          <w:p w14:paraId="733204C0" w14:textId="2C738B65" w:rsidR="00770B2D" w:rsidRDefault="00EB2240" w:rsidP="00EB2240">
            <w:pPr>
              <w:pStyle w:val="BodyText2"/>
              <w:spacing w:after="0" w:line="240" w:lineRule="auto"/>
              <w:jc w:val="both"/>
              <w:rPr>
                <w:sz w:val="22"/>
                <w:szCs w:val="22"/>
              </w:rPr>
            </w:pPr>
            <w:r w:rsidRPr="00EB2240">
              <w:rPr>
                <w:rFonts w:cs="Arial"/>
                <w:bCs/>
                <w:sz w:val="22"/>
                <w:szCs w:val="22"/>
              </w:rPr>
              <w:t>Au niveau du produit 1.1. (</w:t>
            </w:r>
            <w:r w:rsidR="00770B2D" w:rsidRPr="00EB2240">
              <w:rPr>
                <w:sz w:val="22"/>
                <w:szCs w:val="22"/>
              </w:rPr>
              <w:t>Les forces armées sont formées sur la prévention et la prise en charge des VBG</w:t>
            </w:r>
            <w:r w:rsidRPr="00EB2240">
              <w:rPr>
                <w:sz w:val="22"/>
                <w:szCs w:val="22"/>
              </w:rPr>
              <w:t>)</w:t>
            </w:r>
            <w:r>
              <w:rPr>
                <w:sz w:val="22"/>
                <w:szCs w:val="22"/>
              </w:rPr>
              <w:t xml:space="preserve">, les modules sur les violences basées sur le genre ont été finalisé (guide du formateur et manuel des participants) </w:t>
            </w:r>
            <w:r w:rsidR="00B96221">
              <w:rPr>
                <w:sz w:val="22"/>
                <w:szCs w:val="22"/>
              </w:rPr>
              <w:t xml:space="preserve"> avec l’appui du UNFPA </w:t>
            </w:r>
            <w:r>
              <w:rPr>
                <w:sz w:val="22"/>
                <w:szCs w:val="22"/>
              </w:rPr>
              <w:t>et 15 instructeurs des écoles militaires (Maneah) et de gendarmerie (Conakry) ont bénéficié de la formation des formateurs.</w:t>
            </w:r>
            <w:r w:rsidR="00935395">
              <w:rPr>
                <w:sz w:val="22"/>
                <w:szCs w:val="22"/>
              </w:rPr>
              <w:t xml:space="preserve"> </w:t>
            </w:r>
            <w:r w:rsidR="00F27F0A">
              <w:rPr>
                <w:sz w:val="22"/>
                <w:szCs w:val="22"/>
              </w:rPr>
              <w:t xml:space="preserve"> </w:t>
            </w:r>
          </w:p>
          <w:p w14:paraId="60ED3CF3" w14:textId="77777777" w:rsidR="00EB2240" w:rsidRDefault="00EB2240" w:rsidP="00EB2240">
            <w:pPr>
              <w:pStyle w:val="BodyText2"/>
              <w:spacing w:after="0" w:line="240" w:lineRule="auto"/>
              <w:jc w:val="both"/>
              <w:rPr>
                <w:sz w:val="22"/>
                <w:szCs w:val="22"/>
              </w:rPr>
            </w:pPr>
          </w:p>
          <w:p w14:paraId="08481238" w14:textId="77777777" w:rsidR="00E91839" w:rsidRPr="00C60E72" w:rsidRDefault="006F25E2" w:rsidP="00C60E72">
            <w:pPr>
              <w:pStyle w:val="BodyText2"/>
              <w:spacing w:after="0" w:line="240" w:lineRule="auto"/>
              <w:jc w:val="both"/>
              <w:rPr>
                <w:rFonts w:cs="Arial"/>
                <w:bCs/>
                <w:sz w:val="22"/>
                <w:szCs w:val="22"/>
              </w:rPr>
            </w:pPr>
            <w:r w:rsidRPr="00B96221">
              <w:rPr>
                <w:rFonts w:cs="Arial"/>
                <w:bCs/>
                <w:sz w:val="22"/>
                <w:szCs w:val="22"/>
              </w:rPr>
              <w:t xml:space="preserve">En ce qui concerne l’UNICEF, </w:t>
            </w:r>
            <w:r w:rsidR="00B96221" w:rsidRPr="00B96221">
              <w:rPr>
                <w:rFonts w:cs="Arial"/>
                <w:bCs/>
                <w:sz w:val="22"/>
                <w:szCs w:val="22"/>
              </w:rPr>
              <w:t>25 formateurs sur 30</w:t>
            </w:r>
            <w:r w:rsidR="00B96221">
              <w:rPr>
                <w:rFonts w:cs="Arial"/>
                <w:bCs/>
                <w:sz w:val="22"/>
                <w:szCs w:val="22"/>
              </w:rPr>
              <w:t>, soit 83%</w:t>
            </w:r>
            <w:r w:rsidR="00B96221" w:rsidRPr="00B96221">
              <w:rPr>
                <w:rFonts w:cs="Arial"/>
                <w:bCs/>
                <w:sz w:val="22"/>
                <w:szCs w:val="22"/>
              </w:rPr>
              <w:t xml:space="preserve"> ont réussi l’examen post-formation</w:t>
            </w:r>
            <w:r w:rsidR="00B96221">
              <w:rPr>
                <w:rFonts w:cs="Arial"/>
                <w:bCs/>
                <w:sz w:val="22"/>
                <w:szCs w:val="22"/>
              </w:rPr>
              <w:t xml:space="preserve"> sur </w:t>
            </w:r>
            <w:r w:rsidR="00B96221" w:rsidRPr="00B96221">
              <w:rPr>
                <w:rFonts w:cs="Arial"/>
                <w:bCs/>
                <w:sz w:val="22"/>
                <w:szCs w:val="22"/>
              </w:rPr>
              <w:t xml:space="preserve">l’intégration des droits de l’enfant dans le curriculum de formation initiale des policiers et des gendarmes </w:t>
            </w:r>
            <w:r w:rsidRPr="00B96221">
              <w:rPr>
                <w:rFonts w:cs="Arial"/>
                <w:bCs/>
                <w:sz w:val="22"/>
                <w:szCs w:val="22"/>
              </w:rPr>
              <w:t>par le Bureau International des droits de l’enfant (IBCR) en 2013 pour, les résultats de la formation ont été connu durant le premier semestre 2014</w:t>
            </w:r>
            <w:r w:rsidR="00BE21E7" w:rsidRPr="00B96221">
              <w:rPr>
                <w:rFonts w:cs="Arial"/>
                <w:bCs/>
                <w:sz w:val="22"/>
                <w:szCs w:val="22"/>
              </w:rPr>
              <w:t xml:space="preserve">. </w:t>
            </w:r>
            <w:r w:rsidR="00B96221">
              <w:rPr>
                <w:rFonts w:cs="Arial"/>
                <w:bCs/>
                <w:sz w:val="22"/>
                <w:szCs w:val="22"/>
              </w:rPr>
              <w:t>U</w:t>
            </w:r>
            <w:r w:rsidR="00C13C48" w:rsidRPr="00B96221">
              <w:rPr>
                <w:rFonts w:cs="Arial"/>
                <w:bCs/>
                <w:sz w:val="22"/>
                <w:szCs w:val="22"/>
              </w:rPr>
              <w:t xml:space="preserve">n total de </w:t>
            </w:r>
            <w:r w:rsidR="00F11110" w:rsidRPr="00B96221">
              <w:rPr>
                <w:rFonts w:cs="Arial"/>
                <w:bCs/>
                <w:sz w:val="22"/>
                <w:szCs w:val="22"/>
              </w:rPr>
              <w:t>6457</w:t>
            </w:r>
            <w:r w:rsidR="00C13C48" w:rsidRPr="00B96221">
              <w:rPr>
                <w:rFonts w:cs="Arial"/>
                <w:bCs/>
                <w:sz w:val="22"/>
                <w:szCs w:val="22"/>
              </w:rPr>
              <w:t xml:space="preserve"> documents de la trousse</w:t>
            </w:r>
            <w:r w:rsidR="00B96221">
              <w:rPr>
                <w:rFonts w:cs="Arial"/>
                <w:bCs/>
                <w:sz w:val="22"/>
                <w:szCs w:val="22"/>
              </w:rPr>
              <w:t xml:space="preserve"> de formation </w:t>
            </w:r>
            <w:proofErr w:type="gramStart"/>
            <w:r w:rsidR="00B96221">
              <w:rPr>
                <w:rFonts w:cs="Arial"/>
                <w:bCs/>
                <w:sz w:val="22"/>
                <w:szCs w:val="22"/>
              </w:rPr>
              <w:t>ont</w:t>
            </w:r>
            <w:proofErr w:type="gramEnd"/>
            <w:r w:rsidR="00B96221">
              <w:rPr>
                <w:rFonts w:cs="Arial"/>
                <w:bCs/>
                <w:sz w:val="22"/>
                <w:szCs w:val="22"/>
              </w:rPr>
              <w:t xml:space="preserve"> été reproduite</w:t>
            </w:r>
            <w:r w:rsidR="00C13C48" w:rsidRPr="00B96221">
              <w:rPr>
                <w:rFonts w:cs="Arial"/>
                <w:bCs/>
                <w:sz w:val="22"/>
                <w:szCs w:val="22"/>
              </w:rPr>
              <w:t xml:space="preserve"> en vue de la formation de 1.600 gendarmes</w:t>
            </w:r>
            <w:r w:rsidR="00EB13A0" w:rsidRPr="00B96221">
              <w:rPr>
                <w:rFonts w:cs="Arial"/>
                <w:bCs/>
                <w:sz w:val="22"/>
                <w:szCs w:val="22"/>
              </w:rPr>
              <w:t xml:space="preserve"> et l’acquisition de matériel de formation pour les 2 écol</w:t>
            </w:r>
            <w:r w:rsidR="00B96221" w:rsidRPr="00B96221">
              <w:rPr>
                <w:rFonts w:cs="Arial"/>
                <w:bCs/>
                <w:sz w:val="22"/>
                <w:szCs w:val="22"/>
              </w:rPr>
              <w:t>es nationales.</w:t>
            </w:r>
            <w:r w:rsidR="002267FF" w:rsidRPr="00B96221">
              <w:rPr>
                <w:rFonts w:cs="Arial"/>
                <w:bCs/>
                <w:sz w:val="22"/>
                <w:szCs w:val="22"/>
              </w:rPr>
              <w:t xml:space="preserve"> </w:t>
            </w:r>
            <w:r w:rsidR="00B96221">
              <w:rPr>
                <w:rFonts w:cs="Arial"/>
                <w:bCs/>
                <w:sz w:val="22"/>
                <w:szCs w:val="22"/>
              </w:rPr>
              <w:t xml:space="preserve"> </w:t>
            </w:r>
            <w:r w:rsidR="00935384" w:rsidRPr="00B96221">
              <w:rPr>
                <w:rFonts w:cs="Arial"/>
                <w:bCs/>
                <w:sz w:val="22"/>
                <w:szCs w:val="22"/>
              </w:rPr>
              <w:t>Ainsi u</w:t>
            </w:r>
            <w:r w:rsidR="00BE21E7" w:rsidRPr="00B96221">
              <w:rPr>
                <w:rFonts w:cs="Arial"/>
                <w:bCs/>
                <w:sz w:val="22"/>
                <w:szCs w:val="22"/>
              </w:rPr>
              <w:t xml:space="preserve">ne première vague de 500 élèves </w:t>
            </w:r>
            <w:r w:rsidR="00935384" w:rsidRPr="00B96221">
              <w:rPr>
                <w:rFonts w:cs="Arial"/>
                <w:bCs/>
                <w:sz w:val="22"/>
                <w:szCs w:val="22"/>
              </w:rPr>
              <w:t>gendarmes a commencé à bénéficier des 40 heures de cours sur le</w:t>
            </w:r>
            <w:r w:rsidR="000B79F8" w:rsidRPr="00B96221">
              <w:rPr>
                <w:rFonts w:cs="Arial"/>
                <w:bCs/>
                <w:sz w:val="22"/>
                <w:szCs w:val="22"/>
              </w:rPr>
              <w:t>s</w:t>
            </w:r>
            <w:r w:rsidR="00935384" w:rsidRPr="00B96221">
              <w:rPr>
                <w:rFonts w:cs="Arial"/>
                <w:bCs/>
                <w:sz w:val="22"/>
                <w:szCs w:val="22"/>
              </w:rPr>
              <w:t xml:space="preserve"> droit</w:t>
            </w:r>
            <w:r w:rsidR="000B79F8" w:rsidRPr="00B96221">
              <w:rPr>
                <w:rFonts w:cs="Arial"/>
                <w:bCs/>
                <w:sz w:val="22"/>
                <w:szCs w:val="22"/>
              </w:rPr>
              <w:t>s</w:t>
            </w:r>
            <w:r w:rsidR="00935384" w:rsidRPr="00B96221">
              <w:rPr>
                <w:rFonts w:cs="Arial"/>
                <w:bCs/>
                <w:sz w:val="22"/>
                <w:szCs w:val="22"/>
              </w:rPr>
              <w:t xml:space="preserve"> de</w:t>
            </w:r>
            <w:r w:rsidR="000B79F8" w:rsidRPr="00B96221">
              <w:rPr>
                <w:rFonts w:cs="Arial"/>
                <w:bCs/>
                <w:sz w:val="22"/>
                <w:szCs w:val="22"/>
              </w:rPr>
              <w:t xml:space="preserve"> l’</w:t>
            </w:r>
            <w:r w:rsidR="00935384" w:rsidRPr="00B96221">
              <w:rPr>
                <w:rFonts w:cs="Arial"/>
                <w:bCs/>
                <w:sz w:val="22"/>
                <w:szCs w:val="22"/>
              </w:rPr>
              <w:t>enfant</w:t>
            </w:r>
            <w:r w:rsidR="000B79F8" w:rsidRPr="00B96221">
              <w:rPr>
                <w:rFonts w:cs="Arial"/>
                <w:bCs/>
                <w:sz w:val="22"/>
                <w:szCs w:val="22"/>
              </w:rPr>
              <w:t xml:space="preserve"> et des femmes avec attention sur les </w:t>
            </w:r>
            <w:r w:rsidR="000B79F8" w:rsidRPr="00C60E72">
              <w:rPr>
                <w:rFonts w:cs="Arial"/>
                <w:bCs/>
                <w:sz w:val="22"/>
                <w:szCs w:val="22"/>
              </w:rPr>
              <w:t>VBG</w:t>
            </w:r>
            <w:r w:rsidR="00935384" w:rsidRPr="00C60E72">
              <w:rPr>
                <w:rFonts w:cs="Arial"/>
                <w:bCs/>
                <w:sz w:val="22"/>
                <w:szCs w:val="22"/>
              </w:rPr>
              <w:t xml:space="preserve">. 1100 autres élèves gendarmes doivent bénéficier de ces cours </w:t>
            </w:r>
            <w:r w:rsidR="00B96221" w:rsidRPr="00C60E72">
              <w:rPr>
                <w:rFonts w:cs="Arial"/>
                <w:bCs/>
                <w:sz w:val="22"/>
                <w:szCs w:val="22"/>
              </w:rPr>
              <w:t xml:space="preserve">au cours de 2014 et le premier trimestre de 2015. </w:t>
            </w:r>
            <w:r w:rsidR="00935384" w:rsidRPr="00C60E72">
              <w:rPr>
                <w:rFonts w:cs="Arial"/>
                <w:bCs/>
                <w:sz w:val="22"/>
                <w:szCs w:val="22"/>
              </w:rPr>
              <w:t>De même, il est</w:t>
            </w:r>
            <w:r w:rsidR="009F4CFA" w:rsidRPr="00C60E72">
              <w:rPr>
                <w:rFonts w:cs="Arial"/>
                <w:bCs/>
                <w:sz w:val="22"/>
                <w:szCs w:val="22"/>
              </w:rPr>
              <w:t xml:space="preserve"> prévu que 72</w:t>
            </w:r>
            <w:r w:rsidR="00935384" w:rsidRPr="00C60E72">
              <w:rPr>
                <w:rFonts w:cs="Arial"/>
                <w:bCs/>
                <w:sz w:val="22"/>
                <w:szCs w:val="22"/>
              </w:rPr>
              <w:t xml:space="preserve">0 policiers bénéficient de cette formation à partir de septembre 2014. </w:t>
            </w:r>
            <w:r w:rsidR="00B96221" w:rsidRPr="00C60E72">
              <w:rPr>
                <w:rFonts w:cs="Arial"/>
                <w:bCs/>
                <w:sz w:val="22"/>
                <w:szCs w:val="22"/>
              </w:rPr>
              <w:t xml:space="preserve"> </w:t>
            </w:r>
            <w:r w:rsidR="00935384" w:rsidRPr="00C60E72">
              <w:rPr>
                <w:rFonts w:cs="Arial"/>
                <w:bCs/>
                <w:sz w:val="22"/>
                <w:szCs w:val="22"/>
              </w:rPr>
              <w:t>Ces formations se termineront pas la signature du</w:t>
            </w:r>
            <w:r w:rsidRPr="00C60E72">
              <w:rPr>
                <w:rFonts w:cs="Arial"/>
                <w:bCs/>
                <w:sz w:val="22"/>
                <w:szCs w:val="22"/>
              </w:rPr>
              <w:t xml:space="preserve"> code de conduite</w:t>
            </w:r>
            <w:r w:rsidR="00C60E72" w:rsidRPr="00C60E72">
              <w:rPr>
                <w:rFonts w:cs="Arial"/>
                <w:bCs/>
                <w:sz w:val="22"/>
                <w:szCs w:val="22"/>
              </w:rPr>
              <w:t xml:space="preserve"> (produit 1.2.)</w:t>
            </w:r>
            <w:r w:rsidR="00AE0848" w:rsidRPr="00C60E72">
              <w:rPr>
                <w:rFonts w:cs="Arial"/>
                <w:bCs/>
                <w:sz w:val="22"/>
                <w:szCs w:val="22"/>
              </w:rPr>
              <w:t>,</w:t>
            </w:r>
            <w:r w:rsidRPr="00C60E72">
              <w:rPr>
                <w:rFonts w:cs="Arial"/>
                <w:bCs/>
                <w:sz w:val="22"/>
                <w:szCs w:val="22"/>
              </w:rPr>
              <w:t xml:space="preserve"> élaboré </w:t>
            </w:r>
            <w:r w:rsidR="00935384" w:rsidRPr="00C60E72">
              <w:rPr>
                <w:rFonts w:cs="Arial"/>
                <w:bCs/>
                <w:sz w:val="22"/>
                <w:szCs w:val="22"/>
              </w:rPr>
              <w:t>en 2013</w:t>
            </w:r>
            <w:r w:rsidR="00AE0848" w:rsidRPr="00C60E72">
              <w:rPr>
                <w:rFonts w:cs="Arial"/>
                <w:bCs/>
                <w:sz w:val="22"/>
                <w:szCs w:val="22"/>
              </w:rPr>
              <w:t>,</w:t>
            </w:r>
            <w:r w:rsidR="00935384" w:rsidRPr="00C60E72">
              <w:rPr>
                <w:rFonts w:cs="Arial"/>
                <w:bCs/>
                <w:sz w:val="22"/>
                <w:szCs w:val="22"/>
              </w:rPr>
              <w:t xml:space="preserve"> par chaque gendarme et chaque policier ayant bénéficié de la formation sur le</w:t>
            </w:r>
            <w:r w:rsidR="005F408F" w:rsidRPr="00C60E72">
              <w:rPr>
                <w:rFonts w:cs="Arial"/>
                <w:bCs/>
                <w:sz w:val="22"/>
                <w:szCs w:val="22"/>
              </w:rPr>
              <w:t>s</w:t>
            </w:r>
            <w:r w:rsidR="00935384" w:rsidRPr="00C60E72">
              <w:rPr>
                <w:rFonts w:cs="Arial"/>
                <w:bCs/>
                <w:sz w:val="22"/>
                <w:szCs w:val="22"/>
              </w:rPr>
              <w:t xml:space="preserve"> droit de</w:t>
            </w:r>
            <w:r w:rsidR="00B96221" w:rsidRPr="00C60E72">
              <w:rPr>
                <w:rFonts w:cs="Arial"/>
                <w:bCs/>
                <w:sz w:val="22"/>
                <w:szCs w:val="22"/>
              </w:rPr>
              <w:t xml:space="preserve"> </w:t>
            </w:r>
            <w:r w:rsidR="005F408F" w:rsidRPr="00C60E72">
              <w:rPr>
                <w:rFonts w:cs="Arial"/>
                <w:bCs/>
                <w:sz w:val="22"/>
                <w:szCs w:val="22"/>
              </w:rPr>
              <w:t>l’</w:t>
            </w:r>
            <w:r w:rsidR="00935384" w:rsidRPr="00C60E72">
              <w:rPr>
                <w:rFonts w:cs="Arial"/>
                <w:bCs/>
                <w:sz w:val="22"/>
                <w:szCs w:val="22"/>
              </w:rPr>
              <w:t>enfant et qui les engage</w:t>
            </w:r>
            <w:r w:rsidRPr="00C60E72">
              <w:rPr>
                <w:rFonts w:cs="Arial"/>
                <w:bCs/>
                <w:sz w:val="22"/>
                <w:szCs w:val="22"/>
              </w:rPr>
              <w:t xml:space="preserve"> à respecter les principes éthiques et les normes et standards en matière de protection des droits des enfants et de prise en charge des victimes de VBG</w:t>
            </w:r>
            <w:r w:rsidR="00935384" w:rsidRPr="00C60E72">
              <w:rPr>
                <w:rFonts w:cs="Arial"/>
                <w:bCs/>
                <w:sz w:val="22"/>
                <w:szCs w:val="22"/>
              </w:rPr>
              <w:t>.</w:t>
            </w:r>
          </w:p>
          <w:p w14:paraId="7DFD1785" w14:textId="77777777" w:rsidR="00935395" w:rsidRPr="00F27F0A" w:rsidRDefault="00935395" w:rsidP="00C60E72">
            <w:pPr>
              <w:jc w:val="both"/>
              <w:rPr>
                <w:rFonts w:cs="Arial"/>
                <w:bCs/>
                <w:sz w:val="22"/>
                <w:szCs w:val="22"/>
              </w:rPr>
            </w:pPr>
          </w:p>
          <w:p w14:paraId="717C3A28" w14:textId="0AB98EF7" w:rsidR="00935395" w:rsidRPr="00F27F0A" w:rsidRDefault="00935395" w:rsidP="00F27F0A">
            <w:pPr>
              <w:jc w:val="both"/>
              <w:rPr>
                <w:rFonts w:cs="Arial"/>
                <w:bCs/>
                <w:sz w:val="22"/>
                <w:szCs w:val="22"/>
              </w:rPr>
            </w:pPr>
            <w:r w:rsidRPr="00F27F0A">
              <w:rPr>
                <w:rFonts w:cs="Arial"/>
                <w:bCs/>
                <w:sz w:val="22"/>
                <w:szCs w:val="22"/>
              </w:rPr>
              <w:t>Au niveau du renforcement du rôle de la police dans le traitement des cas des VBG violences,</w:t>
            </w:r>
            <w:r w:rsidR="00F27F0A">
              <w:rPr>
                <w:rFonts w:cs="Arial"/>
                <w:bCs/>
                <w:sz w:val="22"/>
                <w:szCs w:val="22"/>
              </w:rPr>
              <w:t xml:space="preserve"> les</w:t>
            </w:r>
            <w:r w:rsidRPr="00F27F0A">
              <w:rPr>
                <w:rFonts w:cs="Arial"/>
                <w:bCs/>
                <w:sz w:val="22"/>
                <w:szCs w:val="22"/>
              </w:rPr>
              <w:t xml:space="preserve"> cinq (5) Unités VBG </w:t>
            </w:r>
            <w:r w:rsidR="00ED5E83">
              <w:rPr>
                <w:rFonts w:cs="Arial"/>
                <w:bCs/>
                <w:sz w:val="22"/>
                <w:szCs w:val="22"/>
              </w:rPr>
              <w:t>au sein des c</w:t>
            </w:r>
            <w:r w:rsidRPr="00F27F0A">
              <w:rPr>
                <w:rFonts w:cs="Arial"/>
                <w:bCs/>
                <w:sz w:val="22"/>
                <w:szCs w:val="22"/>
              </w:rPr>
              <w:t>ommissariats</w:t>
            </w:r>
            <w:r w:rsidR="00ED5E83">
              <w:rPr>
                <w:rFonts w:cs="Arial"/>
                <w:bCs/>
                <w:sz w:val="22"/>
                <w:szCs w:val="22"/>
              </w:rPr>
              <w:t xml:space="preserve"> </w:t>
            </w:r>
            <w:r w:rsidRPr="00F27F0A">
              <w:rPr>
                <w:rFonts w:cs="Arial"/>
                <w:bCs/>
                <w:sz w:val="22"/>
                <w:szCs w:val="22"/>
              </w:rPr>
              <w:t>de police et</w:t>
            </w:r>
            <w:r w:rsidR="00ED5E83">
              <w:rPr>
                <w:rFonts w:cs="Arial"/>
                <w:bCs/>
                <w:sz w:val="22"/>
                <w:szCs w:val="22"/>
              </w:rPr>
              <w:t xml:space="preserve"> e</w:t>
            </w:r>
            <w:r w:rsidRPr="00F27F0A">
              <w:rPr>
                <w:rFonts w:cs="Arial"/>
                <w:bCs/>
                <w:sz w:val="22"/>
                <w:szCs w:val="22"/>
              </w:rPr>
              <w:t>scadrons poste de gendarmerie de Conakry (4) et de Kindia (1)  ont é</w:t>
            </w:r>
            <w:r w:rsidR="00F27F0A">
              <w:rPr>
                <w:rFonts w:cs="Arial"/>
                <w:bCs/>
                <w:sz w:val="22"/>
                <w:szCs w:val="22"/>
              </w:rPr>
              <w:t>té entièrement réhabilitées et l</w:t>
            </w:r>
            <w:r w:rsidRPr="00F27F0A">
              <w:rPr>
                <w:rFonts w:cs="Arial"/>
                <w:bCs/>
                <w:sz w:val="22"/>
                <w:szCs w:val="22"/>
              </w:rPr>
              <w:t>es équipements sont en</w:t>
            </w:r>
            <w:r w:rsidR="00F27F0A">
              <w:rPr>
                <w:rFonts w:cs="Arial"/>
                <w:bCs/>
                <w:sz w:val="22"/>
                <w:szCs w:val="22"/>
              </w:rPr>
              <w:t xml:space="preserve"> </w:t>
            </w:r>
            <w:r w:rsidRPr="00F27F0A">
              <w:rPr>
                <w:rFonts w:cs="Arial"/>
                <w:bCs/>
                <w:sz w:val="22"/>
                <w:szCs w:val="22"/>
              </w:rPr>
              <w:t xml:space="preserve">cours d’achat. </w:t>
            </w:r>
          </w:p>
          <w:p w14:paraId="74E1BDA8" w14:textId="77777777" w:rsidR="00935395" w:rsidRPr="00B67B68" w:rsidRDefault="00935395" w:rsidP="00031555">
            <w:pPr>
              <w:pStyle w:val="BodyText2"/>
              <w:spacing w:after="0" w:line="240" w:lineRule="auto"/>
              <w:jc w:val="both"/>
              <w:rPr>
                <w:lang w:val="fr-BE"/>
              </w:rPr>
            </w:pPr>
          </w:p>
          <w:p w14:paraId="10970DEF" w14:textId="578B36F7" w:rsidR="00031555" w:rsidRPr="00B670F8" w:rsidRDefault="00031555" w:rsidP="00A624E6">
            <w:pPr>
              <w:pStyle w:val="BodyText2"/>
              <w:spacing w:after="0" w:line="240" w:lineRule="auto"/>
              <w:jc w:val="both"/>
              <w:rPr>
                <w:rFonts w:cs="Arial"/>
                <w:b/>
                <w:bCs/>
                <w:i/>
                <w:szCs w:val="20"/>
              </w:rPr>
            </w:pPr>
            <w:r w:rsidRPr="00C47787">
              <w:rPr>
                <w:rFonts w:cs="Arial"/>
                <w:b/>
                <w:bCs/>
                <w:i/>
                <w:szCs w:val="20"/>
              </w:rPr>
              <w:t>Résultat</w:t>
            </w:r>
            <w:r>
              <w:rPr>
                <w:rFonts w:cs="Arial"/>
                <w:b/>
                <w:bCs/>
                <w:i/>
                <w:szCs w:val="20"/>
              </w:rPr>
              <w:t xml:space="preserve"> 2</w:t>
            </w:r>
            <w:r w:rsidRPr="00C47787">
              <w:rPr>
                <w:rFonts w:cs="Arial"/>
                <w:b/>
                <w:bCs/>
                <w:i/>
                <w:szCs w:val="20"/>
              </w:rPr>
              <w:t xml:space="preserve"> : </w:t>
            </w:r>
            <w:r w:rsidR="00C60E72">
              <w:rPr>
                <w:rFonts w:cs="Arial"/>
                <w:b/>
                <w:bCs/>
                <w:i/>
                <w:szCs w:val="20"/>
              </w:rPr>
              <w:t>Les survivant</w:t>
            </w:r>
            <w:r>
              <w:rPr>
                <w:rFonts w:cs="Arial"/>
                <w:b/>
                <w:bCs/>
                <w:i/>
                <w:szCs w:val="20"/>
              </w:rPr>
              <w:t>(e)s des</w:t>
            </w:r>
            <w:r w:rsidR="00C60E72">
              <w:rPr>
                <w:rFonts w:cs="Arial"/>
                <w:b/>
                <w:bCs/>
                <w:i/>
                <w:szCs w:val="20"/>
              </w:rPr>
              <w:t xml:space="preserve"> VBG</w:t>
            </w:r>
            <w:r>
              <w:rPr>
                <w:rFonts w:cs="Arial"/>
                <w:b/>
                <w:bCs/>
                <w:i/>
                <w:szCs w:val="20"/>
              </w:rPr>
              <w:t xml:space="preserve"> ont accès aux programmes ciblés d’assistance et de réintégration.  </w:t>
            </w:r>
          </w:p>
          <w:p w14:paraId="6F21C8E2" w14:textId="4C45F55F" w:rsidR="00ED5E83" w:rsidRPr="00ED5E83" w:rsidRDefault="00ED5E83" w:rsidP="002233CB">
            <w:pPr>
              <w:jc w:val="both"/>
              <w:rPr>
                <w:rFonts w:cs="Arial"/>
                <w:bCs/>
                <w:sz w:val="22"/>
                <w:szCs w:val="22"/>
              </w:rPr>
            </w:pPr>
            <w:r>
              <w:rPr>
                <w:rFonts w:cs="Arial"/>
                <w:bCs/>
                <w:sz w:val="22"/>
                <w:szCs w:val="22"/>
              </w:rPr>
              <w:t xml:space="preserve">En ce qui concerne le renforcement du </w:t>
            </w:r>
            <w:r w:rsidR="00031555">
              <w:rPr>
                <w:rFonts w:cs="Arial"/>
                <w:bCs/>
                <w:sz w:val="22"/>
                <w:szCs w:val="22"/>
              </w:rPr>
              <w:t>dispositif d’assistance médicale et psychosociale aux femmes et enfants victimes des VBG</w:t>
            </w:r>
            <w:r w:rsidR="00C60E72">
              <w:rPr>
                <w:rFonts w:cs="Arial"/>
                <w:bCs/>
                <w:sz w:val="22"/>
                <w:szCs w:val="22"/>
              </w:rPr>
              <w:t xml:space="preserve"> (produit 2.1.)</w:t>
            </w:r>
            <w:r w:rsidR="00031555">
              <w:rPr>
                <w:rFonts w:cs="Arial"/>
                <w:bCs/>
                <w:sz w:val="22"/>
                <w:szCs w:val="22"/>
              </w:rPr>
              <w:t>, les actions durant la période ont p</w:t>
            </w:r>
            <w:r>
              <w:rPr>
                <w:rFonts w:cs="Arial"/>
                <w:bCs/>
                <w:sz w:val="22"/>
                <w:szCs w:val="22"/>
              </w:rPr>
              <w:t>orté sur</w:t>
            </w:r>
            <w:r w:rsidRPr="00ED5E83">
              <w:rPr>
                <w:rFonts w:cs="Arial"/>
                <w:bCs/>
                <w:sz w:val="22"/>
                <w:szCs w:val="22"/>
              </w:rPr>
              <w:t xml:space="preserve"> la formation in situ de 40 prestataires de santé dont 30 femmes des districts sanitaires de Dubréka, Kindia, Mali et Siguiri pour la prise en charge médicale des victimes des violences basées sur le genre dans les nouveaux centres pilotes VBG.</w:t>
            </w:r>
            <w:r>
              <w:rPr>
                <w:rFonts w:cs="Arial"/>
                <w:bCs/>
                <w:sz w:val="22"/>
                <w:szCs w:val="22"/>
              </w:rPr>
              <w:t xml:space="preserve"> En outre, </w:t>
            </w:r>
            <w:r w:rsidRPr="00ED5E83">
              <w:rPr>
                <w:rFonts w:cs="Arial"/>
                <w:bCs/>
                <w:sz w:val="22"/>
                <w:szCs w:val="22"/>
              </w:rPr>
              <w:t xml:space="preserve">la supervision des </w:t>
            </w:r>
            <w:r>
              <w:rPr>
                <w:rFonts w:cs="Arial"/>
                <w:bCs/>
                <w:sz w:val="22"/>
                <w:szCs w:val="22"/>
              </w:rPr>
              <w:t xml:space="preserve">six  (6) </w:t>
            </w:r>
            <w:r w:rsidRPr="00ED5E83">
              <w:rPr>
                <w:rFonts w:cs="Arial"/>
                <w:bCs/>
                <w:sz w:val="22"/>
                <w:szCs w:val="22"/>
              </w:rPr>
              <w:t xml:space="preserve">centres VBG </w:t>
            </w:r>
            <w:r>
              <w:rPr>
                <w:rFonts w:cs="Arial"/>
                <w:bCs/>
                <w:sz w:val="22"/>
                <w:szCs w:val="22"/>
              </w:rPr>
              <w:t xml:space="preserve"> existants </w:t>
            </w:r>
            <w:r w:rsidRPr="00ED5E83">
              <w:rPr>
                <w:rFonts w:cs="Arial"/>
                <w:bCs/>
                <w:sz w:val="22"/>
                <w:szCs w:val="22"/>
              </w:rPr>
              <w:t>de Conakry</w:t>
            </w:r>
            <w:r>
              <w:rPr>
                <w:rFonts w:cs="Arial"/>
                <w:bCs/>
                <w:sz w:val="22"/>
                <w:szCs w:val="22"/>
              </w:rPr>
              <w:t xml:space="preserve"> (2)</w:t>
            </w:r>
            <w:r w:rsidRPr="00ED5E83">
              <w:rPr>
                <w:rFonts w:cs="Arial"/>
                <w:bCs/>
                <w:sz w:val="22"/>
                <w:szCs w:val="22"/>
              </w:rPr>
              <w:t xml:space="preserve">, Kankan, Labé et </w:t>
            </w:r>
            <w:r>
              <w:rPr>
                <w:rFonts w:cs="Arial"/>
                <w:bCs/>
                <w:sz w:val="22"/>
                <w:szCs w:val="22"/>
              </w:rPr>
              <w:t>Kamsar</w:t>
            </w:r>
            <w:r w:rsidRPr="00ED5E83">
              <w:rPr>
                <w:rFonts w:cs="Arial"/>
                <w:bCs/>
                <w:sz w:val="22"/>
                <w:szCs w:val="22"/>
              </w:rPr>
              <w:t xml:space="preserve"> a permis, entre autres, de procéder à une remise à niveau des prestataires sur le remplissage des fiches d’admission et de consentement et l’utilisation du Logiciel SGIVBG.</w:t>
            </w:r>
            <w:r w:rsidRPr="00F27F0A">
              <w:rPr>
                <w:rFonts w:cs="Arial"/>
                <w:bCs/>
                <w:sz w:val="22"/>
                <w:szCs w:val="22"/>
              </w:rPr>
              <w:t xml:space="preserve"> Une mission conjointe  du niveau nationale composé du représentants du Gouvernement et </w:t>
            </w:r>
            <w:r>
              <w:rPr>
                <w:rFonts w:cs="Arial"/>
                <w:bCs/>
                <w:sz w:val="22"/>
                <w:szCs w:val="22"/>
              </w:rPr>
              <w:t xml:space="preserve"> le Système des Nations Unies </w:t>
            </w:r>
            <w:r w:rsidRPr="00F27F0A">
              <w:rPr>
                <w:rFonts w:cs="Arial"/>
                <w:bCs/>
                <w:sz w:val="22"/>
                <w:szCs w:val="22"/>
              </w:rPr>
              <w:t xml:space="preserve">a procédé à </w:t>
            </w:r>
            <w:r>
              <w:rPr>
                <w:rFonts w:cs="Arial"/>
                <w:bCs/>
                <w:sz w:val="22"/>
                <w:szCs w:val="22"/>
              </w:rPr>
              <w:t xml:space="preserve">l’identification de 5 </w:t>
            </w:r>
            <w:r w:rsidRPr="00F27F0A">
              <w:rPr>
                <w:rFonts w:cs="Arial"/>
                <w:bCs/>
                <w:sz w:val="22"/>
                <w:szCs w:val="22"/>
              </w:rPr>
              <w:t>centres additionnels de prise en charge des VBG intégrés aux services des hôpitaux préfector</w:t>
            </w:r>
            <w:r>
              <w:rPr>
                <w:rFonts w:cs="Arial"/>
                <w:bCs/>
                <w:sz w:val="22"/>
                <w:szCs w:val="22"/>
              </w:rPr>
              <w:t xml:space="preserve">aux de Dubreka, Kindia, Mali, </w:t>
            </w:r>
            <w:r w:rsidRPr="00F27F0A">
              <w:rPr>
                <w:rFonts w:cs="Arial"/>
                <w:bCs/>
                <w:sz w:val="22"/>
                <w:szCs w:val="22"/>
              </w:rPr>
              <w:t xml:space="preserve">Siguiri </w:t>
            </w:r>
            <w:r>
              <w:rPr>
                <w:rFonts w:cs="Arial"/>
                <w:bCs/>
                <w:sz w:val="22"/>
                <w:szCs w:val="22"/>
              </w:rPr>
              <w:t xml:space="preserve">et Macenta </w:t>
            </w:r>
            <w:r w:rsidRPr="00F27F0A">
              <w:rPr>
                <w:rFonts w:cs="Arial"/>
                <w:bCs/>
                <w:sz w:val="22"/>
                <w:szCs w:val="22"/>
              </w:rPr>
              <w:t xml:space="preserve">en collaboration avec les autorités sanitaires </w:t>
            </w:r>
            <w:r>
              <w:rPr>
                <w:rFonts w:cs="Arial"/>
                <w:bCs/>
                <w:sz w:val="22"/>
                <w:szCs w:val="22"/>
              </w:rPr>
              <w:t>locales, dont quatre dans le cadre du présent projet.</w:t>
            </w:r>
            <w:r w:rsidRPr="00ED5E83">
              <w:rPr>
                <w:rFonts w:cs="Arial"/>
                <w:bCs/>
                <w:sz w:val="22"/>
                <w:szCs w:val="22"/>
              </w:rPr>
              <w:t xml:space="preserve"> Ces sites ont été choisis en raison de la forte demande de prise en charge des VBG, de la disponibilité d’un personnel qualifié qui sera dédié à cette tâche, de la disponibilité de salles de soins, du leadership des responsables. Les équipements médicaux, kits SR pour appuyer ces centres dans la prise en charge des VBG ont été commandés.</w:t>
            </w:r>
            <w:r>
              <w:rPr>
                <w:rFonts w:cs="Arial"/>
                <w:bCs/>
                <w:sz w:val="22"/>
                <w:szCs w:val="22"/>
              </w:rPr>
              <w:t xml:space="preserve"> Au niveau de l’accompagnement psychosocial, </w:t>
            </w:r>
            <w:r w:rsidR="00935395" w:rsidRPr="00ED5E83">
              <w:rPr>
                <w:rFonts w:cs="Arial"/>
                <w:bCs/>
                <w:sz w:val="22"/>
                <w:szCs w:val="22"/>
              </w:rPr>
              <w:t xml:space="preserve">131 victimes </w:t>
            </w:r>
            <w:r>
              <w:rPr>
                <w:rFonts w:cs="Arial"/>
                <w:bCs/>
                <w:sz w:val="22"/>
                <w:szCs w:val="22"/>
              </w:rPr>
              <w:t xml:space="preserve">ont été </w:t>
            </w:r>
            <w:r w:rsidR="00935395" w:rsidRPr="00ED5E83">
              <w:rPr>
                <w:rFonts w:cs="Arial"/>
                <w:bCs/>
                <w:sz w:val="22"/>
                <w:szCs w:val="22"/>
              </w:rPr>
              <w:t xml:space="preserve">reçues </w:t>
            </w:r>
            <w:r>
              <w:rPr>
                <w:rFonts w:cs="Arial"/>
                <w:bCs/>
                <w:sz w:val="22"/>
                <w:szCs w:val="22"/>
              </w:rPr>
              <w:t xml:space="preserve"> au niveau des centres de soins. </w:t>
            </w:r>
            <w:r w:rsidRPr="00F27F0A">
              <w:rPr>
                <w:rFonts w:cs="Arial"/>
                <w:bCs/>
                <w:sz w:val="22"/>
                <w:szCs w:val="22"/>
              </w:rPr>
              <w:t>Sur la période de</w:t>
            </w:r>
            <w:r>
              <w:rPr>
                <w:rFonts w:cs="Arial"/>
                <w:bCs/>
                <w:sz w:val="22"/>
                <w:szCs w:val="22"/>
              </w:rPr>
              <w:t xml:space="preserve"> </w:t>
            </w:r>
            <w:r w:rsidRPr="00F27F0A">
              <w:rPr>
                <w:rFonts w:cs="Arial"/>
                <w:bCs/>
                <w:sz w:val="22"/>
                <w:szCs w:val="22"/>
              </w:rPr>
              <w:t>Janvier à Mars 2</w:t>
            </w:r>
            <w:r>
              <w:rPr>
                <w:rFonts w:cs="Arial"/>
                <w:bCs/>
                <w:sz w:val="22"/>
                <w:szCs w:val="22"/>
              </w:rPr>
              <w:t>014</w:t>
            </w:r>
            <w:r w:rsidRPr="00F27F0A">
              <w:rPr>
                <w:rFonts w:cs="Arial"/>
                <w:bCs/>
                <w:sz w:val="22"/>
                <w:szCs w:val="22"/>
              </w:rPr>
              <w:t>, les données collecté</w:t>
            </w:r>
            <w:r w:rsidR="000E291E">
              <w:rPr>
                <w:rFonts w:cs="Arial"/>
                <w:bCs/>
                <w:sz w:val="22"/>
                <w:szCs w:val="22"/>
              </w:rPr>
              <w:t xml:space="preserve">es par les Centres pilote VBG </w:t>
            </w:r>
            <w:r w:rsidRPr="00F27F0A">
              <w:rPr>
                <w:rFonts w:cs="Arial"/>
                <w:bCs/>
                <w:sz w:val="22"/>
                <w:szCs w:val="22"/>
              </w:rPr>
              <w:t>font état de 132 cas (tout sexe confondus) dont 62 cas de viol.</w:t>
            </w:r>
          </w:p>
          <w:p w14:paraId="2C1B9880" w14:textId="77777777" w:rsidR="002233CB" w:rsidRPr="002233CB" w:rsidRDefault="002233CB" w:rsidP="002233CB">
            <w:pPr>
              <w:jc w:val="both"/>
              <w:rPr>
                <w:rFonts w:cs="Arial"/>
                <w:bCs/>
                <w:sz w:val="22"/>
                <w:szCs w:val="22"/>
                <w:highlight w:val="green"/>
                <w:lang w:eastAsia="en-US"/>
              </w:rPr>
            </w:pPr>
          </w:p>
          <w:p w14:paraId="00A6464D" w14:textId="52AB3EEE" w:rsidR="00031555" w:rsidRDefault="00AE0848" w:rsidP="00031555">
            <w:pPr>
              <w:pStyle w:val="BodyText2"/>
              <w:spacing w:after="0" w:line="240" w:lineRule="auto"/>
              <w:jc w:val="both"/>
              <w:rPr>
                <w:rFonts w:cs="Arial"/>
                <w:bCs/>
                <w:sz w:val="22"/>
                <w:szCs w:val="22"/>
                <w:lang w:eastAsia="en-US"/>
              </w:rPr>
            </w:pPr>
            <w:r w:rsidRPr="001A13CE">
              <w:rPr>
                <w:rFonts w:cs="Arial"/>
                <w:bCs/>
                <w:sz w:val="22"/>
                <w:szCs w:val="22"/>
                <w:lang w:eastAsia="en-US"/>
              </w:rPr>
              <w:t>En ce qui concerne l’assistance aux victimes, l’UNICE</w:t>
            </w:r>
            <w:r w:rsidR="00542F21" w:rsidRPr="001A13CE">
              <w:rPr>
                <w:rFonts w:cs="Arial"/>
                <w:bCs/>
                <w:sz w:val="22"/>
                <w:szCs w:val="22"/>
                <w:lang w:eastAsia="en-US"/>
              </w:rPr>
              <w:t>F, notamment avec des fonds propres</w:t>
            </w:r>
            <w:r w:rsidRPr="001A13CE">
              <w:rPr>
                <w:rFonts w:cs="Arial"/>
                <w:bCs/>
                <w:sz w:val="22"/>
                <w:szCs w:val="22"/>
                <w:lang w:eastAsia="en-US"/>
              </w:rPr>
              <w:t xml:space="preserve"> </w:t>
            </w:r>
            <w:r w:rsidR="00542F21" w:rsidRPr="001A13CE">
              <w:rPr>
                <w:rFonts w:cs="Arial"/>
                <w:bCs/>
                <w:sz w:val="22"/>
                <w:szCs w:val="22"/>
                <w:lang w:eastAsia="en-US"/>
              </w:rPr>
              <w:t xml:space="preserve">complémentaires, </w:t>
            </w:r>
            <w:r w:rsidRPr="001A13CE">
              <w:rPr>
                <w:rFonts w:cs="Arial"/>
                <w:bCs/>
                <w:sz w:val="22"/>
                <w:szCs w:val="22"/>
                <w:lang w:eastAsia="en-US"/>
              </w:rPr>
              <w:t xml:space="preserve">a </w:t>
            </w:r>
            <w:r w:rsidR="00542F21" w:rsidRPr="001A13CE">
              <w:rPr>
                <w:rFonts w:cs="Arial"/>
                <w:bCs/>
                <w:sz w:val="22"/>
                <w:szCs w:val="22"/>
                <w:lang w:eastAsia="en-US"/>
              </w:rPr>
              <w:t xml:space="preserve"> </w:t>
            </w:r>
            <w:r w:rsidRPr="001A13CE">
              <w:rPr>
                <w:rFonts w:cs="Arial"/>
                <w:bCs/>
                <w:sz w:val="22"/>
                <w:szCs w:val="22"/>
                <w:lang w:eastAsia="en-US"/>
              </w:rPr>
              <w:t xml:space="preserve">l’ONG AGUIAS qui intervient auprès des victimes de VBG à travers sa ligne verte, le n°116. Le lancement officiel de cette ligne a été fait le 19 mars 2014 en présence du Ministre des Droits de l’Homme et de l’Ambassadeur de Grande-Bretagne. Suite à la médiatisation du lancement, </w:t>
            </w:r>
            <w:r w:rsidR="001A13CE">
              <w:rPr>
                <w:rFonts w:cs="Arial"/>
                <w:bCs/>
                <w:sz w:val="22"/>
                <w:szCs w:val="22"/>
                <w:lang w:eastAsia="en-US"/>
              </w:rPr>
              <w:t xml:space="preserve">12,508 </w:t>
            </w:r>
            <w:r w:rsidRPr="001A13CE">
              <w:rPr>
                <w:rFonts w:cs="Arial"/>
                <w:bCs/>
                <w:sz w:val="22"/>
                <w:szCs w:val="22"/>
                <w:lang w:eastAsia="en-US"/>
              </w:rPr>
              <w:t>appels ont été reçus provenant de toutes l</w:t>
            </w:r>
            <w:r w:rsidR="001A13CE">
              <w:rPr>
                <w:rFonts w:cs="Arial"/>
                <w:bCs/>
                <w:sz w:val="22"/>
                <w:szCs w:val="22"/>
                <w:lang w:eastAsia="en-US"/>
              </w:rPr>
              <w:t xml:space="preserve">es régions de la Guinée </w:t>
            </w:r>
            <w:r w:rsidRPr="001A13CE">
              <w:rPr>
                <w:rFonts w:cs="Arial"/>
                <w:bCs/>
                <w:sz w:val="22"/>
                <w:szCs w:val="22"/>
                <w:lang w:eastAsia="en-US"/>
              </w:rPr>
              <w:t>pou</w:t>
            </w:r>
            <w:r w:rsidR="001A13CE">
              <w:rPr>
                <w:rFonts w:cs="Arial"/>
                <w:bCs/>
                <w:sz w:val="22"/>
                <w:szCs w:val="22"/>
                <w:lang w:eastAsia="en-US"/>
              </w:rPr>
              <w:t xml:space="preserve">r la période mars à juin 2014, dont 32% d’appels relatifs aux violences conjugales, 41% relatifs aux viols, 9,4% relatifs aux violences psychologiques, 0,17% relatifs aux mariages précoces et 17,6% </w:t>
            </w:r>
            <w:r w:rsidR="001A13CE" w:rsidRPr="001A13CE">
              <w:rPr>
                <w:rFonts w:cs="Arial"/>
                <w:bCs/>
                <w:sz w:val="22"/>
                <w:szCs w:val="22"/>
                <w:lang w:eastAsia="en-US"/>
              </w:rPr>
              <w:t>relatifs  aux états généraux de la santé</w:t>
            </w:r>
            <w:r w:rsidR="001A13CE">
              <w:rPr>
                <w:rFonts w:cs="Arial"/>
                <w:bCs/>
                <w:sz w:val="22"/>
                <w:szCs w:val="22"/>
                <w:lang w:eastAsia="en-US"/>
              </w:rPr>
              <w:t>.</w:t>
            </w:r>
          </w:p>
          <w:p w14:paraId="1050BD6B" w14:textId="77777777" w:rsidR="000E291E" w:rsidRPr="0051176A" w:rsidRDefault="000E291E" w:rsidP="00031555">
            <w:pPr>
              <w:pStyle w:val="BodyText2"/>
              <w:spacing w:after="0" w:line="240" w:lineRule="auto"/>
              <w:jc w:val="both"/>
              <w:rPr>
                <w:rFonts w:cs="Arial"/>
                <w:bCs/>
                <w:sz w:val="22"/>
                <w:szCs w:val="22"/>
                <w:lang w:eastAsia="en-US"/>
              </w:rPr>
            </w:pPr>
          </w:p>
          <w:p w14:paraId="05E3956C" w14:textId="77777777" w:rsidR="007B565A" w:rsidRPr="00347C55" w:rsidRDefault="007B565A" w:rsidP="001A13CE">
            <w:pPr>
              <w:pStyle w:val="BodyText2"/>
              <w:spacing w:after="0" w:line="240" w:lineRule="auto"/>
              <w:jc w:val="both"/>
              <w:rPr>
                <w:rFonts w:cs="Arial"/>
                <w:bCs/>
                <w:sz w:val="22"/>
                <w:szCs w:val="22"/>
                <w:lang w:eastAsia="en-US"/>
              </w:rPr>
            </w:pPr>
            <w:r w:rsidRPr="001A13CE">
              <w:rPr>
                <w:rFonts w:cs="Arial"/>
                <w:bCs/>
                <w:sz w:val="22"/>
                <w:szCs w:val="22"/>
                <w:lang w:eastAsia="en-US"/>
              </w:rPr>
              <w:t>Ces appels font l’objet d’un traitement par des travailleurs sociaux et les victimes de VBG sont conseillées et réorientées vers les structures disponibles selon les cas (structures de police/gendarmerie, hôpitaux, ONG, etc.)</w:t>
            </w:r>
            <w:r w:rsidR="00542F21" w:rsidRPr="001A13CE">
              <w:rPr>
                <w:rFonts w:cs="Arial"/>
                <w:bCs/>
                <w:sz w:val="22"/>
                <w:szCs w:val="22"/>
                <w:lang w:eastAsia="en-US"/>
              </w:rPr>
              <w:t>.</w:t>
            </w:r>
            <w:r w:rsidR="00CD0FB4" w:rsidRPr="001A13CE">
              <w:rPr>
                <w:rFonts w:cs="Arial"/>
                <w:bCs/>
                <w:sz w:val="22"/>
                <w:szCs w:val="22"/>
                <w:lang w:eastAsia="en-US"/>
              </w:rPr>
              <w:t xml:space="preserve"> </w:t>
            </w:r>
            <w:r w:rsidR="00CD0FB4" w:rsidRPr="001A13CE">
              <w:rPr>
                <w:rFonts w:cs="Arial"/>
                <w:bCs/>
                <w:sz w:val="22"/>
                <w:szCs w:val="22"/>
                <w:lang w:eastAsia="en-US"/>
              </w:rPr>
              <w:lastRenderedPageBreak/>
              <w:t>Ainsi, pour les cas de viols et violences sexuelles, toutes les victimes ont été orientées vers la police pour bénéficier d’un soutien médico-légal. Pour les cas de violences conjugales, seuls 12 cas ont effectivement donné lieu à une enquête de police, les victimes craignant souvent la stigmatisation, hésitent à aller porter plainte. 411 victimes de VBG ont été prises en charge par l’ONG AGUIAS dans la maison d’accueil sécurisée gérée par l’ONG, depuis le lancement de la ligne verte.</w:t>
            </w:r>
            <w:r w:rsidR="00CD0FB4" w:rsidRPr="00347C55">
              <w:rPr>
                <w:rFonts w:cs="Arial"/>
                <w:bCs/>
                <w:sz w:val="22"/>
                <w:szCs w:val="22"/>
                <w:lang w:eastAsia="en-US"/>
              </w:rPr>
              <w:t xml:space="preserve"> </w:t>
            </w:r>
            <w:r w:rsidR="00542F21" w:rsidRPr="00347C55">
              <w:rPr>
                <w:rFonts w:cs="Arial"/>
                <w:bCs/>
                <w:sz w:val="22"/>
                <w:szCs w:val="22"/>
                <w:lang w:eastAsia="en-US"/>
              </w:rPr>
              <w:t xml:space="preserve"> </w:t>
            </w:r>
          </w:p>
          <w:p w14:paraId="06E8127A" w14:textId="77777777" w:rsidR="007B565A" w:rsidRPr="00347C55" w:rsidRDefault="007B565A" w:rsidP="00A624E6">
            <w:pPr>
              <w:pStyle w:val="BodyText2"/>
              <w:spacing w:after="0" w:line="240" w:lineRule="auto"/>
              <w:jc w:val="both"/>
              <w:rPr>
                <w:rFonts w:cs="Arial"/>
                <w:bCs/>
                <w:sz w:val="22"/>
                <w:szCs w:val="22"/>
                <w:lang w:eastAsia="en-US"/>
              </w:rPr>
            </w:pPr>
          </w:p>
          <w:p w14:paraId="101980D0" w14:textId="59E45C31" w:rsidR="00031555" w:rsidRPr="00FA3F7F" w:rsidRDefault="00031555" w:rsidP="00022522">
            <w:pPr>
              <w:pStyle w:val="BodyText2"/>
              <w:spacing w:after="0" w:line="240" w:lineRule="auto"/>
              <w:jc w:val="both"/>
              <w:rPr>
                <w:rFonts w:cs="Arial"/>
                <w:bCs/>
                <w:sz w:val="22"/>
                <w:szCs w:val="22"/>
                <w:highlight w:val="green"/>
                <w:lang w:eastAsia="en-US"/>
              </w:rPr>
            </w:pPr>
            <w:r>
              <w:rPr>
                <w:rFonts w:cs="Arial"/>
                <w:bCs/>
                <w:sz w:val="22"/>
                <w:szCs w:val="22"/>
                <w:lang w:eastAsia="en-US"/>
              </w:rPr>
              <w:t>En ce qui concerne l</w:t>
            </w:r>
            <w:r w:rsidR="000F2AC9">
              <w:rPr>
                <w:rFonts w:cs="Arial"/>
                <w:bCs/>
                <w:sz w:val="22"/>
                <w:szCs w:val="22"/>
                <w:lang w:eastAsia="en-US"/>
              </w:rPr>
              <w:t xml:space="preserve">’accompagnement juridique et judiciaire </w:t>
            </w:r>
            <w:r>
              <w:rPr>
                <w:rFonts w:cs="Arial"/>
                <w:bCs/>
                <w:sz w:val="22"/>
                <w:szCs w:val="22"/>
                <w:lang w:eastAsia="en-US"/>
              </w:rPr>
              <w:t xml:space="preserve">des </w:t>
            </w:r>
            <w:r w:rsidR="000F2AC9">
              <w:rPr>
                <w:rFonts w:cs="Arial"/>
                <w:bCs/>
                <w:sz w:val="22"/>
                <w:szCs w:val="22"/>
                <w:lang w:eastAsia="en-US"/>
              </w:rPr>
              <w:t xml:space="preserve">victimes de </w:t>
            </w:r>
            <w:r>
              <w:rPr>
                <w:rFonts w:cs="Arial"/>
                <w:bCs/>
                <w:sz w:val="22"/>
                <w:szCs w:val="22"/>
                <w:lang w:eastAsia="en-US"/>
              </w:rPr>
              <w:t>VBG,</w:t>
            </w:r>
            <w:r w:rsidR="00E91839">
              <w:rPr>
                <w:rFonts w:cs="Arial"/>
                <w:bCs/>
                <w:sz w:val="22"/>
                <w:szCs w:val="22"/>
                <w:lang w:eastAsia="en-US"/>
              </w:rPr>
              <w:t xml:space="preserve"> </w:t>
            </w:r>
            <w:r w:rsidR="00F0537E">
              <w:rPr>
                <w:rFonts w:cs="Arial"/>
                <w:bCs/>
                <w:sz w:val="22"/>
                <w:szCs w:val="22"/>
                <w:lang w:eastAsia="en-US"/>
              </w:rPr>
              <w:t xml:space="preserve">suite </w:t>
            </w:r>
            <w:r w:rsidR="00F0537E" w:rsidRPr="001A13CE">
              <w:rPr>
                <w:rFonts w:cs="Arial"/>
                <w:bCs/>
                <w:sz w:val="22"/>
                <w:szCs w:val="22"/>
                <w:lang w:eastAsia="en-US"/>
              </w:rPr>
              <w:t>à</w:t>
            </w:r>
            <w:r w:rsidR="000F2AC9">
              <w:rPr>
                <w:rFonts w:cs="Arial"/>
                <w:bCs/>
                <w:sz w:val="22"/>
                <w:szCs w:val="22"/>
                <w:lang w:eastAsia="en-US"/>
              </w:rPr>
              <w:t xml:space="preserve"> l’élaboration du</w:t>
            </w:r>
            <w:r>
              <w:rPr>
                <w:rFonts w:cs="Arial"/>
                <w:bCs/>
                <w:sz w:val="22"/>
                <w:szCs w:val="22"/>
                <w:lang w:eastAsia="en-US"/>
              </w:rPr>
              <w:t xml:space="preserve"> guide </w:t>
            </w:r>
            <w:r w:rsidR="00F0537E">
              <w:rPr>
                <w:rFonts w:cs="Arial"/>
                <w:bCs/>
                <w:sz w:val="22"/>
                <w:szCs w:val="22"/>
                <w:lang w:eastAsia="en-US"/>
              </w:rPr>
              <w:t>de formation et le renforcement de</w:t>
            </w:r>
            <w:r w:rsidR="00FA3F7F">
              <w:rPr>
                <w:rFonts w:cs="Arial"/>
                <w:bCs/>
                <w:sz w:val="22"/>
                <w:szCs w:val="22"/>
                <w:lang w:eastAsia="en-US"/>
              </w:rPr>
              <w:t>s capacités de</w:t>
            </w:r>
            <w:r w:rsidR="00F0537E">
              <w:rPr>
                <w:rFonts w:cs="Arial"/>
                <w:bCs/>
                <w:sz w:val="22"/>
                <w:szCs w:val="22"/>
                <w:lang w:eastAsia="en-US"/>
              </w:rPr>
              <w:t xml:space="preserve"> 150 professionnels de la justice </w:t>
            </w:r>
            <w:r w:rsidR="00F0537E" w:rsidRPr="001A13CE">
              <w:rPr>
                <w:rFonts w:cs="Arial"/>
                <w:bCs/>
                <w:sz w:val="22"/>
                <w:szCs w:val="22"/>
                <w:lang w:eastAsia="en-US"/>
              </w:rPr>
              <w:t>à</w:t>
            </w:r>
            <w:r w:rsidR="000F2AC9" w:rsidRPr="00F0537E">
              <w:rPr>
                <w:rFonts w:cs="Arial"/>
                <w:bCs/>
                <w:sz w:val="22"/>
                <w:szCs w:val="22"/>
                <w:lang w:eastAsia="en-US"/>
              </w:rPr>
              <w:t xml:space="preserve"> Conakry et les Régions de Kankan et Labé en 2013</w:t>
            </w:r>
            <w:r w:rsidR="00F0537E">
              <w:rPr>
                <w:rFonts w:cs="Arial"/>
                <w:bCs/>
                <w:sz w:val="22"/>
                <w:szCs w:val="22"/>
                <w:lang w:eastAsia="en-US"/>
              </w:rPr>
              <w:t>, un programme d’accompagnement de 30 femmes et filles victimes de VBG est en train d’être mis en œuvre</w:t>
            </w:r>
            <w:r w:rsidR="00FA3F7F">
              <w:rPr>
                <w:rFonts w:cs="Arial"/>
                <w:bCs/>
                <w:sz w:val="22"/>
                <w:szCs w:val="22"/>
                <w:lang w:eastAsia="en-US"/>
              </w:rPr>
              <w:t xml:space="preserve"> avec l’appui du PNUD</w:t>
            </w:r>
            <w:r w:rsidR="00F0537E">
              <w:rPr>
                <w:rFonts w:cs="Arial"/>
                <w:bCs/>
                <w:sz w:val="22"/>
                <w:szCs w:val="22"/>
                <w:lang w:eastAsia="en-US"/>
              </w:rPr>
              <w:t xml:space="preserve"> à travers l’ONG l’Association du Barreau Américain</w:t>
            </w:r>
            <w:r w:rsidR="00A66649">
              <w:rPr>
                <w:rFonts w:cs="Arial"/>
                <w:bCs/>
                <w:sz w:val="22"/>
                <w:szCs w:val="22"/>
                <w:lang w:eastAsia="en-US"/>
              </w:rPr>
              <w:t xml:space="preserve"> (ABA)</w:t>
            </w:r>
            <w:r w:rsidR="00F0537E">
              <w:rPr>
                <w:rFonts w:cs="Arial"/>
                <w:bCs/>
                <w:sz w:val="22"/>
                <w:szCs w:val="22"/>
                <w:lang w:eastAsia="en-US"/>
              </w:rPr>
              <w:t xml:space="preserve"> à Kankan et Conakry. Les bénéficiaires recevront un appui holistique tout au l</w:t>
            </w:r>
            <w:r w:rsidR="00FA3F7F">
              <w:rPr>
                <w:rFonts w:cs="Arial"/>
                <w:bCs/>
                <w:sz w:val="22"/>
                <w:szCs w:val="22"/>
                <w:lang w:eastAsia="en-US"/>
              </w:rPr>
              <w:t xml:space="preserve">ong de la procédure judiciaire, y compris </w:t>
            </w:r>
            <w:r w:rsidR="00DC6ED2">
              <w:rPr>
                <w:rFonts w:cs="Arial"/>
                <w:bCs/>
                <w:sz w:val="22"/>
                <w:szCs w:val="22"/>
                <w:lang w:eastAsia="en-US"/>
              </w:rPr>
              <w:t>de la prise en charge</w:t>
            </w:r>
            <w:r w:rsidR="00F0537E">
              <w:rPr>
                <w:rFonts w:cs="Arial"/>
                <w:bCs/>
                <w:sz w:val="22"/>
                <w:szCs w:val="22"/>
                <w:lang w:eastAsia="en-US"/>
              </w:rPr>
              <w:t xml:space="preserve"> des </w:t>
            </w:r>
            <w:r w:rsidR="00FA3F7F">
              <w:rPr>
                <w:rFonts w:cs="Arial"/>
                <w:bCs/>
                <w:sz w:val="22"/>
                <w:szCs w:val="22"/>
                <w:lang w:eastAsia="en-US"/>
              </w:rPr>
              <w:t>frais de procédure en justice. Ce programme est complémentaire au programme d’</w:t>
            </w:r>
            <w:r w:rsidR="00FA3F7F" w:rsidRPr="00FA3F7F">
              <w:rPr>
                <w:rFonts w:cs="Arial"/>
                <w:bCs/>
                <w:sz w:val="22"/>
                <w:szCs w:val="22"/>
                <w:lang w:eastAsia="en-US"/>
              </w:rPr>
              <w:t>accompagnement judicaire de 150 victimes de VBG</w:t>
            </w:r>
            <w:r w:rsidR="00FA3F7F">
              <w:rPr>
                <w:rFonts w:cs="Arial"/>
                <w:bCs/>
                <w:sz w:val="22"/>
                <w:szCs w:val="22"/>
                <w:lang w:eastAsia="en-US"/>
              </w:rPr>
              <w:t xml:space="preserve"> </w:t>
            </w:r>
            <w:r w:rsidR="00FA3F7F" w:rsidRPr="001A13CE">
              <w:rPr>
                <w:rFonts w:cs="Arial"/>
                <w:bCs/>
                <w:sz w:val="22"/>
                <w:szCs w:val="22"/>
                <w:lang w:eastAsia="en-US"/>
              </w:rPr>
              <w:t>à</w:t>
            </w:r>
            <w:r w:rsidR="00FA3F7F" w:rsidRPr="00FA3F7F">
              <w:rPr>
                <w:rFonts w:cs="Arial"/>
                <w:bCs/>
                <w:sz w:val="22"/>
                <w:szCs w:val="22"/>
                <w:lang w:eastAsia="en-US"/>
              </w:rPr>
              <w:t xml:space="preserve"> travers les </w:t>
            </w:r>
            <w:r w:rsidRPr="00FA3F7F">
              <w:rPr>
                <w:rFonts w:cs="Arial"/>
                <w:bCs/>
                <w:sz w:val="22"/>
                <w:szCs w:val="22"/>
                <w:lang w:eastAsia="en-US"/>
              </w:rPr>
              <w:t xml:space="preserve">Centre d’Information et de Proximité </w:t>
            </w:r>
            <w:r w:rsidR="000F53FF">
              <w:rPr>
                <w:rFonts w:cs="Arial"/>
                <w:bCs/>
                <w:sz w:val="22"/>
                <w:szCs w:val="22"/>
                <w:lang w:eastAsia="en-US"/>
              </w:rPr>
              <w:t>piloté</w:t>
            </w:r>
            <w:r w:rsidR="00FA3F7F" w:rsidRPr="00FA3F7F">
              <w:rPr>
                <w:rFonts w:cs="Arial"/>
                <w:bCs/>
                <w:sz w:val="22"/>
                <w:szCs w:val="22"/>
                <w:lang w:eastAsia="en-US"/>
              </w:rPr>
              <w:t xml:space="preserve"> par le Ministère de la Justice.</w:t>
            </w:r>
          </w:p>
          <w:p w14:paraId="3D6F5F65" w14:textId="77777777" w:rsidR="000F2AC9" w:rsidRDefault="000F2AC9" w:rsidP="00022522">
            <w:pPr>
              <w:pStyle w:val="BodyText2"/>
              <w:spacing w:after="0" w:line="240" w:lineRule="auto"/>
              <w:jc w:val="both"/>
              <w:rPr>
                <w:rFonts w:cs="Arial"/>
                <w:bCs/>
                <w:sz w:val="22"/>
                <w:szCs w:val="22"/>
                <w:lang w:eastAsia="en-US"/>
              </w:rPr>
            </w:pPr>
          </w:p>
          <w:p w14:paraId="74AB7BB0" w14:textId="77777777" w:rsidR="000F2AC9" w:rsidRDefault="000F2AC9" w:rsidP="000F2AC9">
            <w:pPr>
              <w:pStyle w:val="BodyText2"/>
              <w:spacing w:after="0" w:line="240" w:lineRule="auto"/>
              <w:jc w:val="both"/>
              <w:rPr>
                <w:rFonts w:cs="Arial"/>
                <w:bCs/>
                <w:sz w:val="22"/>
                <w:szCs w:val="22"/>
                <w:lang w:eastAsia="en-US"/>
              </w:rPr>
            </w:pPr>
            <w:r w:rsidRPr="00C95344">
              <w:rPr>
                <w:rFonts w:cs="Arial"/>
                <w:bCs/>
                <w:sz w:val="22"/>
                <w:szCs w:val="22"/>
                <w:lang w:eastAsia="en-US"/>
              </w:rPr>
              <w:t>Un programme pour la réintégration socioéconomique ciblant 60 victimes de VBG recensé à travers les Centres VBG dans</w:t>
            </w:r>
            <w:r>
              <w:rPr>
                <w:rFonts w:cs="Arial"/>
                <w:bCs/>
                <w:sz w:val="22"/>
                <w:szCs w:val="22"/>
                <w:lang w:eastAsia="en-US"/>
              </w:rPr>
              <w:t xml:space="preserve"> 2</w:t>
            </w:r>
            <w:r w:rsidRPr="00C95344">
              <w:rPr>
                <w:rFonts w:cs="Arial"/>
                <w:bCs/>
                <w:sz w:val="22"/>
                <w:szCs w:val="22"/>
                <w:lang w:eastAsia="en-US"/>
              </w:rPr>
              <w:t xml:space="preserve"> structures de Sant</w:t>
            </w:r>
            <w:r>
              <w:rPr>
                <w:rFonts w:cs="Arial"/>
                <w:bCs/>
                <w:sz w:val="22"/>
                <w:szCs w:val="22"/>
                <w:lang w:eastAsia="en-US"/>
              </w:rPr>
              <w:t>é</w:t>
            </w:r>
            <w:r w:rsidRPr="00C95344">
              <w:rPr>
                <w:rFonts w:cs="Arial"/>
                <w:bCs/>
                <w:sz w:val="22"/>
                <w:szCs w:val="22"/>
                <w:lang w:eastAsia="en-US"/>
              </w:rPr>
              <w:t xml:space="preserve"> de  Conakry</w:t>
            </w:r>
            <w:r w:rsidR="005D0DF3">
              <w:rPr>
                <w:rFonts w:cs="Arial"/>
                <w:bCs/>
                <w:sz w:val="22"/>
                <w:szCs w:val="22"/>
                <w:lang w:eastAsia="en-US"/>
              </w:rPr>
              <w:t>, Jeans Paul</w:t>
            </w:r>
            <w:r>
              <w:rPr>
                <w:rFonts w:cs="Arial"/>
                <w:bCs/>
                <w:sz w:val="22"/>
                <w:szCs w:val="22"/>
                <w:lang w:eastAsia="en-US"/>
              </w:rPr>
              <w:t xml:space="preserve"> 2 et Dabompa</w:t>
            </w:r>
            <w:r w:rsidRPr="00C95344">
              <w:rPr>
                <w:rFonts w:cs="Arial"/>
                <w:bCs/>
                <w:sz w:val="22"/>
                <w:szCs w:val="22"/>
                <w:lang w:eastAsia="en-US"/>
              </w:rPr>
              <w:t xml:space="preserve"> est en train </w:t>
            </w:r>
            <w:r>
              <w:rPr>
                <w:rFonts w:cs="Arial"/>
                <w:bCs/>
                <w:sz w:val="22"/>
                <w:szCs w:val="22"/>
                <w:lang w:eastAsia="en-US"/>
              </w:rPr>
              <w:t xml:space="preserve">de d’être mis en place.  Suite </w:t>
            </w:r>
            <w:r w:rsidRPr="00325BF6">
              <w:rPr>
                <w:rFonts w:cs="Arial"/>
                <w:bCs/>
                <w:sz w:val="22"/>
                <w:szCs w:val="22"/>
                <w:lang w:eastAsia="en-US"/>
              </w:rPr>
              <w:t>à</w:t>
            </w:r>
            <w:r w:rsidRPr="00C95344">
              <w:rPr>
                <w:rFonts w:cs="Arial"/>
                <w:bCs/>
                <w:sz w:val="22"/>
                <w:szCs w:val="22"/>
                <w:lang w:eastAsia="en-US"/>
              </w:rPr>
              <w:t xml:space="preserve"> une identification de besoins de formation et de  métier des victimes de VBG, des ateliers de formation des cibles à la vie associative aux techniques de gestions commune, planification et mobilisation de fonds sera dispensée. Les femmes seront ensuite organisées dans des Groupements d’Intérêts Economiques dans les domaines de la teinture,  saponification. Un soutien matériel et financier leur sera accordé leur permettant de mener des activités génératrices de revenus (AGR).</w:t>
            </w:r>
          </w:p>
          <w:p w14:paraId="411CF851" w14:textId="77777777" w:rsidR="00A81E56" w:rsidRDefault="00A81E56" w:rsidP="000F2AC9">
            <w:pPr>
              <w:pStyle w:val="BodyText2"/>
              <w:spacing w:after="0" w:line="240" w:lineRule="auto"/>
              <w:jc w:val="both"/>
              <w:rPr>
                <w:rFonts w:cs="Arial"/>
                <w:bCs/>
                <w:sz w:val="22"/>
                <w:szCs w:val="22"/>
                <w:lang w:eastAsia="en-US"/>
              </w:rPr>
            </w:pPr>
          </w:p>
          <w:p w14:paraId="322B336A" w14:textId="3811F4FE" w:rsidR="00A81E56" w:rsidRPr="00ED5E83" w:rsidRDefault="00A81E56" w:rsidP="00A81E56">
            <w:pPr>
              <w:jc w:val="both"/>
              <w:rPr>
                <w:rFonts w:cs="Arial"/>
                <w:bCs/>
                <w:sz w:val="22"/>
                <w:szCs w:val="22"/>
              </w:rPr>
            </w:pPr>
            <w:r>
              <w:rPr>
                <w:rFonts w:cs="Arial"/>
                <w:bCs/>
                <w:sz w:val="22"/>
                <w:szCs w:val="22"/>
              </w:rPr>
              <w:t xml:space="preserve">Durant la période de rapportage on relève enfin </w:t>
            </w:r>
            <w:r w:rsidRPr="00ED5E83">
              <w:rPr>
                <w:rFonts w:cs="Arial"/>
                <w:bCs/>
                <w:sz w:val="22"/>
                <w:szCs w:val="22"/>
              </w:rPr>
              <w:t>l’organisation de l</w:t>
            </w:r>
            <w:r>
              <w:rPr>
                <w:rFonts w:cs="Arial"/>
                <w:bCs/>
                <w:sz w:val="22"/>
                <w:szCs w:val="22"/>
              </w:rPr>
              <w:t xml:space="preserve">a revue à mi-parcours du projet avec la participation des experts Genre du PBSO et </w:t>
            </w:r>
            <w:proofErr w:type="gramStart"/>
            <w:r>
              <w:rPr>
                <w:rFonts w:cs="Arial"/>
                <w:bCs/>
                <w:sz w:val="22"/>
                <w:szCs w:val="22"/>
              </w:rPr>
              <w:t>de UNOWA</w:t>
            </w:r>
            <w:proofErr w:type="gramEnd"/>
            <w:r>
              <w:rPr>
                <w:rFonts w:cs="Arial"/>
                <w:bCs/>
                <w:sz w:val="22"/>
                <w:szCs w:val="22"/>
              </w:rPr>
              <w:t xml:space="preserve">. </w:t>
            </w:r>
          </w:p>
          <w:p w14:paraId="71B504B9" w14:textId="77777777" w:rsidR="00031555" w:rsidRPr="00EE50E9" w:rsidRDefault="00031555" w:rsidP="00031555">
            <w:pPr>
              <w:autoSpaceDE w:val="0"/>
              <w:autoSpaceDN w:val="0"/>
              <w:adjustRightInd w:val="0"/>
              <w:rPr>
                <w:bCs/>
                <w:i/>
              </w:rPr>
            </w:pPr>
          </w:p>
          <w:p w14:paraId="6AF101C7" w14:textId="400CEBAF" w:rsidR="00961F00" w:rsidRDefault="00FF61C6" w:rsidP="00FF61C6">
            <w:pPr>
              <w:outlineLvl w:val="0"/>
              <w:rPr>
                <w:i/>
                <w:color w:val="000000"/>
              </w:rPr>
            </w:pPr>
            <w:r>
              <w:rPr>
                <w:i/>
                <w:color w:val="000000"/>
              </w:rPr>
              <w:t xml:space="preserve">2. </w:t>
            </w:r>
            <w:r w:rsidRPr="00FF61C6">
              <w:rPr>
                <w:i/>
                <w:color w:val="000000"/>
              </w:rPr>
              <w:t>Y a-t-il des preuves que le projet a déjà un impact positif sur la consolidation de la paix ?</w:t>
            </w:r>
          </w:p>
          <w:p w14:paraId="5E8A3CA9" w14:textId="4CEBEC86" w:rsidR="00961F00" w:rsidRDefault="00961F00" w:rsidP="00961F00">
            <w:pPr>
              <w:autoSpaceDE w:val="0"/>
              <w:autoSpaceDN w:val="0"/>
              <w:adjustRightInd w:val="0"/>
              <w:jc w:val="both"/>
              <w:rPr>
                <w:color w:val="000000"/>
                <w:sz w:val="22"/>
                <w:szCs w:val="22"/>
              </w:rPr>
            </w:pPr>
            <w:r>
              <w:rPr>
                <w:color w:val="000000"/>
                <w:sz w:val="22"/>
                <w:szCs w:val="22"/>
              </w:rPr>
              <w:t xml:space="preserve">Le projet a un impact positif sur la sensibilité des Forces de Défense de l’Armée relatif au VBG et un début de changement de comportement. Le dispositif de prévention et de </w:t>
            </w:r>
            <w:r w:rsidR="00714C76">
              <w:rPr>
                <w:color w:val="000000"/>
                <w:sz w:val="22"/>
                <w:szCs w:val="22"/>
              </w:rPr>
              <w:t>protection mis en place à travers le projet va contribuer à réduire le risque d</w:t>
            </w:r>
            <w:r>
              <w:rPr>
                <w:color w:val="000000"/>
                <w:sz w:val="22"/>
                <w:szCs w:val="22"/>
              </w:rPr>
              <w:t>es</w:t>
            </w:r>
            <w:r w:rsidR="00714C76">
              <w:rPr>
                <w:color w:val="000000"/>
                <w:sz w:val="22"/>
                <w:szCs w:val="22"/>
              </w:rPr>
              <w:t xml:space="preserve"> actes de</w:t>
            </w:r>
            <w:r>
              <w:rPr>
                <w:color w:val="000000"/>
                <w:sz w:val="22"/>
                <w:szCs w:val="22"/>
              </w:rPr>
              <w:t xml:space="preserve"> VBG </w:t>
            </w:r>
            <w:r w:rsidR="00714C76">
              <w:rPr>
                <w:color w:val="000000"/>
                <w:sz w:val="22"/>
                <w:szCs w:val="22"/>
              </w:rPr>
              <w:t xml:space="preserve">commis par les FDS lors des potentiels conflits et permettre une réponse rapide aux victimes à travers la ligne d’urgence 116 et l’OPROGEM avec un référencement </w:t>
            </w:r>
            <w:proofErr w:type="gramStart"/>
            <w:r w:rsidR="00714C76">
              <w:rPr>
                <w:color w:val="000000"/>
                <w:sz w:val="22"/>
                <w:szCs w:val="22"/>
              </w:rPr>
              <w:t>au services appropriés</w:t>
            </w:r>
            <w:proofErr w:type="gramEnd"/>
            <w:r w:rsidR="00714C76">
              <w:rPr>
                <w:color w:val="000000"/>
                <w:sz w:val="22"/>
                <w:szCs w:val="22"/>
              </w:rPr>
              <w:t xml:space="preserve"> de prise en charge.</w:t>
            </w:r>
          </w:p>
          <w:p w14:paraId="68CB8569" w14:textId="77777777" w:rsidR="00E930C6" w:rsidRPr="00E930C6" w:rsidRDefault="00E930C6" w:rsidP="00FF61C6">
            <w:pPr>
              <w:outlineLvl w:val="0"/>
              <w:rPr>
                <w:color w:val="000000"/>
                <w:sz w:val="22"/>
                <w:szCs w:val="22"/>
                <w:u w:val="single"/>
              </w:rPr>
            </w:pPr>
          </w:p>
          <w:p w14:paraId="79AEA0AF" w14:textId="0E9A0F19" w:rsidR="00E316B9" w:rsidRPr="0034096A" w:rsidRDefault="00E930C6" w:rsidP="0034096A">
            <w:pPr>
              <w:outlineLvl w:val="0"/>
              <w:rPr>
                <w:i/>
                <w:color w:val="000000"/>
              </w:rPr>
            </w:pPr>
            <w:r w:rsidRPr="00E930C6">
              <w:rPr>
                <w:i/>
                <w:color w:val="000000"/>
              </w:rPr>
              <w:t>3. Des effets catalytiques ont-ils été constatés durant la période considérée, y compris en générant de nouveaux engagements de fonds ou en déclenchant / débloquant un processus de paix?</w:t>
            </w:r>
          </w:p>
          <w:p w14:paraId="0951178B" w14:textId="46A6EF0F" w:rsidR="00D05D4F" w:rsidRDefault="00CA398A" w:rsidP="00A81E56">
            <w:pPr>
              <w:autoSpaceDE w:val="0"/>
              <w:autoSpaceDN w:val="0"/>
              <w:adjustRightInd w:val="0"/>
              <w:jc w:val="both"/>
              <w:rPr>
                <w:color w:val="000000"/>
                <w:sz w:val="22"/>
                <w:szCs w:val="22"/>
              </w:rPr>
            </w:pPr>
            <w:r>
              <w:rPr>
                <w:color w:val="000000"/>
                <w:sz w:val="22"/>
                <w:szCs w:val="22"/>
              </w:rPr>
              <w:t>Le projet s’i</w:t>
            </w:r>
            <w:r w:rsidR="004A357E">
              <w:rPr>
                <w:color w:val="000000"/>
                <w:sz w:val="22"/>
                <w:szCs w:val="22"/>
              </w:rPr>
              <w:t>nscrit dans l</w:t>
            </w:r>
            <w:r>
              <w:rPr>
                <w:color w:val="000000"/>
                <w:sz w:val="22"/>
                <w:szCs w:val="22"/>
              </w:rPr>
              <w:t xml:space="preserve">e cadre </w:t>
            </w:r>
            <w:r w:rsidR="004A357E">
              <w:rPr>
                <w:color w:val="000000"/>
                <w:sz w:val="22"/>
                <w:szCs w:val="22"/>
              </w:rPr>
              <w:t>de la réforme du secteur de la sécurité</w:t>
            </w:r>
            <w:r>
              <w:rPr>
                <w:color w:val="000000"/>
                <w:sz w:val="22"/>
                <w:szCs w:val="22"/>
              </w:rPr>
              <w:t xml:space="preserve"> (RSS) dont la dynamique est soutenu</w:t>
            </w:r>
            <w:r w:rsidR="005A4F7C">
              <w:rPr>
                <w:color w:val="000000"/>
                <w:sz w:val="22"/>
                <w:szCs w:val="22"/>
              </w:rPr>
              <w:t>e</w:t>
            </w:r>
            <w:r>
              <w:rPr>
                <w:color w:val="000000"/>
                <w:sz w:val="22"/>
                <w:szCs w:val="22"/>
              </w:rPr>
              <w:t xml:space="preserve"> par le dispositif de coordination des partenaires, animé par le PNUD. Ce cadre de coordination </w:t>
            </w:r>
            <w:r w:rsidR="005A4F7C">
              <w:rPr>
                <w:color w:val="000000"/>
                <w:sz w:val="22"/>
                <w:szCs w:val="22"/>
              </w:rPr>
              <w:t>a permis</w:t>
            </w:r>
            <w:r>
              <w:rPr>
                <w:color w:val="000000"/>
                <w:sz w:val="22"/>
                <w:szCs w:val="22"/>
              </w:rPr>
              <w:t xml:space="preserve"> de rassembler et de créer la synergie</w:t>
            </w:r>
            <w:r w:rsidR="004A357E">
              <w:rPr>
                <w:color w:val="000000"/>
                <w:sz w:val="22"/>
                <w:szCs w:val="22"/>
              </w:rPr>
              <w:t xml:space="preserve"> </w:t>
            </w:r>
            <w:r w:rsidR="005805D6">
              <w:rPr>
                <w:color w:val="000000"/>
                <w:sz w:val="22"/>
                <w:szCs w:val="22"/>
              </w:rPr>
              <w:t>entre</w:t>
            </w:r>
            <w:r w:rsidR="001303DF">
              <w:rPr>
                <w:color w:val="000000"/>
                <w:sz w:val="22"/>
                <w:szCs w:val="22"/>
              </w:rPr>
              <w:t xml:space="preserve"> </w:t>
            </w:r>
            <w:r w:rsidR="005805D6">
              <w:rPr>
                <w:color w:val="000000"/>
                <w:sz w:val="22"/>
                <w:szCs w:val="22"/>
              </w:rPr>
              <w:t>l</w:t>
            </w:r>
            <w:r w:rsidR="001303DF">
              <w:rPr>
                <w:color w:val="000000"/>
                <w:sz w:val="22"/>
                <w:szCs w:val="22"/>
              </w:rPr>
              <w:t>es différents partenaires</w:t>
            </w:r>
            <w:r w:rsidR="005A4F7C">
              <w:rPr>
                <w:color w:val="000000"/>
                <w:sz w:val="22"/>
                <w:szCs w:val="22"/>
              </w:rPr>
              <w:t xml:space="preserve"> qui se sont naturellement inscrit dans la dynamique des actions initiées par les projets du PBF</w:t>
            </w:r>
            <w:r w:rsidR="005805D6">
              <w:rPr>
                <w:color w:val="000000"/>
                <w:sz w:val="22"/>
                <w:szCs w:val="22"/>
              </w:rPr>
              <w:t xml:space="preserve">. </w:t>
            </w:r>
          </w:p>
          <w:p w14:paraId="57E0FCD5" w14:textId="77777777" w:rsidR="00140757" w:rsidRDefault="00140757" w:rsidP="00A81E56">
            <w:pPr>
              <w:autoSpaceDE w:val="0"/>
              <w:autoSpaceDN w:val="0"/>
              <w:adjustRightInd w:val="0"/>
              <w:jc w:val="both"/>
              <w:rPr>
                <w:color w:val="000000"/>
                <w:sz w:val="22"/>
                <w:szCs w:val="22"/>
              </w:rPr>
            </w:pPr>
          </w:p>
          <w:p w14:paraId="13256364" w14:textId="1F3D871D" w:rsidR="00E213ED" w:rsidRDefault="00D05D4F" w:rsidP="00A81E56">
            <w:pPr>
              <w:autoSpaceDE w:val="0"/>
              <w:autoSpaceDN w:val="0"/>
              <w:adjustRightInd w:val="0"/>
              <w:jc w:val="both"/>
              <w:rPr>
                <w:rFonts w:cs="Arial"/>
                <w:bCs/>
                <w:sz w:val="22"/>
                <w:szCs w:val="22"/>
              </w:rPr>
            </w:pPr>
            <w:r w:rsidRPr="00B97DD4">
              <w:rPr>
                <w:sz w:val="22"/>
                <w:szCs w:val="22"/>
              </w:rPr>
              <w:t xml:space="preserve">Les passerelles entre le projet et ceux en lien avec la RSS, </w:t>
            </w:r>
            <w:r>
              <w:rPr>
                <w:rFonts w:cs="Arial"/>
                <w:bCs/>
                <w:sz w:val="22"/>
                <w:szCs w:val="22"/>
              </w:rPr>
              <w:t>ont été renforcé</w:t>
            </w:r>
            <w:r w:rsidR="00B00A91">
              <w:rPr>
                <w:rFonts w:cs="Arial"/>
                <w:bCs/>
                <w:sz w:val="22"/>
                <w:szCs w:val="22"/>
              </w:rPr>
              <w:t>es</w:t>
            </w:r>
            <w:r>
              <w:rPr>
                <w:rFonts w:cs="Arial"/>
                <w:bCs/>
                <w:sz w:val="22"/>
                <w:szCs w:val="22"/>
              </w:rPr>
              <w:t xml:space="preserve">, permettant une intégration systématique des questions de VBG </w:t>
            </w:r>
            <w:r w:rsidR="005805D6">
              <w:rPr>
                <w:rFonts w:cs="Arial"/>
                <w:bCs/>
                <w:sz w:val="22"/>
                <w:szCs w:val="22"/>
              </w:rPr>
              <w:t xml:space="preserve">non seulement </w:t>
            </w:r>
            <w:r>
              <w:rPr>
                <w:rFonts w:cs="Arial"/>
                <w:bCs/>
                <w:sz w:val="22"/>
                <w:szCs w:val="22"/>
              </w:rPr>
              <w:t>dans les activités de sensibilisation des acteurs</w:t>
            </w:r>
            <w:r w:rsidRPr="00140757">
              <w:rPr>
                <w:rFonts w:cs="Arial"/>
                <w:color w:val="000000"/>
                <w:sz w:val="22"/>
                <w:szCs w:val="22"/>
              </w:rPr>
              <w:t xml:space="preserve"> et parties prenantes</w:t>
            </w:r>
            <w:r w:rsidR="005805D6">
              <w:rPr>
                <w:rFonts w:cs="Arial"/>
                <w:color w:val="000000"/>
                <w:sz w:val="22"/>
                <w:szCs w:val="22"/>
              </w:rPr>
              <w:t xml:space="preserve"> mais aussi à un niveau stratégique</w:t>
            </w:r>
            <w:r w:rsidRPr="00140757">
              <w:rPr>
                <w:rFonts w:cs="Arial"/>
                <w:color w:val="000000"/>
                <w:sz w:val="22"/>
                <w:szCs w:val="22"/>
              </w:rPr>
              <w:t xml:space="preserve">. </w:t>
            </w:r>
            <w:r w:rsidR="00CA398A">
              <w:rPr>
                <w:color w:val="000000"/>
                <w:sz w:val="22"/>
                <w:szCs w:val="22"/>
              </w:rPr>
              <w:t>Ainsi, avec le Projet d’appui à la mise en œuvre de la police de proximité, l</w:t>
            </w:r>
            <w:r>
              <w:rPr>
                <w:color w:val="000000"/>
                <w:sz w:val="22"/>
                <w:szCs w:val="22"/>
              </w:rPr>
              <w:t>a D</w:t>
            </w:r>
            <w:r w:rsidR="00CA398A">
              <w:rPr>
                <w:color w:val="000000"/>
                <w:sz w:val="22"/>
                <w:szCs w:val="22"/>
              </w:rPr>
              <w:t xml:space="preserve">octrine de police de proximité </w:t>
            </w:r>
            <w:r>
              <w:rPr>
                <w:color w:val="000000"/>
                <w:sz w:val="22"/>
                <w:szCs w:val="22"/>
              </w:rPr>
              <w:t xml:space="preserve">qui a été élaborée avec l’appui du PNUD, </w:t>
            </w:r>
            <w:r w:rsidR="005805D6">
              <w:rPr>
                <w:color w:val="000000"/>
                <w:sz w:val="22"/>
                <w:szCs w:val="22"/>
              </w:rPr>
              <w:t xml:space="preserve">a définit le </w:t>
            </w:r>
            <w:r>
              <w:rPr>
                <w:color w:val="000000"/>
                <w:sz w:val="22"/>
                <w:szCs w:val="22"/>
              </w:rPr>
              <w:t xml:space="preserve">cadre pour un appui </w:t>
            </w:r>
            <w:r w:rsidRPr="00961030">
              <w:t xml:space="preserve">plus cohérent et consistent </w:t>
            </w:r>
            <w:r>
              <w:t>de l</w:t>
            </w:r>
            <w:r>
              <w:rPr>
                <w:color w:val="000000"/>
                <w:sz w:val="22"/>
                <w:szCs w:val="22"/>
              </w:rPr>
              <w:t>’intégration de la</w:t>
            </w:r>
            <w:r w:rsidR="00CA398A">
              <w:rPr>
                <w:color w:val="000000"/>
                <w:sz w:val="22"/>
                <w:szCs w:val="22"/>
              </w:rPr>
              <w:t xml:space="preserve"> </w:t>
            </w:r>
            <w:r>
              <w:rPr>
                <w:color w:val="000000"/>
                <w:sz w:val="22"/>
                <w:szCs w:val="22"/>
              </w:rPr>
              <w:t>dimension</w:t>
            </w:r>
            <w:r w:rsidR="00CA398A">
              <w:rPr>
                <w:color w:val="000000"/>
                <w:sz w:val="22"/>
                <w:szCs w:val="22"/>
              </w:rPr>
              <w:t xml:space="preserve"> genre dans la réforme de l’institution policière, </w:t>
            </w:r>
            <w:r>
              <w:t xml:space="preserve">notamment </w:t>
            </w:r>
            <w:r w:rsidR="00CA398A">
              <w:rPr>
                <w:color w:val="000000"/>
                <w:sz w:val="22"/>
                <w:szCs w:val="22"/>
              </w:rPr>
              <w:t xml:space="preserve">à travers les dispositions du </w:t>
            </w:r>
            <w:r>
              <w:rPr>
                <w:color w:val="000000"/>
                <w:sz w:val="22"/>
                <w:szCs w:val="22"/>
              </w:rPr>
              <w:t xml:space="preserve">nouveau </w:t>
            </w:r>
            <w:r w:rsidR="00CA398A">
              <w:rPr>
                <w:color w:val="000000"/>
                <w:sz w:val="22"/>
                <w:szCs w:val="22"/>
              </w:rPr>
              <w:t>statut</w:t>
            </w:r>
            <w:r>
              <w:rPr>
                <w:color w:val="000000"/>
                <w:sz w:val="22"/>
                <w:szCs w:val="22"/>
              </w:rPr>
              <w:t xml:space="preserve"> ou la mise à l’échelle des unités pilotes de lutte contre les VBG dans les commissariats pilotes de police de Matoto et Dabompa</w:t>
            </w:r>
            <w:r w:rsidR="00140757">
              <w:rPr>
                <w:color w:val="000000"/>
                <w:sz w:val="22"/>
                <w:szCs w:val="22"/>
              </w:rPr>
              <w:t xml:space="preserve"> dans la zone de Conakry</w:t>
            </w:r>
            <w:r>
              <w:rPr>
                <w:color w:val="000000"/>
                <w:sz w:val="22"/>
                <w:szCs w:val="22"/>
              </w:rPr>
              <w:t>. A</w:t>
            </w:r>
            <w:r w:rsidR="00140757">
              <w:rPr>
                <w:color w:val="000000"/>
                <w:sz w:val="22"/>
                <w:szCs w:val="22"/>
              </w:rPr>
              <w:t>ussi, a</w:t>
            </w:r>
            <w:r>
              <w:rPr>
                <w:color w:val="000000"/>
                <w:sz w:val="22"/>
                <w:szCs w:val="22"/>
              </w:rPr>
              <w:t xml:space="preserve">vec </w:t>
            </w:r>
            <w:r w:rsidRPr="00B97DD4">
              <w:rPr>
                <w:rFonts w:cs="Arial"/>
                <w:bCs/>
                <w:sz w:val="22"/>
                <w:szCs w:val="22"/>
              </w:rPr>
              <w:t xml:space="preserve">le </w:t>
            </w:r>
            <w:r>
              <w:rPr>
                <w:rFonts w:cs="Arial"/>
                <w:bCs/>
                <w:sz w:val="22"/>
                <w:szCs w:val="22"/>
              </w:rPr>
              <w:t xml:space="preserve">Projet d’appui au Renforcement du </w:t>
            </w:r>
            <w:r w:rsidRPr="00B97DD4">
              <w:rPr>
                <w:rFonts w:cs="Arial"/>
                <w:bCs/>
                <w:sz w:val="22"/>
                <w:szCs w:val="22"/>
              </w:rPr>
              <w:t>Contrôle Civil et Démocratique</w:t>
            </w:r>
            <w:r w:rsidR="005805D6">
              <w:rPr>
                <w:rFonts w:cs="Arial"/>
                <w:bCs/>
                <w:sz w:val="22"/>
                <w:szCs w:val="22"/>
              </w:rPr>
              <w:t>,</w:t>
            </w:r>
            <w:r w:rsidRPr="00B97DD4">
              <w:rPr>
                <w:rFonts w:cs="Arial"/>
                <w:bCs/>
                <w:sz w:val="22"/>
                <w:szCs w:val="22"/>
              </w:rPr>
              <w:t xml:space="preserve"> </w:t>
            </w:r>
            <w:r w:rsidR="005805D6">
              <w:rPr>
                <w:rFonts w:cs="Arial"/>
                <w:bCs/>
                <w:sz w:val="22"/>
                <w:szCs w:val="22"/>
              </w:rPr>
              <w:t xml:space="preserve">le PNUD a apporté </w:t>
            </w:r>
            <w:r w:rsidR="005A0912">
              <w:rPr>
                <w:rFonts w:cs="Arial"/>
                <w:bCs/>
                <w:sz w:val="22"/>
                <w:szCs w:val="22"/>
              </w:rPr>
              <w:t xml:space="preserve">un appui stratégique aux institutions de contrôle des FDS et </w:t>
            </w:r>
            <w:r w:rsidR="005805D6">
              <w:rPr>
                <w:rFonts w:cs="Arial"/>
                <w:bCs/>
                <w:sz w:val="22"/>
                <w:szCs w:val="22"/>
              </w:rPr>
              <w:t xml:space="preserve">plus </w:t>
            </w:r>
            <w:r w:rsidR="005A0912">
              <w:rPr>
                <w:rFonts w:cs="Arial"/>
                <w:bCs/>
                <w:sz w:val="22"/>
                <w:szCs w:val="22"/>
              </w:rPr>
              <w:t>particulièrement au Parlement</w:t>
            </w:r>
            <w:r>
              <w:rPr>
                <w:rFonts w:cs="Arial"/>
                <w:bCs/>
                <w:sz w:val="22"/>
                <w:szCs w:val="22"/>
              </w:rPr>
              <w:t xml:space="preserve">, notamment </w:t>
            </w:r>
            <w:r w:rsidR="005A0912">
              <w:rPr>
                <w:rFonts w:cs="Arial"/>
                <w:bCs/>
                <w:sz w:val="22"/>
                <w:szCs w:val="22"/>
              </w:rPr>
              <w:t xml:space="preserve">avec le renforcement des capacités de </w:t>
            </w:r>
            <w:r>
              <w:rPr>
                <w:rFonts w:cs="Arial"/>
                <w:bCs/>
                <w:sz w:val="22"/>
                <w:szCs w:val="22"/>
              </w:rPr>
              <w:t xml:space="preserve">la Commission Défense et Sécurité du Parlement et </w:t>
            </w:r>
            <w:r w:rsidR="005A0912">
              <w:rPr>
                <w:rFonts w:cs="Arial"/>
                <w:bCs/>
                <w:sz w:val="22"/>
                <w:szCs w:val="22"/>
              </w:rPr>
              <w:t>l’appui à la création du</w:t>
            </w:r>
            <w:r>
              <w:rPr>
                <w:rFonts w:cs="Arial"/>
                <w:bCs/>
                <w:sz w:val="22"/>
                <w:szCs w:val="22"/>
              </w:rPr>
              <w:t xml:space="preserve"> Forum des Femmes Parlementaires. </w:t>
            </w:r>
          </w:p>
          <w:p w14:paraId="6D505C61" w14:textId="77777777" w:rsidR="00140757" w:rsidRDefault="00140757" w:rsidP="00A81E56">
            <w:pPr>
              <w:autoSpaceDE w:val="0"/>
              <w:autoSpaceDN w:val="0"/>
              <w:adjustRightInd w:val="0"/>
              <w:jc w:val="both"/>
              <w:rPr>
                <w:rFonts w:cs="Arial"/>
                <w:bCs/>
                <w:sz w:val="22"/>
                <w:szCs w:val="22"/>
              </w:rPr>
            </w:pPr>
          </w:p>
          <w:p w14:paraId="0F65C03D" w14:textId="769F9B31" w:rsidR="003E122D" w:rsidRPr="00B97DD4" w:rsidRDefault="00B00A91" w:rsidP="00A81E56">
            <w:pPr>
              <w:autoSpaceDE w:val="0"/>
              <w:autoSpaceDN w:val="0"/>
              <w:adjustRightInd w:val="0"/>
              <w:jc w:val="both"/>
            </w:pPr>
            <w:r>
              <w:rPr>
                <w:color w:val="000000"/>
                <w:sz w:val="22"/>
                <w:szCs w:val="22"/>
              </w:rPr>
              <w:t>Grace à la</w:t>
            </w:r>
            <w:r w:rsidR="005A0912">
              <w:rPr>
                <w:color w:val="000000"/>
                <w:sz w:val="22"/>
                <w:szCs w:val="22"/>
              </w:rPr>
              <w:t xml:space="preserve"> dynamique générée par la RSS</w:t>
            </w:r>
            <w:r w:rsidR="0034096A" w:rsidRPr="00B97DD4">
              <w:rPr>
                <w:color w:val="000000"/>
                <w:sz w:val="22"/>
                <w:szCs w:val="22"/>
              </w:rPr>
              <w:t xml:space="preserve">, l’intégration des modules sur les VBG dans les curricula des FDS a un effet catalyseur sur la préparation du </w:t>
            </w:r>
            <w:r w:rsidR="0034096A" w:rsidRPr="00B97DD4">
              <w:rPr>
                <w:sz w:val="22"/>
                <w:szCs w:val="22"/>
              </w:rPr>
              <w:t>Bataillon « Gangan » au camp Samor</w:t>
            </w:r>
            <w:r w:rsidR="00140757">
              <w:rPr>
                <w:sz w:val="22"/>
                <w:szCs w:val="22"/>
              </w:rPr>
              <w:t>on</w:t>
            </w:r>
            <w:r>
              <w:rPr>
                <w:sz w:val="22"/>
                <w:szCs w:val="22"/>
              </w:rPr>
              <w:t>y</w:t>
            </w:r>
            <w:r w:rsidR="0034096A" w:rsidRPr="00B97DD4">
              <w:rPr>
                <w:sz w:val="22"/>
                <w:szCs w:val="22"/>
              </w:rPr>
              <w:t>a</w:t>
            </w:r>
            <w:r w:rsidR="00140757">
              <w:rPr>
                <w:sz w:val="22"/>
                <w:szCs w:val="22"/>
              </w:rPr>
              <w:t xml:space="preserve"> à</w:t>
            </w:r>
            <w:r w:rsidR="0034096A" w:rsidRPr="00B97DD4">
              <w:rPr>
                <w:sz w:val="22"/>
                <w:szCs w:val="22"/>
              </w:rPr>
              <w:t xml:space="preserve"> Kindia, en attente de la mission internationale de maintien de paix en République du Mali. Ainsi, 230 militaires dont 5 femmes du </w:t>
            </w:r>
            <w:r w:rsidR="00B97DD4" w:rsidRPr="00B97DD4">
              <w:rPr>
                <w:sz w:val="22"/>
                <w:szCs w:val="22"/>
              </w:rPr>
              <w:t xml:space="preserve">bataillon ont reçue une formation sur </w:t>
            </w:r>
            <w:r w:rsidR="0034096A" w:rsidRPr="00B97DD4">
              <w:rPr>
                <w:sz w:val="22"/>
                <w:szCs w:val="22"/>
              </w:rPr>
              <w:t>la prévention des VBG en situation d’urge</w:t>
            </w:r>
            <w:r w:rsidR="00B97DD4">
              <w:rPr>
                <w:sz w:val="22"/>
                <w:szCs w:val="22"/>
              </w:rPr>
              <w:t>nce, les MGF, les droits humain</w:t>
            </w:r>
            <w:r w:rsidR="0034096A" w:rsidRPr="00B97DD4">
              <w:rPr>
                <w:sz w:val="22"/>
                <w:szCs w:val="22"/>
              </w:rPr>
              <w:t>s et le VIH/sida.</w:t>
            </w:r>
            <w:r w:rsidR="00B97DD4" w:rsidRPr="00B97DD4">
              <w:rPr>
                <w:sz w:val="22"/>
                <w:szCs w:val="22"/>
              </w:rPr>
              <w:t xml:space="preserve"> </w:t>
            </w:r>
            <w:r w:rsidR="00B97DD4">
              <w:rPr>
                <w:rFonts w:cs="Arial"/>
                <w:bCs/>
                <w:sz w:val="22"/>
                <w:szCs w:val="22"/>
              </w:rPr>
              <w:t xml:space="preserve"> Un acquis majeur a été l’impact des activités opérationnelles sur les politiques, notamment la forte prise en compte de la </w:t>
            </w:r>
            <w:r w:rsidR="00B97DD4">
              <w:rPr>
                <w:rFonts w:cs="Arial"/>
                <w:bCs/>
                <w:sz w:val="22"/>
                <w:szCs w:val="22"/>
              </w:rPr>
              <w:lastRenderedPageBreak/>
              <w:t xml:space="preserve">dimension genre dans la Stratégie Nationale d’Actions Prioritaires RSS (SNAP) suite a </w:t>
            </w:r>
            <w:proofErr w:type="gramStart"/>
            <w:r w:rsidR="00B97DD4">
              <w:rPr>
                <w:rFonts w:cs="Arial"/>
                <w:bCs/>
                <w:sz w:val="22"/>
                <w:szCs w:val="22"/>
              </w:rPr>
              <w:t>une</w:t>
            </w:r>
            <w:proofErr w:type="gramEnd"/>
            <w:r w:rsidR="00B97DD4">
              <w:rPr>
                <w:rFonts w:cs="Arial"/>
                <w:bCs/>
                <w:sz w:val="22"/>
                <w:szCs w:val="22"/>
              </w:rPr>
              <w:t xml:space="preserve"> plaidoyer soutenu par les Nations Unies lors du Comite de Pilotage RSS en Mai 2014 en présidence du Président de la République. </w:t>
            </w:r>
            <w:r w:rsidR="00B97DD4" w:rsidRPr="00B97DD4">
              <w:rPr>
                <w:rFonts w:cs="Arial"/>
                <w:bCs/>
                <w:sz w:val="22"/>
                <w:szCs w:val="22"/>
              </w:rPr>
              <w:t>L</w:t>
            </w:r>
            <w:r w:rsidR="009875B6" w:rsidRPr="00B97DD4">
              <w:rPr>
                <w:rFonts w:cs="Arial"/>
                <w:bCs/>
                <w:sz w:val="22"/>
                <w:szCs w:val="22"/>
              </w:rPr>
              <w:t xml:space="preserve">a synergie d’action entre l’UNICEF et le HCDH ayant permis </w:t>
            </w:r>
            <w:r w:rsidR="005752B6" w:rsidRPr="00B97DD4">
              <w:rPr>
                <w:rFonts w:cs="Arial"/>
                <w:bCs/>
                <w:sz w:val="22"/>
                <w:szCs w:val="22"/>
              </w:rPr>
              <w:t xml:space="preserve">la formation </w:t>
            </w:r>
            <w:r w:rsidR="004025CC" w:rsidRPr="00B97DD4">
              <w:rPr>
                <w:rFonts w:cs="Arial"/>
                <w:bCs/>
                <w:sz w:val="22"/>
                <w:szCs w:val="22"/>
              </w:rPr>
              <w:t xml:space="preserve">de formateurs sur la prise en charge psychosociale des victimes </w:t>
            </w:r>
            <w:r w:rsidR="005752B6" w:rsidRPr="00B97DD4">
              <w:rPr>
                <w:rFonts w:cs="Arial"/>
                <w:bCs/>
                <w:sz w:val="22"/>
                <w:szCs w:val="22"/>
              </w:rPr>
              <w:t xml:space="preserve">de 30 prestataires de services des préfectures et communes, réalisée par la DPFG. </w:t>
            </w:r>
          </w:p>
          <w:p w14:paraId="3FF9AC4D" w14:textId="77777777" w:rsidR="00F715E4" w:rsidRDefault="00F715E4" w:rsidP="00A81E56">
            <w:pPr>
              <w:autoSpaceDE w:val="0"/>
              <w:autoSpaceDN w:val="0"/>
              <w:adjustRightInd w:val="0"/>
              <w:rPr>
                <w:color w:val="000000"/>
                <w:sz w:val="22"/>
                <w:szCs w:val="22"/>
              </w:rPr>
            </w:pPr>
          </w:p>
          <w:p w14:paraId="4C28B672" w14:textId="1B7115EA" w:rsidR="00C4445D" w:rsidRDefault="00C4445D" w:rsidP="00C4445D">
            <w:pPr>
              <w:autoSpaceDE w:val="0"/>
              <w:autoSpaceDN w:val="0"/>
              <w:adjustRightInd w:val="0"/>
              <w:rPr>
                <w:i/>
                <w:color w:val="000000"/>
              </w:rPr>
            </w:pPr>
            <w:r w:rsidRPr="00C4445D">
              <w:rPr>
                <w:i/>
                <w:color w:val="000000"/>
              </w:rPr>
              <w:t>4. Si les progrès ont été lents ou inadéquats, indiquer les raisons principales ou les actions correctrices</w:t>
            </w:r>
          </w:p>
          <w:p w14:paraId="0B99FEB8" w14:textId="44491AE4" w:rsidR="00C4445D" w:rsidRPr="00C4445D" w:rsidRDefault="00C4445D" w:rsidP="00C4445D">
            <w:pPr>
              <w:jc w:val="both"/>
              <w:rPr>
                <w:sz w:val="22"/>
                <w:szCs w:val="22"/>
              </w:rPr>
            </w:pPr>
            <w:r>
              <w:rPr>
                <w:sz w:val="22"/>
                <w:szCs w:val="22"/>
              </w:rPr>
              <w:t>P</w:t>
            </w:r>
            <w:r w:rsidRPr="00C4445D">
              <w:rPr>
                <w:sz w:val="22"/>
                <w:szCs w:val="22"/>
              </w:rPr>
              <w:t>lusieurs contraintes d’ordre administratif et sociopolitique, qui ont contribué à certains retards dans l’exécution du projet. Il s’agit des contraintes suivantes :</w:t>
            </w:r>
          </w:p>
          <w:p w14:paraId="41C674E0" w14:textId="38C9958B" w:rsidR="00C4445D" w:rsidRPr="00C4445D" w:rsidRDefault="00C4445D" w:rsidP="00C4445D">
            <w:pPr>
              <w:widowControl w:val="0"/>
              <w:numPr>
                <w:ilvl w:val="0"/>
                <w:numId w:val="18"/>
              </w:numPr>
              <w:jc w:val="both"/>
              <w:rPr>
                <w:sz w:val="22"/>
                <w:szCs w:val="22"/>
              </w:rPr>
            </w:pPr>
            <w:r w:rsidRPr="00C4445D">
              <w:rPr>
                <w:sz w:val="22"/>
                <w:szCs w:val="22"/>
              </w:rPr>
              <w:t>les lourdeurs administratives et les procédures qui obligent tous les partenaires de mise en œuvre de transiter par la Tutelle (Ministère de l’Action Sociale, de la Promotion féminine et de l’Enfance);</w:t>
            </w:r>
          </w:p>
          <w:p w14:paraId="125D4D43" w14:textId="34AC9EAF" w:rsidR="00C4445D" w:rsidRPr="00C4445D" w:rsidRDefault="00C4445D" w:rsidP="00C4445D">
            <w:pPr>
              <w:widowControl w:val="0"/>
              <w:numPr>
                <w:ilvl w:val="0"/>
                <w:numId w:val="18"/>
              </w:numPr>
              <w:jc w:val="both"/>
              <w:rPr>
                <w:sz w:val="22"/>
                <w:szCs w:val="22"/>
              </w:rPr>
            </w:pPr>
            <w:r w:rsidRPr="00C4445D">
              <w:rPr>
                <w:sz w:val="22"/>
                <w:szCs w:val="22"/>
              </w:rPr>
              <w:t xml:space="preserve">la situation sociopolitique fragile en 2013 avec la tenue du dialogue et l’organisation des élections législatives du 28 Septembre 2013 qui a ralenti certains processus que le projet visait à influencer, dont notamment le processus de réforme du secteur de sécurité. </w:t>
            </w:r>
          </w:p>
          <w:p w14:paraId="2069AF06" w14:textId="77777777" w:rsidR="00C4445D" w:rsidRPr="00C4445D" w:rsidRDefault="00C4445D" w:rsidP="00C4445D">
            <w:pPr>
              <w:widowControl w:val="0"/>
              <w:numPr>
                <w:ilvl w:val="0"/>
                <w:numId w:val="18"/>
              </w:numPr>
              <w:jc w:val="both"/>
              <w:rPr>
                <w:sz w:val="22"/>
                <w:szCs w:val="22"/>
              </w:rPr>
            </w:pPr>
            <w:r w:rsidRPr="00C4445D">
              <w:rPr>
                <w:sz w:val="22"/>
                <w:szCs w:val="22"/>
              </w:rPr>
              <w:t>L’épidémie de fièvre Ebola qui a nécessite la mise en place de mesures prudentielles. A cet effet, les voyages à l’intérieur du pays ont depuis février 2014 été suspendu pour quelques organisations de mise en œuvre</w:t>
            </w:r>
          </w:p>
          <w:p w14:paraId="116C4F0D" w14:textId="77777777" w:rsidR="00C4445D" w:rsidRPr="00C4445D" w:rsidRDefault="00C4445D" w:rsidP="00C4445D">
            <w:pPr>
              <w:pStyle w:val="ListParagraph"/>
              <w:rPr>
                <w:sz w:val="22"/>
                <w:szCs w:val="22"/>
              </w:rPr>
            </w:pPr>
          </w:p>
          <w:p w14:paraId="03215F59" w14:textId="424F237D" w:rsidR="00C4445D" w:rsidRPr="00C4445D" w:rsidRDefault="00C4445D" w:rsidP="00C4445D">
            <w:pPr>
              <w:jc w:val="both"/>
              <w:rPr>
                <w:sz w:val="22"/>
                <w:szCs w:val="22"/>
              </w:rPr>
            </w:pPr>
            <w:r w:rsidRPr="00C4445D">
              <w:rPr>
                <w:sz w:val="22"/>
                <w:szCs w:val="22"/>
              </w:rPr>
              <w:t xml:space="preserve">Pour faire face a ces réalités du terrain, une demande d’extension sans cout </w:t>
            </w:r>
            <w:r>
              <w:rPr>
                <w:sz w:val="22"/>
                <w:szCs w:val="22"/>
              </w:rPr>
              <w:t>d’</w:t>
            </w:r>
            <w:r w:rsidRPr="00C4445D">
              <w:rPr>
                <w:sz w:val="22"/>
                <w:szCs w:val="22"/>
              </w:rPr>
              <w:t xml:space="preserve">une durée de trois </w:t>
            </w:r>
            <w:r>
              <w:rPr>
                <w:sz w:val="22"/>
                <w:szCs w:val="22"/>
              </w:rPr>
              <w:t xml:space="preserve">mois (08 mai – 08 aout 2014) a été </w:t>
            </w:r>
            <w:r w:rsidRPr="00C4445D">
              <w:rPr>
                <w:sz w:val="22"/>
                <w:szCs w:val="22"/>
              </w:rPr>
              <w:t>sollicitée Ces 3 mois supplémentaires vont permettre de bien mener</w:t>
            </w:r>
            <w:r w:rsidR="002077B6">
              <w:rPr>
                <w:sz w:val="22"/>
                <w:szCs w:val="22"/>
              </w:rPr>
              <w:t xml:space="preserve"> les activités restantes (voir section 5)</w:t>
            </w:r>
            <w:r w:rsidRPr="00C4445D">
              <w:rPr>
                <w:sz w:val="22"/>
                <w:szCs w:val="22"/>
              </w:rPr>
              <w:t xml:space="preserve"> </w:t>
            </w:r>
          </w:p>
          <w:p w14:paraId="786ABF00" w14:textId="419533E8" w:rsidR="00C4445D" w:rsidRPr="009C1EBC" w:rsidRDefault="00C4445D" w:rsidP="00C4445D">
            <w:pPr>
              <w:autoSpaceDE w:val="0"/>
              <w:autoSpaceDN w:val="0"/>
              <w:adjustRightInd w:val="0"/>
              <w:rPr>
                <w:i/>
                <w:color w:val="000000"/>
                <w:sz w:val="10"/>
                <w:szCs w:val="10"/>
              </w:rPr>
            </w:pPr>
            <w:r w:rsidRPr="00C4445D">
              <w:rPr>
                <w:i/>
                <w:color w:val="000000"/>
              </w:rPr>
              <w:t xml:space="preserve"> </w:t>
            </w:r>
          </w:p>
          <w:p w14:paraId="3AC84510" w14:textId="1BD90981" w:rsidR="00C4445D" w:rsidRPr="002077B6" w:rsidRDefault="00C4445D" w:rsidP="00C4445D">
            <w:pPr>
              <w:autoSpaceDE w:val="0"/>
              <w:autoSpaceDN w:val="0"/>
              <w:adjustRightInd w:val="0"/>
              <w:rPr>
                <w:i/>
                <w:color w:val="000000"/>
              </w:rPr>
            </w:pPr>
            <w:r w:rsidRPr="002077B6">
              <w:rPr>
                <w:i/>
                <w:color w:val="000000"/>
              </w:rPr>
              <w:t xml:space="preserve">5. Quelles sont les activités/objectifs restants pour le reste de l’année? </w:t>
            </w:r>
          </w:p>
          <w:p w14:paraId="3796FFE7" w14:textId="7597391A" w:rsidR="00714C76" w:rsidRPr="00714C76" w:rsidRDefault="002077B6" w:rsidP="00714C76">
            <w:pPr>
              <w:autoSpaceDE w:val="0"/>
              <w:autoSpaceDN w:val="0"/>
              <w:adjustRightInd w:val="0"/>
              <w:jc w:val="both"/>
              <w:rPr>
                <w:sz w:val="22"/>
                <w:szCs w:val="22"/>
              </w:rPr>
            </w:pPr>
            <w:r>
              <w:rPr>
                <w:sz w:val="22"/>
                <w:szCs w:val="22"/>
              </w:rPr>
              <w:t xml:space="preserve">Les activités restantes portent essentiellement sur </w:t>
            </w:r>
            <w:r w:rsidRPr="00C4445D">
              <w:rPr>
                <w:sz w:val="22"/>
                <w:szCs w:val="22"/>
              </w:rPr>
              <w:t>l’exécution du Fonds d’appui pour la prise en charge juridique des victimes, la réintégration</w:t>
            </w:r>
            <w:r w:rsidR="00714C76">
              <w:rPr>
                <w:sz w:val="22"/>
                <w:szCs w:val="22"/>
              </w:rPr>
              <w:t xml:space="preserve"> socio-économique de 60 </w:t>
            </w:r>
            <w:r>
              <w:rPr>
                <w:sz w:val="22"/>
                <w:szCs w:val="22"/>
              </w:rPr>
              <w:t xml:space="preserve">victimes (fonds déjà engagés) </w:t>
            </w:r>
            <w:r w:rsidRPr="00C4445D">
              <w:rPr>
                <w:sz w:val="22"/>
                <w:szCs w:val="22"/>
              </w:rPr>
              <w:t>et la formulation d’une stratégie genre pour les Forces de Défense et de Sécurité</w:t>
            </w:r>
            <w:r w:rsidR="00714C76">
              <w:rPr>
                <w:sz w:val="22"/>
                <w:szCs w:val="22"/>
              </w:rPr>
              <w:t xml:space="preserve">. </w:t>
            </w:r>
            <w:r w:rsidR="00714C76" w:rsidRPr="00714C76">
              <w:rPr>
                <w:sz w:val="22"/>
                <w:szCs w:val="22"/>
              </w:rPr>
              <w:t xml:space="preserve">Des formations régionales sur la ligne verte doivent </w:t>
            </w:r>
            <w:r w:rsidR="00714C76">
              <w:rPr>
                <w:sz w:val="22"/>
                <w:szCs w:val="22"/>
              </w:rPr>
              <w:t xml:space="preserve">également </w:t>
            </w:r>
            <w:r w:rsidR="00714C76" w:rsidRPr="00714C76">
              <w:rPr>
                <w:sz w:val="22"/>
                <w:szCs w:val="22"/>
              </w:rPr>
              <w:t xml:space="preserve">se tenir en aout et septembre et réunir deux représentants du système de protection à base communautaire par préfecture. De plus, 500 élèves gendarmes auront achevé leur formation sur les droits de l’enfant d’ici le mois d’aout 2014 et 1100 autres élèves gendarmes achèveront la formation d’ici mars 2015. 720 élèves policiers doivent être formés à partir du mois de septembre sur la même thématique. </w:t>
            </w:r>
          </w:p>
          <w:p w14:paraId="3E560B2B" w14:textId="77777777" w:rsidR="002077B6" w:rsidRPr="009C1EBC" w:rsidRDefault="002077B6" w:rsidP="00C4445D">
            <w:pPr>
              <w:autoSpaceDE w:val="0"/>
              <w:autoSpaceDN w:val="0"/>
              <w:adjustRightInd w:val="0"/>
              <w:rPr>
                <w:color w:val="000000"/>
                <w:sz w:val="10"/>
                <w:szCs w:val="10"/>
              </w:rPr>
            </w:pPr>
          </w:p>
          <w:p w14:paraId="704E5FFE" w14:textId="68E33714" w:rsidR="00C4445D" w:rsidRDefault="00C4445D" w:rsidP="00C4445D">
            <w:pPr>
              <w:autoSpaceDE w:val="0"/>
              <w:autoSpaceDN w:val="0"/>
              <w:adjustRightInd w:val="0"/>
              <w:rPr>
                <w:i/>
                <w:color w:val="000000"/>
              </w:rPr>
            </w:pPr>
            <w:r w:rsidRPr="002077B6">
              <w:rPr>
                <w:i/>
                <w:color w:val="000000"/>
              </w:rPr>
              <w:t xml:space="preserve">6. Les </w:t>
            </w:r>
            <w:r w:rsidR="002077B6" w:rsidRPr="002077B6">
              <w:rPr>
                <w:i/>
                <w:color w:val="000000"/>
              </w:rPr>
              <w:t>stratégies</w:t>
            </w:r>
            <w:r w:rsidRPr="002077B6">
              <w:rPr>
                <w:i/>
                <w:color w:val="000000"/>
              </w:rPr>
              <w:t xml:space="preserve">/la </w:t>
            </w:r>
            <w:r w:rsidR="002077B6" w:rsidRPr="002077B6">
              <w:rPr>
                <w:i/>
                <w:color w:val="000000"/>
              </w:rPr>
              <w:t>durée</w:t>
            </w:r>
            <w:r w:rsidRPr="002077B6">
              <w:rPr>
                <w:i/>
                <w:color w:val="000000"/>
              </w:rPr>
              <w:t xml:space="preserve">/les budgets doivent ils </w:t>
            </w:r>
            <w:r w:rsidR="002077B6" w:rsidRPr="002077B6">
              <w:rPr>
                <w:i/>
                <w:color w:val="000000"/>
              </w:rPr>
              <w:t>être rectifié</w:t>
            </w:r>
            <w:r w:rsidRPr="002077B6">
              <w:rPr>
                <w:i/>
                <w:color w:val="000000"/>
              </w:rPr>
              <w:t>?</w:t>
            </w:r>
          </w:p>
          <w:p w14:paraId="45769793" w14:textId="71419754" w:rsidR="00714C76" w:rsidRPr="00A81E56" w:rsidRDefault="002077B6" w:rsidP="00714C76">
            <w:pPr>
              <w:autoSpaceDE w:val="0"/>
              <w:autoSpaceDN w:val="0"/>
              <w:adjustRightInd w:val="0"/>
              <w:jc w:val="both"/>
              <w:rPr>
                <w:sz w:val="22"/>
                <w:szCs w:val="22"/>
              </w:rPr>
            </w:pPr>
            <w:r w:rsidRPr="00A81E56">
              <w:rPr>
                <w:color w:val="000000"/>
                <w:sz w:val="22"/>
                <w:szCs w:val="22"/>
              </w:rPr>
              <w:t xml:space="preserve">La durée a été revu avec une extension sans cout jusqu’au 08 aout pour exécuter les activités restantes et une extension </w:t>
            </w:r>
            <w:r w:rsidR="00714C76" w:rsidRPr="00A81E56">
              <w:rPr>
                <w:color w:val="000000"/>
                <w:sz w:val="22"/>
                <w:szCs w:val="22"/>
              </w:rPr>
              <w:t xml:space="preserve">avec cout de 299,777 USD pour </w:t>
            </w:r>
            <w:r w:rsidR="00714C76" w:rsidRPr="00A81E56">
              <w:rPr>
                <w:sz w:val="22"/>
                <w:szCs w:val="22"/>
              </w:rPr>
              <w:t>la création</w:t>
            </w:r>
            <w:r w:rsidRPr="00A81E56">
              <w:rPr>
                <w:sz w:val="22"/>
                <w:szCs w:val="22"/>
              </w:rPr>
              <w:t xml:space="preserve"> et la prise en charge d’un poste consacré au genre et à la consolidation de la paix.</w:t>
            </w:r>
            <w:r w:rsidR="00714C76" w:rsidRPr="00A81E56">
              <w:rPr>
                <w:sz w:val="22"/>
                <w:szCs w:val="22"/>
              </w:rPr>
              <w:t xml:space="preserve"> Au niveau des stratégies, vu que le projet est en fin d’</w:t>
            </w:r>
            <w:r w:rsidR="00A81E56" w:rsidRPr="00A81E56">
              <w:rPr>
                <w:sz w:val="22"/>
                <w:szCs w:val="22"/>
              </w:rPr>
              <w:t>exécution</w:t>
            </w:r>
            <w:r w:rsidR="00714C76" w:rsidRPr="00A81E56">
              <w:rPr>
                <w:sz w:val="22"/>
                <w:szCs w:val="22"/>
              </w:rPr>
              <w:t>, une potentielle phase II de ce projet devrait s’assurer une meilleur synergie entre les actions opérationnelles et les processus de reformes politiques, notamment la reforme du secteur de sécurité et le secteur de la justice.</w:t>
            </w:r>
          </w:p>
          <w:p w14:paraId="2DF9DD25" w14:textId="77777777" w:rsidR="002077B6" w:rsidRPr="009C1EBC" w:rsidRDefault="002077B6" w:rsidP="00C4445D">
            <w:pPr>
              <w:autoSpaceDE w:val="0"/>
              <w:autoSpaceDN w:val="0"/>
              <w:adjustRightInd w:val="0"/>
              <w:rPr>
                <w:color w:val="000000"/>
                <w:sz w:val="10"/>
                <w:szCs w:val="10"/>
              </w:rPr>
            </w:pPr>
          </w:p>
          <w:p w14:paraId="65294579" w14:textId="7F4DEEC0" w:rsidR="002077B6" w:rsidRPr="002077B6" w:rsidRDefault="00C4445D" w:rsidP="00C4445D">
            <w:pPr>
              <w:autoSpaceDE w:val="0"/>
              <w:autoSpaceDN w:val="0"/>
              <w:adjustRightInd w:val="0"/>
              <w:rPr>
                <w:i/>
                <w:color w:val="000000"/>
              </w:rPr>
            </w:pPr>
            <w:r w:rsidRPr="002077B6">
              <w:rPr>
                <w:i/>
                <w:color w:val="000000"/>
              </w:rPr>
              <w:t xml:space="preserve">7. Des enseignements sont ils </w:t>
            </w:r>
            <w:proofErr w:type="gramStart"/>
            <w:r w:rsidRPr="002077B6">
              <w:rPr>
                <w:i/>
                <w:color w:val="000000"/>
              </w:rPr>
              <w:t>a</w:t>
            </w:r>
            <w:proofErr w:type="gramEnd"/>
            <w:r w:rsidRPr="002077B6">
              <w:rPr>
                <w:i/>
                <w:color w:val="000000"/>
              </w:rPr>
              <w:t xml:space="preserve"> tirer du projet durant la </w:t>
            </w:r>
            <w:r w:rsidR="002077B6" w:rsidRPr="002077B6">
              <w:rPr>
                <w:i/>
                <w:color w:val="000000"/>
              </w:rPr>
              <w:t>période</w:t>
            </w:r>
            <w:r w:rsidRPr="002077B6">
              <w:rPr>
                <w:i/>
                <w:color w:val="000000"/>
              </w:rPr>
              <w:t xml:space="preserve"> de rapportage ?</w:t>
            </w:r>
          </w:p>
          <w:p w14:paraId="30E0941F" w14:textId="0C313AC1" w:rsidR="00714C76" w:rsidRDefault="00714C76" w:rsidP="00714C76">
            <w:pPr>
              <w:pStyle w:val="BodyText2"/>
              <w:spacing w:after="0" w:line="240" w:lineRule="auto"/>
              <w:jc w:val="both"/>
              <w:rPr>
                <w:sz w:val="22"/>
                <w:szCs w:val="22"/>
                <w:highlight w:val="green"/>
              </w:rPr>
            </w:pPr>
            <w:r>
              <w:rPr>
                <w:sz w:val="22"/>
                <w:szCs w:val="22"/>
                <w:lang w:eastAsia="en-US"/>
              </w:rPr>
              <w:t>Le</w:t>
            </w:r>
            <w:r w:rsidRPr="00DC4E20">
              <w:rPr>
                <w:sz w:val="22"/>
                <w:szCs w:val="22"/>
                <w:lang w:eastAsia="en-US"/>
              </w:rPr>
              <w:t xml:space="preserve"> renforcement de</w:t>
            </w:r>
            <w:r>
              <w:rPr>
                <w:sz w:val="22"/>
                <w:szCs w:val="22"/>
                <w:lang w:eastAsia="en-US"/>
              </w:rPr>
              <w:t xml:space="preserve">s </w:t>
            </w:r>
            <w:r w:rsidRPr="00DC4E20">
              <w:rPr>
                <w:sz w:val="22"/>
                <w:szCs w:val="22"/>
                <w:lang w:eastAsia="en-US"/>
              </w:rPr>
              <w:t>mécanismes de prévention et de prise en charge</w:t>
            </w:r>
            <w:r>
              <w:rPr>
                <w:sz w:val="22"/>
                <w:szCs w:val="22"/>
                <w:lang w:eastAsia="en-US"/>
              </w:rPr>
              <w:t xml:space="preserve"> des victimes ainsi que la professionnalisation des acteurs impliqu</w:t>
            </w:r>
            <w:r w:rsidRPr="00DC4E20">
              <w:rPr>
                <w:sz w:val="22"/>
                <w:szCs w:val="22"/>
                <w:lang w:eastAsia="en-US"/>
              </w:rPr>
              <w:t>é</w:t>
            </w:r>
            <w:r>
              <w:rPr>
                <w:sz w:val="22"/>
                <w:szCs w:val="22"/>
                <w:lang w:eastAsia="en-US"/>
              </w:rPr>
              <w:t>s dans la chaine de prise en charge ont significativement</w:t>
            </w:r>
            <w:r w:rsidRPr="00DC4E20">
              <w:rPr>
                <w:sz w:val="22"/>
                <w:szCs w:val="22"/>
                <w:lang w:eastAsia="en-US"/>
              </w:rPr>
              <w:t xml:space="preserve"> </w:t>
            </w:r>
            <w:r>
              <w:rPr>
                <w:bCs/>
                <w:sz w:val="22"/>
                <w:szCs w:val="22"/>
              </w:rPr>
              <w:t>contribué à une augmentation entre 2012 et 2014  des  cas de violences rapporté au sein des Unités pilotes de VBG dans les commissariats de police ainsi que les Cellules VBG au sein des structures médicales.</w:t>
            </w:r>
            <w:r>
              <w:rPr>
                <w:sz w:val="22"/>
                <w:szCs w:val="22"/>
                <w:lang w:eastAsia="en-US"/>
              </w:rPr>
              <w:t xml:space="preserve">  En effet, durant le premier semestre de </w:t>
            </w:r>
            <w:r w:rsidR="005375DA">
              <w:rPr>
                <w:sz w:val="22"/>
                <w:szCs w:val="22"/>
                <w:lang w:eastAsia="en-US"/>
              </w:rPr>
              <w:t>2013</w:t>
            </w:r>
            <w:r>
              <w:rPr>
                <w:sz w:val="22"/>
                <w:szCs w:val="22"/>
                <w:lang w:eastAsia="en-US"/>
              </w:rPr>
              <w:t>, l’Office pour la Protection du Genre, de l’Enfant et des Mœurs (OPROGEM) a enregistr</w:t>
            </w:r>
            <w:r>
              <w:rPr>
                <w:bCs/>
                <w:sz w:val="22"/>
                <w:szCs w:val="22"/>
              </w:rPr>
              <w:t>é</w:t>
            </w:r>
            <w:r>
              <w:rPr>
                <w:sz w:val="22"/>
                <w:szCs w:val="22"/>
                <w:lang w:eastAsia="en-US"/>
              </w:rPr>
              <w:t xml:space="preserve"> </w:t>
            </w:r>
            <w:r w:rsidR="005375DA">
              <w:rPr>
                <w:sz w:val="22"/>
                <w:szCs w:val="22"/>
              </w:rPr>
              <w:t xml:space="preserve">689 </w:t>
            </w:r>
            <w:r>
              <w:rPr>
                <w:sz w:val="22"/>
                <w:szCs w:val="22"/>
                <w:lang w:eastAsia="en-US"/>
              </w:rPr>
              <w:t xml:space="preserve">cas contre </w:t>
            </w:r>
            <w:r>
              <w:rPr>
                <w:sz w:val="22"/>
                <w:szCs w:val="22"/>
              </w:rPr>
              <w:t xml:space="preserve">cas </w:t>
            </w:r>
            <w:r w:rsidR="005375DA">
              <w:rPr>
                <w:sz w:val="22"/>
                <w:szCs w:val="22"/>
              </w:rPr>
              <w:t xml:space="preserve">83 </w:t>
            </w:r>
            <w:r>
              <w:rPr>
                <w:sz w:val="22"/>
                <w:szCs w:val="22"/>
              </w:rPr>
              <w:t>en en 2012</w:t>
            </w:r>
            <w:r w:rsidR="005375DA">
              <w:rPr>
                <w:rStyle w:val="FootnoteReference"/>
                <w:sz w:val="22"/>
                <w:szCs w:val="22"/>
              </w:rPr>
              <w:footnoteReference w:id="1"/>
            </w:r>
            <w:r w:rsidRPr="00511ABB">
              <w:rPr>
                <w:sz w:val="22"/>
                <w:szCs w:val="22"/>
              </w:rPr>
              <w:t>.</w:t>
            </w:r>
            <w:r>
              <w:rPr>
                <w:sz w:val="22"/>
                <w:szCs w:val="22"/>
                <w:lang w:eastAsia="en-US"/>
              </w:rPr>
              <w:t xml:space="preserve"> Un total de</w:t>
            </w:r>
            <w:r>
              <w:rPr>
                <w:sz w:val="22"/>
                <w:szCs w:val="22"/>
              </w:rPr>
              <w:t xml:space="preserve"> 603 victimes ont bénéficié d’assistance holistique, dont 515 d’</w:t>
            </w:r>
            <w:r w:rsidRPr="007E1A2C">
              <w:rPr>
                <w:sz w:val="22"/>
                <w:szCs w:val="22"/>
              </w:rPr>
              <w:t xml:space="preserve">un appui médical, 54 d’un appui psychosocial et </w:t>
            </w:r>
            <w:r>
              <w:rPr>
                <w:sz w:val="22"/>
                <w:szCs w:val="22"/>
              </w:rPr>
              <w:t xml:space="preserve">34 </w:t>
            </w:r>
            <w:r w:rsidRPr="007E1A2C">
              <w:rPr>
                <w:sz w:val="22"/>
                <w:szCs w:val="22"/>
              </w:rPr>
              <w:t xml:space="preserve">d’un accompagnement judicaire. </w:t>
            </w:r>
            <w:r>
              <w:rPr>
                <w:sz w:val="22"/>
                <w:szCs w:val="22"/>
              </w:rPr>
              <w:t>En ce qui concerne l’appui médical les cas enregistr</w:t>
            </w:r>
            <w:r>
              <w:rPr>
                <w:bCs/>
                <w:sz w:val="22"/>
                <w:szCs w:val="22"/>
              </w:rPr>
              <w:t>é</w:t>
            </w:r>
            <w:r>
              <w:rPr>
                <w:sz w:val="22"/>
                <w:szCs w:val="22"/>
              </w:rPr>
              <w:t>s au sein des Cellules VBG sont pass</w:t>
            </w:r>
            <w:r w:rsidRPr="00DC4E20">
              <w:rPr>
                <w:sz w:val="22"/>
                <w:szCs w:val="22"/>
                <w:lang w:eastAsia="en-US"/>
              </w:rPr>
              <w:t>é</w:t>
            </w:r>
            <w:r>
              <w:rPr>
                <w:sz w:val="22"/>
                <w:szCs w:val="22"/>
                <w:lang w:eastAsia="en-US"/>
              </w:rPr>
              <w:t>s</w:t>
            </w:r>
            <w:r>
              <w:rPr>
                <w:sz w:val="22"/>
                <w:szCs w:val="22"/>
              </w:rPr>
              <w:t xml:space="preserve"> de  222 en 2012 à 515 en 2013 et </w:t>
            </w:r>
            <w:r w:rsidR="009C1EBC">
              <w:rPr>
                <w:sz w:val="22"/>
                <w:szCs w:val="22"/>
              </w:rPr>
              <w:t>212</w:t>
            </w:r>
            <w:r w:rsidR="005A25C8">
              <w:rPr>
                <w:sz w:val="22"/>
                <w:szCs w:val="22"/>
              </w:rPr>
              <w:t xml:space="preserve"> cas </w:t>
            </w:r>
            <w:r>
              <w:rPr>
                <w:sz w:val="22"/>
                <w:szCs w:val="22"/>
              </w:rPr>
              <w:t>durant le prem</w:t>
            </w:r>
            <w:r w:rsidR="005A25C8">
              <w:rPr>
                <w:sz w:val="22"/>
                <w:szCs w:val="22"/>
              </w:rPr>
              <w:t xml:space="preserve">ier trimestre de </w:t>
            </w:r>
            <w:r>
              <w:rPr>
                <w:sz w:val="22"/>
                <w:szCs w:val="22"/>
              </w:rPr>
              <w:t>2014</w:t>
            </w:r>
            <w:r w:rsidR="009C1EBC">
              <w:rPr>
                <w:sz w:val="22"/>
                <w:szCs w:val="22"/>
              </w:rPr>
              <w:t xml:space="preserve"> (statistiques reçues de 5 Centres VBG)</w:t>
            </w:r>
            <w:r w:rsidR="005A25C8">
              <w:rPr>
                <w:sz w:val="22"/>
                <w:szCs w:val="22"/>
              </w:rPr>
              <w:t>.</w:t>
            </w:r>
          </w:p>
          <w:p w14:paraId="329F2CEC" w14:textId="77777777" w:rsidR="00714C76" w:rsidRPr="009C1EBC" w:rsidRDefault="00714C76" w:rsidP="00714C76">
            <w:pPr>
              <w:pStyle w:val="BodyText2"/>
              <w:spacing w:after="0" w:line="240" w:lineRule="auto"/>
              <w:jc w:val="both"/>
              <w:rPr>
                <w:sz w:val="10"/>
                <w:szCs w:val="10"/>
              </w:rPr>
            </w:pPr>
          </w:p>
          <w:p w14:paraId="1F8B3466" w14:textId="1A963A8C" w:rsidR="00714C76" w:rsidRPr="00801D86" w:rsidRDefault="00714C76" w:rsidP="00714C76">
            <w:pPr>
              <w:pStyle w:val="BodyText2"/>
              <w:spacing w:after="0" w:line="240" w:lineRule="auto"/>
              <w:jc w:val="both"/>
              <w:rPr>
                <w:sz w:val="22"/>
                <w:szCs w:val="22"/>
              </w:rPr>
            </w:pPr>
            <w:r w:rsidRPr="00801D86">
              <w:rPr>
                <w:sz w:val="22"/>
                <w:szCs w:val="22"/>
              </w:rPr>
              <w:t>La ligne verte a permis durant ce semestre 2014, de recueillir 12508 appels relatifs aux VBG, émanant de toutes les régions de la Guinée et d’orienter les victimes vers les structures adéquates.</w:t>
            </w:r>
            <w:r w:rsidR="000E291E" w:rsidRPr="00801D86">
              <w:rPr>
                <w:sz w:val="22"/>
                <w:szCs w:val="22"/>
              </w:rPr>
              <w:t xml:space="preserve"> </w:t>
            </w:r>
            <w:r w:rsidRPr="00801D86">
              <w:rPr>
                <w:rFonts w:cs="Arial"/>
                <w:bCs/>
                <w:sz w:val="22"/>
                <w:szCs w:val="22"/>
                <w:lang w:eastAsia="en-US"/>
              </w:rPr>
              <w:t xml:space="preserve">Ainsi, pour les cas de viols et violences sexuelles, toutes les victimes ont été orientées vers la police pour bénéficier d’un soutien médico-légal. Pour les cas de violences conjugales, seuls 12 cas ont effectivement donné lieu à une enquête de police, les victimes craignant souvent la stigmatisation, hésitent à aller porter plainte. 411 victimes de VBG ont été prises en charge par l’ONG AGUIAS dans la maison d’accueil sécurisée gérée par l’ONG, depuis le lancement de la ligne verte.  </w:t>
            </w:r>
          </w:p>
          <w:p w14:paraId="7B5B20CC" w14:textId="77777777" w:rsidR="002077B6" w:rsidRPr="009C1EBC" w:rsidRDefault="002077B6" w:rsidP="00C4445D">
            <w:pPr>
              <w:autoSpaceDE w:val="0"/>
              <w:autoSpaceDN w:val="0"/>
              <w:adjustRightInd w:val="0"/>
              <w:rPr>
                <w:color w:val="000000"/>
                <w:sz w:val="10"/>
                <w:szCs w:val="10"/>
              </w:rPr>
            </w:pPr>
          </w:p>
          <w:p w14:paraId="51F0F342" w14:textId="3B19BB0A" w:rsidR="00C4445D" w:rsidRDefault="00C4445D" w:rsidP="00C4445D">
            <w:pPr>
              <w:autoSpaceDE w:val="0"/>
              <w:autoSpaceDN w:val="0"/>
              <w:adjustRightInd w:val="0"/>
              <w:rPr>
                <w:i/>
                <w:color w:val="000000"/>
              </w:rPr>
            </w:pPr>
            <w:r w:rsidRPr="002077B6">
              <w:rPr>
                <w:i/>
                <w:color w:val="000000"/>
              </w:rPr>
              <w:t xml:space="preserve">8. Quel </w:t>
            </w:r>
            <w:r w:rsidR="002077B6" w:rsidRPr="002077B6">
              <w:rPr>
                <w:i/>
                <w:color w:val="000000"/>
              </w:rPr>
              <w:t>état</w:t>
            </w:r>
            <w:r w:rsidRPr="002077B6">
              <w:rPr>
                <w:i/>
                <w:color w:val="000000"/>
              </w:rPr>
              <w:t xml:space="preserve"> de la situation </w:t>
            </w:r>
            <w:r w:rsidR="002077B6" w:rsidRPr="002077B6">
              <w:rPr>
                <w:i/>
                <w:color w:val="000000"/>
              </w:rPr>
              <w:t>financière</w:t>
            </w:r>
            <w:r w:rsidRPr="002077B6">
              <w:rPr>
                <w:i/>
                <w:color w:val="000000"/>
              </w:rPr>
              <w:t> ?</w:t>
            </w:r>
          </w:p>
          <w:p w14:paraId="1A81E8F6" w14:textId="6E683BFD" w:rsidR="002077B6" w:rsidRDefault="002077B6" w:rsidP="00C4445D">
            <w:pPr>
              <w:autoSpaceDE w:val="0"/>
              <w:autoSpaceDN w:val="0"/>
              <w:adjustRightInd w:val="0"/>
              <w:rPr>
                <w:color w:val="000000"/>
                <w:sz w:val="22"/>
                <w:szCs w:val="22"/>
              </w:rPr>
            </w:pPr>
            <w:r>
              <w:rPr>
                <w:color w:val="000000"/>
                <w:sz w:val="22"/>
                <w:szCs w:val="22"/>
              </w:rPr>
              <w:lastRenderedPageBreak/>
              <w:t>Le taux d’exécution est de 90% reparti suivant le tableau ci dessous:</w:t>
            </w:r>
          </w:p>
          <w:tbl>
            <w:tblPr>
              <w:tblW w:w="10060" w:type="dxa"/>
              <w:tblBorders>
                <w:top w:val="nil"/>
                <w:left w:val="nil"/>
                <w:right w:val="nil"/>
              </w:tblBorders>
              <w:tblLayout w:type="fixed"/>
              <w:tblLook w:val="0000" w:firstRow="0" w:lastRow="0" w:firstColumn="0" w:lastColumn="0" w:noHBand="0" w:noVBand="0"/>
            </w:tblPr>
            <w:tblGrid>
              <w:gridCol w:w="1555"/>
              <w:gridCol w:w="1417"/>
              <w:gridCol w:w="1418"/>
              <w:gridCol w:w="1275"/>
              <w:gridCol w:w="1418"/>
              <w:gridCol w:w="1559"/>
              <w:gridCol w:w="1418"/>
            </w:tblGrid>
            <w:tr w:rsidR="002077B6" w:rsidRPr="003201B5" w14:paraId="2E5C3EDB" w14:textId="77777777" w:rsidTr="002077B6">
              <w:tc>
                <w:tcPr>
                  <w:tcW w:w="1555" w:type="dxa"/>
                  <w:tcBorders>
                    <w:top w:val="single" w:sz="8" w:space="0" w:color="000000"/>
                    <w:left w:val="single" w:sz="8" w:space="0" w:color="000000"/>
                    <w:bottom w:val="single" w:sz="8" w:space="0" w:color="000000"/>
                    <w:right w:val="single" w:sz="8" w:space="0" w:color="000000"/>
                  </w:tcBorders>
                  <w:shd w:val="clear" w:color="auto" w:fill="D0D0D0"/>
                  <w:tcMar>
                    <w:top w:w="140" w:type="nil"/>
                    <w:right w:w="140" w:type="nil"/>
                  </w:tcMar>
                </w:tcPr>
                <w:p w14:paraId="5BDDE472"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AGENCE D’EXECUTION</w:t>
                  </w:r>
                </w:p>
              </w:tc>
              <w:tc>
                <w:tcPr>
                  <w:tcW w:w="1417" w:type="dxa"/>
                  <w:tcBorders>
                    <w:top w:val="single" w:sz="8" w:space="0" w:color="000000"/>
                    <w:bottom w:val="single" w:sz="8" w:space="0" w:color="000000"/>
                    <w:right w:val="single" w:sz="8" w:space="0" w:color="000000"/>
                  </w:tcBorders>
                  <w:shd w:val="clear" w:color="auto" w:fill="D0D0D0"/>
                  <w:tcMar>
                    <w:top w:w="140" w:type="nil"/>
                    <w:right w:w="140" w:type="nil"/>
                  </w:tcMar>
                </w:tcPr>
                <w:p w14:paraId="6A91CA5E"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DEPENSES (USD)</w:t>
                  </w:r>
                </w:p>
                <w:p w14:paraId="760D79FF"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2012</w:t>
                  </w:r>
                  <w:r w:rsidRPr="0075713C">
                    <w:rPr>
                      <w:rFonts w:ascii="Arial" w:hAnsi="Arial" w:cs="Arial"/>
                      <w:b/>
                      <w:bCs/>
                      <w:color w:val="0000FF"/>
                      <w:sz w:val="18"/>
                      <w:szCs w:val="18"/>
                      <w:vertAlign w:val="superscript"/>
                      <w:lang w:eastAsia="en-US"/>
                    </w:rPr>
                    <w:t>[1</w:t>
                  </w:r>
                  <w:r w:rsidRPr="0075713C">
                    <w:rPr>
                      <w:rFonts w:ascii="Arial" w:hAnsi="Arial" w:cs="Arial"/>
                      <w:b/>
                      <w:bCs/>
                      <w:color w:val="191919"/>
                      <w:sz w:val="18"/>
                      <w:szCs w:val="18"/>
                      <w:vertAlign w:val="superscript"/>
                      <w:lang w:eastAsia="en-US"/>
                    </w:rPr>
                    <w:t>]</w:t>
                  </w:r>
                </w:p>
              </w:tc>
              <w:tc>
                <w:tcPr>
                  <w:tcW w:w="1418" w:type="dxa"/>
                  <w:tcBorders>
                    <w:top w:val="single" w:sz="8" w:space="0" w:color="000000"/>
                    <w:bottom w:val="single" w:sz="8" w:space="0" w:color="000000"/>
                    <w:right w:val="single" w:sz="8" w:space="0" w:color="000000"/>
                  </w:tcBorders>
                  <w:shd w:val="clear" w:color="auto" w:fill="D0D0D0"/>
                  <w:tcMar>
                    <w:top w:w="140" w:type="nil"/>
                    <w:right w:w="140" w:type="nil"/>
                  </w:tcMar>
                </w:tcPr>
                <w:p w14:paraId="7E0E2385"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DEPENSES (USD)</w:t>
                  </w:r>
                </w:p>
                <w:p w14:paraId="7F759721"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2013</w:t>
                  </w:r>
                </w:p>
              </w:tc>
              <w:tc>
                <w:tcPr>
                  <w:tcW w:w="1275" w:type="dxa"/>
                  <w:tcBorders>
                    <w:top w:val="single" w:sz="8" w:space="0" w:color="000000"/>
                    <w:bottom w:val="single" w:sz="8" w:space="0" w:color="000000"/>
                    <w:right w:val="single" w:sz="8" w:space="0" w:color="000000"/>
                  </w:tcBorders>
                  <w:shd w:val="clear" w:color="auto" w:fill="D0D0D0"/>
                  <w:tcMar>
                    <w:top w:w="140" w:type="nil"/>
                    <w:right w:w="140" w:type="nil"/>
                  </w:tcMar>
                </w:tcPr>
                <w:p w14:paraId="5D33C9E4"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DEPENSES</w:t>
                  </w:r>
                  <w:r w:rsidRPr="0075713C">
                    <w:rPr>
                      <w:rFonts w:ascii="Times" w:hAnsi="Times" w:cs="Times"/>
                      <w:color w:val="191919"/>
                      <w:sz w:val="18"/>
                      <w:szCs w:val="18"/>
                      <w:lang w:eastAsia="en-US"/>
                    </w:rPr>
                    <w:t xml:space="preserve"> </w:t>
                  </w:r>
                  <w:r w:rsidRPr="0075713C">
                    <w:rPr>
                      <w:rFonts w:ascii="Arial" w:hAnsi="Arial" w:cs="Arial"/>
                      <w:b/>
                      <w:bCs/>
                      <w:color w:val="191919"/>
                      <w:sz w:val="18"/>
                      <w:szCs w:val="18"/>
                      <w:lang w:eastAsia="en-US"/>
                    </w:rPr>
                    <w:t>(USD)</w:t>
                  </w:r>
                </w:p>
                <w:p w14:paraId="26D5283D"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2014</w:t>
                  </w:r>
                </w:p>
              </w:tc>
              <w:tc>
                <w:tcPr>
                  <w:tcW w:w="1418" w:type="dxa"/>
                  <w:tcBorders>
                    <w:top w:val="single" w:sz="8" w:space="0" w:color="000000"/>
                    <w:bottom w:val="single" w:sz="8" w:space="0" w:color="000000"/>
                    <w:right w:val="single" w:sz="8" w:space="0" w:color="000000"/>
                  </w:tcBorders>
                  <w:shd w:val="clear" w:color="auto" w:fill="D0D0D0"/>
                  <w:tcMar>
                    <w:top w:w="140" w:type="nil"/>
                    <w:right w:w="140" w:type="nil"/>
                  </w:tcMar>
                </w:tcPr>
                <w:p w14:paraId="5A758207"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TOTAL DEPENSES (USD)</w:t>
                  </w:r>
                </w:p>
              </w:tc>
              <w:tc>
                <w:tcPr>
                  <w:tcW w:w="1559" w:type="dxa"/>
                  <w:tcBorders>
                    <w:top w:val="single" w:sz="8" w:space="0" w:color="000000"/>
                    <w:bottom w:val="single" w:sz="8" w:space="0" w:color="000000"/>
                    <w:right w:val="single" w:sz="8" w:space="0" w:color="000000"/>
                  </w:tcBorders>
                  <w:shd w:val="clear" w:color="auto" w:fill="D0D0D0"/>
                  <w:tcMar>
                    <w:top w:w="140" w:type="nil"/>
                    <w:right w:w="140" w:type="nil"/>
                  </w:tcMar>
                </w:tcPr>
                <w:p w14:paraId="690A2686" w14:textId="77777777" w:rsidR="002077B6" w:rsidRPr="0075713C" w:rsidRDefault="002077B6" w:rsidP="002077B6">
                  <w:pPr>
                    <w:widowControl w:val="0"/>
                    <w:autoSpaceDE w:val="0"/>
                    <w:autoSpaceDN w:val="0"/>
                    <w:adjustRightInd w:val="0"/>
                    <w:jc w:val="center"/>
                    <w:rPr>
                      <w:rFonts w:ascii="Times" w:hAnsi="Times" w:cs="Times"/>
                      <w:color w:val="191919"/>
                      <w:sz w:val="18"/>
                      <w:szCs w:val="18"/>
                      <w:lang w:eastAsia="en-US"/>
                    </w:rPr>
                  </w:pPr>
                  <w:r w:rsidRPr="0075713C">
                    <w:rPr>
                      <w:rFonts w:ascii="Arial" w:hAnsi="Arial" w:cs="Arial"/>
                      <w:b/>
                      <w:bCs/>
                      <w:color w:val="191919"/>
                      <w:sz w:val="18"/>
                      <w:szCs w:val="18"/>
                      <w:lang w:eastAsia="en-US"/>
                    </w:rPr>
                    <w:t>TAUX D’EXECUTION GLOBAL (%)</w:t>
                  </w:r>
                </w:p>
              </w:tc>
              <w:tc>
                <w:tcPr>
                  <w:tcW w:w="1418" w:type="dxa"/>
                  <w:tcBorders>
                    <w:top w:val="single" w:sz="8" w:space="0" w:color="000000"/>
                    <w:bottom w:val="single" w:sz="8" w:space="0" w:color="000000"/>
                    <w:right w:val="single" w:sz="8" w:space="0" w:color="000000"/>
                  </w:tcBorders>
                  <w:shd w:val="clear" w:color="auto" w:fill="D0D0D0"/>
                  <w:tcMar>
                    <w:top w:w="140" w:type="nil"/>
                    <w:right w:w="140" w:type="nil"/>
                  </w:tcMar>
                </w:tcPr>
                <w:p w14:paraId="4574D6AB" w14:textId="77777777" w:rsidR="002077B6" w:rsidRPr="0075713C" w:rsidRDefault="002077B6" w:rsidP="002077B6">
                  <w:pPr>
                    <w:widowControl w:val="0"/>
                    <w:autoSpaceDE w:val="0"/>
                    <w:autoSpaceDN w:val="0"/>
                    <w:adjustRightInd w:val="0"/>
                    <w:rPr>
                      <w:rFonts w:ascii="Times" w:hAnsi="Times" w:cs="Times"/>
                      <w:color w:val="191919"/>
                      <w:sz w:val="18"/>
                      <w:szCs w:val="18"/>
                      <w:lang w:eastAsia="en-US"/>
                    </w:rPr>
                  </w:pPr>
                  <w:r w:rsidRPr="0075713C">
                    <w:rPr>
                      <w:rFonts w:ascii="Arial" w:hAnsi="Arial" w:cs="Arial"/>
                      <w:b/>
                      <w:bCs/>
                      <w:color w:val="191919"/>
                      <w:sz w:val="18"/>
                      <w:szCs w:val="18"/>
                      <w:lang w:eastAsia="en-US"/>
                    </w:rPr>
                    <w:t>RELIQUAT</w:t>
                  </w:r>
                </w:p>
              </w:tc>
            </w:tr>
            <w:tr w:rsidR="002077B6" w:rsidRPr="003201B5" w14:paraId="568F679B" w14:textId="77777777" w:rsidTr="002077B6">
              <w:tblPrEx>
                <w:tblBorders>
                  <w:top w:val="none" w:sz="0" w:space="0" w:color="auto"/>
                </w:tblBorders>
              </w:tblPrEx>
              <w:tc>
                <w:tcPr>
                  <w:tcW w:w="1555" w:type="dxa"/>
                  <w:tcBorders>
                    <w:left w:val="single" w:sz="8" w:space="0" w:color="000000"/>
                    <w:bottom w:val="single" w:sz="8" w:space="0" w:color="000000"/>
                    <w:right w:val="single" w:sz="8" w:space="0" w:color="000000"/>
                  </w:tcBorders>
                  <w:tcMar>
                    <w:top w:w="140" w:type="nil"/>
                    <w:right w:w="140" w:type="nil"/>
                  </w:tcMar>
                </w:tcPr>
                <w:p w14:paraId="23E41E25" w14:textId="77777777" w:rsidR="002077B6" w:rsidRPr="0075713C" w:rsidRDefault="002077B6" w:rsidP="002077B6">
                  <w:pPr>
                    <w:widowControl w:val="0"/>
                    <w:autoSpaceDE w:val="0"/>
                    <w:autoSpaceDN w:val="0"/>
                    <w:adjustRightInd w:val="0"/>
                    <w:rPr>
                      <w:rFonts w:ascii="Times" w:hAnsi="Times" w:cs="Times"/>
                      <w:color w:val="191919"/>
                      <w:sz w:val="20"/>
                      <w:szCs w:val="20"/>
                      <w:lang w:eastAsia="en-US"/>
                    </w:rPr>
                  </w:pPr>
                  <w:r w:rsidRPr="0075713C">
                    <w:rPr>
                      <w:rFonts w:ascii="Arial" w:hAnsi="Arial" w:cs="Arial"/>
                      <w:b/>
                      <w:bCs/>
                      <w:color w:val="191919"/>
                      <w:sz w:val="20"/>
                      <w:szCs w:val="20"/>
                      <w:lang w:eastAsia="en-US"/>
                    </w:rPr>
                    <w:t>UNDP</w:t>
                  </w:r>
                </w:p>
              </w:tc>
              <w:tc>
                <w:tcPr>
                  <w:tcW w:w="1417" w:type="dxa"/>
                  <w:tcBorders>
                    <w:bottom w:val="single" w:sz="8" w:space="0" w:color="000000"/>
                    <w:right w:val="single" w:sz="8" w:space="0" w:color="000000"/>
                  </w:tcBorders>
                  <w:tcMar>
                    <w:top w:w="140" w:type="nil"/>
                    <w:right w:w="140" w:type="nil"/>
                  </w:tcMar>
                  <w:vAlign w:val="center"/>
                </w:tcPr>
                <w:p w14:paraId="016528F8"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15,000</w:t>
                  </w:r>
                </w:p>
              </w:tc>
              <w:tc>
                <w:tcPr>
                  <w:tcW w:w="1418" w:type="dxa"/>
                  <w:tcBorders>
                    <w:bottom w:val="single" w:sz="8" w:space="0" w:color="000000"/>
                    <w:right w:val="single" w:sz="8" w:space="0" w:color="000000"/>
                  </w:tcBorders>
                  <w:tcMar>
                    <w:top w:w="140" w:type="nil"/>
                    <w:right w:w="140" w:type="nil"/>
                  </w:tcMar>
                  <w:vAlign w:val="center"/>
                </w:tcPr>
                <w:p w14:paraId="20E15610"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54,176</w:t>
                  </w:r>
                </w:p>
              </w:tc>
              <w:tc>
                <w:tcPr>
                  <w:tcW w:w="1275" w:type="dxa"/>
                  <w:tcBorders>
                    <w:bottom w:val="single" w:sz="8" w:space="0" w:color="000000"/>
                    <w:right w:val="single" w:sz="8" w:space="0" w:color="000000"/>
                  </w:tcBorders>
                  <w:tcMar>
                    <w:top w:w="140" w:type="nil"/>
                    <w:right w:w="140" w:type="nil"/>
                  </w:tcMar>
                </w:tcPr>
                <w:p w14:paraId="7FAF5E7B"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119,037</w:t>
                  </w:r>
                </w:p>
              </w:tc>
              <w:tc>
                <w:tcPr>
                  <w:tcW w:w="1418" w:type="dxa"/>
                  <w:tcBorders>
                    <w:bottom w:val="single" w:sz="8" w:space="0" w:color="000000"/>
                    <w:right w:val="single" w:sz="8" w:space="0" w:color="000000"/>
                  </w:tcBorders>
                  <w:tcMar>
                    <w:top w:w="140" w:type="nil"/>
                    <w:right w:w="140" w:type="nil"/>
                  </w:tcMar>
                  <w:vAlign w:val="center"/>
                </w:tcPr>
                <w:p w14:paraId="05C882A5"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188,213</w:t>
                  </w:r>
                </w:p>
              </w:tc>
              <w:tc>
                <w:tcPr>
                  <w:tcW w:w="1559" w:type="dxa"/>
                  <w:tcBorders>
                    <w:bottom w:val="single" w:sz="8" w:space="0" w:color="000000"/>
                    <w:right w:val="single" w:sz="8" w:space="0" w:color="000000"/>
                  </w:tcBorders>
                  <w:tcMar>
                    <w:top w:w="140" w:type="nil"/>
                    <w:right w:w="140" w:type="nil"/>
                  </w:tcMar>
                </w:tcPr>
                <w:p w14:paraId="7848A9A9"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82</w:t>
                  </w:r>
                </w:p>
              </w:tc>
              <w:tc>
                <w:tcPr>
                  <w:tcW w:w="1418" w:type="dxa"/>
                  <w:tcBorders>
                    <w:bottom w:val="single" w:sz="8" w:space="0" w:color="000000"/>
                    <w:right w:val="single" w:sz="8" w:space="0" w:color="000000"/>
                  </w:tcBorders>
                  <w:tcMar>
                    <w:top w:w="140" w:type="nil"/>
                    <w:right w:w="140" w:type="nil"/>
                  </w:tcMar>
                </w:tcPr>
                <w:p w14:paraId="16A1C1AA"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41,387</w:t>
                  </w:r>
                </w:p>
              </w:tc>
            </w:tr>
            <w:tr w:rsidR="002077B6" w:rsidRPr="003201B5" w14:paraId="63488319" w14:textId="77777777" w:rsidTr="002077B6">
              <w:tblPrEx>
                <w:tblBorders>
                  <w:top w:val="none" w:sz="0" w:space="0" w:color="auto"/>
                </w:tblBorders>
              </w:tblPrEx>
              <w:tc>
                <w:tcPr>
                  <w:tcW w:w="1555" w:type="dxa"/>
                  <w:tcBorders>
                    <w:left w:val="single" w:sz="8" w:space="0" w:color="000000"/>
                    <w:bottom w:val="single" w:sz="8" w:space="0" w:color="000000"/>
                    <w:right w:val="single" w:sz="8" w:space="0" w:color="000000"/>
                  </w:tcBorders>
                  <w:tcMar>
                    <w:top w:w="140" w:type="nil"/>
                    <w:right w:w="140" w:type="nil"/>
                  </w:tcMar>
                </w:tcPr>
                <w:p w14:paraId="56867EC6" w14:textId="77777777" w:rsidR="002077B6" w:rsidRPr="0075713C" w:rsidRDefault="002077B6" w:rsidP="002077B6">
                  <w:pPr>
                    <w:widowControl w:val="0"/>
                    <w:autoSpaceDE w:val="0"/>
                    <w:autoSpaceDN w:val="0"/>
                    <w:adjustRightInd w:val="0"/>
                    <w:rPr>
                      <w:rFonts w:ascii="Times" w:hAnsi="Times" w:cs="Times"/>
                      <w:color w:val="191919"/>
                      <w:sz w:val="20"/>
                      <w:szCs w:val="20"/>
                      <w:lang w:eastAsia="en-US"/>
                    </w:rPr>
                  </w:pPr>
                  <w:r w:rsidRPr="0075713C">
                    <w:rPr>
                      <w:rFonts w:ascii="Arial" w:hAnsi="Arial" w:cs="Arial"/>
                      <w:b/>
                      <w:bCs/>
                      <w:color w:val="191919"/>
                      <w:sz w:val="20"/>
                      <w:szCs w:val="20"/>
                      <w:lang w:eastAsia="en-US"/>
                    </w:rPr>
                    <w:t>UNFPA</w:t>
                  </w:r>
                </w:p>
              </w:tc>
              <w:tc>
                <w:tcPr>
                  <w:tcW w:w="1417" w:type="dxa"/>
                  <w:tcBorders>
                    <w:bottom w:val="single" w:sz="8" w:space="0" w:color="000000"/>
                    <w:right w:val="single" w:sz="8" w:space="0" w:color="000000"/>
                  </w:tcBorders>
                  <w:tcMar>
                    <w:top w:w="140" w:type="nil"/>
                    <w:right w:w="140" w:type="nil"/>
                  </w:tcMar>
                  <w:vAlign w:val="center"/>
                </w:tcPr>
                <w:p w14:paraId="00BA4721"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65,462</w:t>
                  </w:r>
                </w:p>
              </w:tc>
              <w:tc>
                <w:tcPr>
                  <w:tcW w:w="1418" w:type="dxa"/>
                  <w:tcBorders>
                    <w:bottom w:val="single" w:sz="8" w:space="0" w:color="000000"/>
                    <w:right w:val="single" w:sz="8" w:space="0" w:color="000000"/>
                  </w:tcBorders>
                  <w:tcMar>
                    <w:top w:w="140" w:type="nil"/>
                    <w:right w:w="140" w:type="nil"/>
                  </w:tcMar>
                  <w:vAlign w:val="center"/>
                </w:tcPr>
                <w:p w14:paraId="05475E43"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204,122</w:t>
                  </w:r>
                </w:p>
              </w:tc>
              <w:tc>
                <w:tcPr>
                  <w:tcW w:w="1275" w:type="dxa"/>
                  <w:tcBorders>
                    <w:bottom w:val="single" w:sz="8" w:space="0" w:color="000000"/>
                    <w:right w:val="single" w:sz="8" w:space="0" w:color="000000"/>
                  </w:tcBorders>
                  <w:tcMar>
                    <w:top w:w="140" w:type="nil"/>
                    <w:right w:w="140" w:type="nil"/>
                  </w:tcMar>
                </w:tcPr>
                <w:p w14:paraId="1DF7D655"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100,742</w:t>
                  </w:r>
                </w:p>
              </w:tc>
              <w:tc>
                <w:tcPr>
                  <w:tcW w:w="1418" w:type="dxa"/>
                  <w:tcBorders>
                    <w:bottom w:val="single" w:sz="8" w:space="0" w:color="000000"/>
                    <w:right w:val="single" w:sz="8" w:space="0" w:color="000000"/>
                  </w:tcBorders>
                  <w:tcMar>
                    <w:top w:w="140" w:type="nil"/>
                    <w:right w:w="140" w:type="nil"/>
                  </w:tcMar>
                  <w:vAlign w:val="center"/>
                </w:tcPr>
                <w:p w14:paraId="47E63D5F"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370,326</w:t>
                  </w:r>
                </w:p>
              </w:tc>
              <w:tc>
                <w:tcPr>
                  <w:tcW w:w="1559" w:type="dxa"/>
                  <w:tcBorders>
                    <w:bottom w:val="single" w:sz="8" w:space="0" w:color="000000"/>
                    <w:right w:val="single" w:sz="8" w:space="0" w:color="000000"/>
                  </w:tcBorders>
                  <w:tcMar>
                    <w:top w:w="140" w:type="nil"/>
                    <w:right w:w="140" w:type="nil"/>
                  </w:tcMar>
                  <w:vAlign w:val="center"/>
                </w:tcPr>
                <w:p w14:paraId="66CD52CB"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88</w:t>
                  </w:r>
                </w:p>
              </w:tc>
              <w:tc>
                <w:tcPr>
                  <w:tcW w:w="1418" w:type="dxa"/>
                  <w:tcBorders>
                    <w:bottom w:val="single" w:sz="8" w:space="0" w:color="000000"/>
                    <w:right w:val="single" w:sz="8" w:space="0" w:color="000000"/>
                  </w:tcBorders>
                  <w:tcMar>
                    <w:top w:w="140" w:type="nil"/>
                    <w:right w:w="140" w:type="nil"/>
                  </w:tcMar>
                  <w:vAlign w:val="center"/>
                </w:tcPr>
                <w:p w14:paraId="6DEE1FD8"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50,719</w:t>
                  </w:r>
                </w:p>
              </w:tc>
            </w:tr>
            <w:tr w:rsidR="002077B6" w:rsidRPr="003201B5" w14:paraId="686411FF" w14:textId="77777777" w:rsidTr="002077B6">
              <w:tblPrEx>
                <w:tblBorders>
                  <w:top w:val="none" w:sz="0" w:space="0" w:color="auto"/>
                </w:tblBorders>
              </w:tblPrEx>
              <w:tc>
                <w:tcPr>
                  <w:tcW w:w="1555" w:type="dxa"/>
                  <w:tcBorders>
                    <w:left w:val="single" w:sz="8" w:space="0" w:color="000000"/>
                    <w:bottom w:val="single" w:sz="8" w:space="0" w:color="000000"/>
                    <w:right w:val="single" w:sz="8" w:space="0" w:color="000000"/>
                  </w:tcBorders>
                  <w:tcMar>
                    <w:top w:w="140" w:type="nil"/>
                    <w:right w:w="140" w:type="nil"/>
                  </w:tcMar>
                </w:tcPr>
                <w:p w14:paraId="6FDA49FE" w14:textId="77777777" w:rsidR="002077B6" w:rsidRPr="0075713C" w:rsidRDefault="002077B6" w:rsidP="002077B6">
                  <w:pPr>
                    <w:widowControl w:val="0"/>
                    <w:autoSpaceDE w:val="0"/>
                    <w:autoSpaceDN w:val="0"/>
                    <w:adjustRightInd w:val="0"/>
                    <w:rPr>
                      <w:rFonts w:ascii="Times" w:hAnsi="Times" w:cs="Times"/>
                      <w:color w:val="191919"/>
                      <w:sz w:val="20"/>
                      <w:szCs w:val="20"/>
                      <w:lang w:eastAsia="en-US"/>
                    </w:rPr>
                  </w:pPr>
                  <w:r w:rsidRPr="0075713C">
                    <w:rPr>
                      <w:rFonts w:ascii="Arial" w:hAnsi="Arial" w:cs="Arial"/>
                      <w:b/>
                      <w:bCs/>
                      <w:color w:val="191919"/>
                      <w:sz w:val="20"/>
                      <w:szCs w:val="20"/>
                      <w:lang w:eastAsia="en-US"/>
                    </w:rPr>
                    <w:t>UNICEF</w:t>
                  </w:r>
                </w:p>
              </w:tc>
              <w:tc>
                <w:tcPr>
                  <w:tcW w:w="1417" w:type="dxa"/>
                  <w:tcBorders>
                    <w:bottom w:val="single" w:sz="8" w:space="0" w:color="000000"/>
                    <w:right w:val="single" w:sz="8" w:space="0" w:color="000000"/>
                  </w:tcBorders>
                  <w:tcMar>
                    <w:top w:w="140" w:type="nil"/>
                    <w:right w:w="140" w:type="nil"/>
                  </w:tcMar>
                  <w:vAlign w:val="center"/>
                </w:tcPr>
                <w:p w14:paraId="24559567"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52,355</w:t>
                  </w:r>
                </w:p>
              </w:tc>
              <w:tc>
                <w:tcPr>
                  <w:tcW w:w="1418" w:type="dxa"/>
                  <w:tcBorders>
                    <w:bottom w:val="single" w:sz="8" w:space="0" w:color="000000"/>
                    <w:right w:val="single" w:sz="8" w:space="0" w:color="000000"/>
                  </w:tcBorders>
                  <w:tcMar>
                    <w:top w:w="140" w:type="nil"/>
                    <w:right w:w="140" w:type="nil"/>
                  </w:tcMar>
                  <w:vAlign w:val="center"/>
                </w:tcPr>
                <w:p w14:paraId="02515B47"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282,489</w:t>
                  </w:r>
                </w:p>
              </w:tc>
              <w:tc>
                <w:tcPr>
                  <w:tcW w:w="1275" w:type="dxa"/>
                  <w:tcBorders>
                    <w:bottom w:val="single" w:sz="8" w:space="0" w:color="000000"/>
                    <w:right w:val="single" w:sz="8" w:space="0" w:color="000000"/>
                  </w:tcBorders>
                  <w:tcMar>
                    <w:top w:w="140" w:type="nil"/>
                    <w:right w:w="140" w:type="nil"/>
                  </w:tcMar>
                </w:tcPr>
                <w:p w14:paraId="06275184"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9,554</w:t>
                  </w:r>
                </w:p>
              </w:tc>
              <w:tc>
                <w:tcPr>
                  <w:tcW w:w="1418" w:type="dxa"/>
                  <w:tcBorders>
                    <w:bottom w:val="single" w:sz="8" w:space="0" w:color="000000"/>
                    <w:right w:val="single" w:sz="8" w:space="0" w:color="000000"/>
                  </w:tcBorders>
                  <w:tcMar>
                    <w:top w:w="140" w:type="nil"/>
                    <w:right w:w="140" w:type="nil"/>
                  </w:tcMar>
                  <w:vAlign w:val="center"/>
                </w:tcPr>
                <w:p w14:paraId="2D6EFA91"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344,398</w:t>
                  </w:r>
                </w:p>
              </w:tc>
              <w:tc>
                <w:tcPr>
                  <w:tcW w:w="1559" w:type="dxa"/>
                  <w:tcBorders>
                    <w:bottom w:val="single" w:sz="8" w:space="0" w:color="000000"/>
                    <w:right w:val="single" w:sz="8" w:space="0" w:color="000000"/>
                  </w:tcBorders>
                  <w:tcMar>
                    <w:top w:w="140" w:type="nil"/>
                    <w:right w:w="140" w:type="nil"/>
                  </w:tcMar>
                  <w:vAlign w:val="center"/>
                </w:tcPr>
                <w:p w14:paraId="158F4D55"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99.6</w:t>
                  </w:r>
                </w:p>
              </w:tc>
              <w:tc>
                <w:tcPr>
                  <w:tcW w:w="1418" w:type="dxa"/>
                  <w:tcBorders>
                    <w:bottom w:val="single" w:sz="8" w:space="0" w:color="000000"/>
                    <w:right w:val="single" w:sz="8" w:space="0" w:color="000000"/>
                  </w:tcBorders>
                  <w:tcMar>
                    <w:top w:w="140" w:type="nil"/>
                    <w:right w:w="140" w:type="nil"/>
                  </w:tcMar>
                  <w:vAlign w:val="center"/>
                </w:tcPr>
                <w:p w14:paraId="3596771B" w14:textId="77777777" w:rsidR="002077B6" w:rsidRPr="0075713C" w:rsidRDefault="002077B6" w:rsidP="002077B6">
                  <w:pPr>
                    <w:widowControl w:val="0"/>
                    <w:autoSpaceDE w:val="0"/>
                    <w:autoSpaceDN w:val="0"/>
                    <w:adjustRightInd w:val="0"/>
                    <w:jc w:val="center"/>
                    <w:rPr>
                      <w:rFonts w:ascii="Arial" w:hAnsi="Arial" w:cs="Arial"/>
                      <w:color w:val="18376A"/>
                      <w:sz w:val="20"/>
                      <w:szCs w:val="20"/>
                      <w:lang w:eastAsia="en-US"/>
                    </w:rPr>
                  </w:pPr>
                  <w:r w:rsidRPr="0075713C">
                    <w:rPr>
                      <w:rFonts w:ascii="Arial" w:hAnsi="Arial" w:cs="Arial"/>
                      <w:color w:val="18376A"/>
                      <w:sz w:val="20"/>
                      <w:szCs w:val="20"/>
                      <w:lang w:eastAsia="en-US"/>
                    </w:rPr>
                    <w:t>4,957</w:t>
                  </w:r>
                </w:p>
              </w:tc>
            </w:tr>
            <w:tr w:rsidR="002077B6" w:rsidRPr="003201B5" w14:paraId="03CC08E4" w14:textId="77777777" w:rsidTr="002077B6">
              <w:tc>
                <w:tcPr>
                  <w:tcW w:w="1555" w:type="dxa"/>
                  <w:tcBorders>
                    <w:left w:val="single" w:sz="8" w:space="0" w:color="000000"/>
                    <w:bottom w:val="single" w:sz="8" w:space="0" w:color="000000"/>
                    <w:right w:val="single" w:sz="8" w:space="0" w:color="000000"/>
                  </w:tcBorders>
                  <w:tcMar>
                    <w:top w:w="140" w:type="nil"/>
                    <w:right w:w="140" w:type="nil"/>
                  </w:tcMar>
                </w:tcPr>
                <w:p w14:paraId="62135B38" w14:textId="77777777" w:rsidR="002077B6" w:rsidRPr="0075713C" w:rsidRDefault="002077B6" w:rsidP="002077B6">
                  <w:pPr>
                    <w:widowControl w:val="0"/>
                    <w:autoSpaceDE w:val="0"/>
                    <w:autoSpaceDN w:val="0"/>
                    <w:adjustRightInd w:val="0"/>
                    <w:jc w:val="right"/>
                    <w:rPr>
                      <w:rFonts w:ascii="Times" w:hAnsi="Times" w:cs="Times"/>
                      <w:color w:val="191919"/>
                      <w:sz w:val="20"/>
                      <w:szCs w:val="20"/>
                      <w:lang w:eastAsia="en-US"/>
                    </w:rPr>
                  </w:pPr>
                  <w:r w:rsidRPr="0075713C">
                    <w:rPr>
                      <w:rFonts w:ascii="Arial" w:hAnsi="Arial" w:cs="Arial"/>
                      <w:b/>
                      <w:bCs/>
                      <w:i/>
                      <w:iCs/>
                      <w:color w:val="191919"/>
                      <w:sz w:val="20"/>
                      <w:szCs w:val="20"/>
                      <w:lang w:eastAsia="en-US"/>
                    </w:rPr>
                    <w:t>TOTAL</w:t>
                  </w:r>
                </w:p>
              </w:tc>
              <w:tc>
                <w:tcPr>
                  <w:tcW w:w="1417" w:type="dxa"/>
                  <w:tcBorders>
                    <w:bottom w:val="single" w:sz="8" w:space="0" w:color="000000"/>
                    <w:right w:val="single" w:sz="8" w:space="0" w:color="000000"/>
                  </w:tcBorders>
                  <w:shd w:val="clear" w:color="auto" w:fill="F7B17D"/>
                  <w:tcMar>
                    <w:top w:w="140" w:type="nil"/>
                    <w:right w:w="140" w:type="nil"/>
                  </w:tcMar>
                  <w:vAlign w:val="center"/>
                </w:tcPr>
                <w:p w14:paraId="1B9F6FA7" w14:textId="77777777" w:rsidR="002077B6" w:rsidRPr="0075713C" w:rsidRDefault="002077B6" w:rsidP="002077B6">
                  <w:pPr>
                    <w:widowControl w:val="0"/>
                    <w:autoSpaceDE w:val="0"/>
                    <w:autoSpaceDN w:val="0"/>
                    <w:adjustRightInd w:val="0"/>
                    <w:jc w:val="center"/>
                    <w:rPr>
                      <w:rFonts w:ascii="Arial" w:hAnsi="Arial" w:cs="Arial"/>
                      <w:b/>
                      <w:bCs/>
                      <w:i/>
                      <w:iCs/>
                      <w:sz w:val="20"/>
                      <w:szCs w:val="20"/>
                      <w:lang w:eastAsia="en-US"/>
                    </w:rPr>
                  </w:pPr>
                  <w:r w:rsidRPr="0075713C">
                    <w:rPr>
                      <w:rFonts w:ascii="Arial" w:hAnsi="Arial" w:cs="Arial"/>
                      <w:b/>
                      <w:bCs/>
                      <w:i/>
                      <w:iCs/>
                      <w:sz w:val="20"/>
                      <w:szCs w:val="20"/>
                      <w:lang w:eastAsia="en-US"/>
                    </w:rPr>
                    <w:t>175,920</w:t>
                  </w:r>
                </w:p>
              </w:tc>
              <w:tc>
                <w:tcPr>
                  <w:tcW w:w="1418" w:type="dxa"/>
                  <w:tcBorders>
                    <w:bottom w:val="single" w:sz="8" w:space="0" w:color="000000"/>
                    <w:right w:val="single" w:sz="8" w:space="0" w:color="000000"/>
                  </w:tcBorders>
                  <w:shd w:val="clear" w:color="auto" w:fill="F7B17D"/>
                  <w:tcMar>
                    <w:top w:w="140" w:type="nil"/>
                    <w:right w:w="140" w:type="nil"/>
                  </w:tcMar>
                  <w:vAlign w:val="center"/>
                </w:tcPr>
                <w:p w14:paraId="4E8B1A41" w14:textId="77777777" w:rsidR="002077B6" w:rsidRPr="0075713C" w:rsidRDefault="002077B6" w:rsidP="002077B6">
                  <w:pPr>
                    <w:widowControl w:val="0"/>
                    <w:autoSpaceDE w:val="0"/>
                    <w:autoSpaceDN w:val="0"/>
                    <w:adjustRightInd w:val="0"/>
                    <w:jc w:val="center"/>
                    <w:rPr>
                      <w:rFonts w:ascii="Arial" w:hAnsi="Arial" w:cs="Arial"/>
                      <w:b/>
                      <w:bCs/>
                      <w:i/>
                      <w:iCs/>
                      <w:sz w:val="20"/>
                      <w:szCs w:val="20"/>
                      <w:lang w:eastAsia="en-US"/>
                    </w:rPr>
                  </w:pPr>
                  <w:r w:rsidRPr="0075713C">
                    <w:rPr>
                      <w:rFonts w:ascii="Arial" w:hAnsi="Arial" w:cs="Arial"/>
                      <w:b/>
                      <w:bCs/>
                      <w:i/>
                      <w:iCs/>
                      <w:sz w:val="20"/>
                      <w:szCs w:val="20"/>
                      <w:lang w:eastAsia="en-US"/>
                    </w:rPr>
                    <w:t>520,819</w:t>
                  </w:r>
                </w:p>
              </w:tc>
              <w:tc>
                <w:tcPr>
                  <w:tcW w:w="1275" w:type="dxa"/>
                  <w:tcBorders>
                    <w:bottom w:val="single" w:sz="8" w:space="0" w:color="000000"/>
                    <w:right w:val="single" w:sz="8" w:space="0" w:color="000000"/>
                  </w:tcBorders>
                  <w:shd w:val="clear" w:color="auto" w:fill="F7B17D"/>
                  <w:tcMar>
                    <w:top w:w="140" w:type="nil"/>
                    <w:right w:w="140" w:type="nil"/>
                  </w:tcMar>
                </w:tcPr>
                <w:p w14:paraId="497B1F7B" w14:textId="77777777" w:rsidR="002077B6" w:rsidRPr="0075713C" w:rsidRDefault="002077B6" w:rsidP="002077B6">
                  <w:pPr>
                    <w:widowControl w:val="0"/>
                    <w:autoSpaceDE w:val="0"/>
                    <w:autoSpaceDN w:val="0"/>
                    <w:adjustRightInd w:val="0"/>
                    <w:jc w:val="center"/>
                    <w:rPr>
                      <w:rFonts w:ascii="Times" w:hAnsi="Times" w:cs="Times"/>
                      <w:color w:val="191919"/>
                      <w:sz w:val="20"/>
                      <w:szCs w:val="20"/>
                      <w:lang w:eastAsia="en-US"/>
                    </w:rPr>
                  </w:pPr>
                  <w:r w:rsidRPr="0075713C">
                    <w:rPr>
                      <w:rFonts w:ascii="Arial" w:hAnsi="Arial" w:cs="Arial"/>
                      <w:b/>
                      <w:bCs/>
                      <w:i/>
                      <w:iCs/>
                      <w:sz w:val="20"/>
                      <w:szCs w:val="20"/>
                      <w:lang w:eastAsia="en-US"/>
                    </w:rPr>
                    <w:t>299,333 </w:t>
                  </w:r>
                </w:p>
              </w:tc>
              <w:tc>
                <w:tcPr>
                  <w:tcW w:w="1418" w:type="dxa"/>
                  <w:tcBorders>
                    <w:bottom w:val="single" w:sz="8" w:space="0" w:color="000000"/>
                    <w:right w:val="single" w:sz="8" w:space="0" w:color="000000"/>
                  </w:tcBorders>
                  <w:shd w:val="clear" w:color="auto" w:fill="F7B17D"/>
                  <w:tcMar>
                    <w:top w:w="140" w:type="nil"/>
                    <w:right w:w="140" w:type="nil"/>
                  </w:tcMar>
                  <w:vAlign w:val="center"/>
                </w:tcPr>
                <w:p w14:paraId="137392CB" w14:textId="77777777" w:rsidR="002077B6" w:rsidRPr="0075713C" w:rsidRDefault="002077B6" w:rsidP="002077B6">
                  <w:pPr>
                    <w:widowControl w:val="0"/>
                    <w:autoSpaceDE w:val="0"/>
                    <w:autoSpaceDN w:val="0"/>
                    <w:adjustRightInd w:val="0"/>
                    <w:jc w:val="center"/>
                    <w:rPr>
                      <w:rFonts w:ascii="Times" w:hAnsi="Times" w:cs="Times"/>
                      <w:color w:val="191919"/>
                      <w:sz w:val="20"/>
                      <w:szCs w:val="20"/>
                      <w:lang w:eastAsia="en-US"/>
                    </w:rPr>
                  </w:pPr>
                  <w:r w:rsidRPr="0075713C">
                    <w:rPr>
                      <w:rFonts w:ascii="Arial" w:hAnsi="Arial" w:cs="Arial"/>
                      <w:b/>
                      <w:bCs/>
                      <w:i/>
                      <w:iCs/>
                      <w:sz w:val="20"/>
                      <w:szCs w:val="20"/>
                      <w:lang w:eastAsia="en-US"/>
                    </w:rPr>
                    <w:t>902,937</w:t>
                  </w:r>
                </w:p>
              </w:tc>
              <w:tc>
                <w:tcPr>
                  <w:tcW w:w="1559" w:type="dxa"/>
                  <w:tcBorders>
                    <w:bottom w:val="single" w:sz="8" w:space="0" w:color="000000"/>
                    <w:right w:val="single" w:sz="8" w:space="0" w:color="000000"/>
                  </w:tcBorders>
                  <w:shd w:val="clear" w:color="auto" w:fill="F7B17D"/>
                  <w:tcMar>
                    <w:top w:w="140" w:type="nil"/>
                    <w:right w:w="140" w:type="nil"/>
                  </w:tcMar>
                  <w:vAlign w:val="center"/>
                </w:tcPr>
                <w:p w14:paraId="53D338CE" w14:textId="77777777" w:rsidR="002077B6" w:rsidRPr="0075713C" w:rsidRDefault="002077B6" w:rsidP="002077B6">
                  <w:pPr>
                    <w:widowControl w:val="0"/>
                    <w:autoSpaceDE w:val="0"/>
                    <w:autoSpaceDN w:val="0"/>
                    <w:adjustRightInd w:val="0"/>
                    <w:jc w:val="center"/>
                    <w:rPr>
                      <w:rFonts w:ascii="Times" w:hAnsi="Times" w:cs="Times"/>
                      <w:color w:val="191919"/>
                      <w:sz w:val="20"/>
                      <w:szCs w:val="20"/>
                      <w:lang w:eastAsia="en-US"/>
                    </w:rPr>
                  </w:pPr>
                  <w:r w:rsidRPr="0075713C">
                    <w:rPr>
                      <w:rFonts w:ascii="Arial" w:hAnsi="Arial" w:cs="Arial"/>
                      <w:b/>
                      <w:bCs/>
                      <w:i/>
                      <w:iCs/>
                      <w:sz w:val="20"/>
                      <w:szCs w:val="20"/>
                      <w:lang w:eastAsia="en-US"/>
                    </w:rPr>
                    <w:t>90%</w:t>
                  </w:r>
                </w:p>
              </w:tc>
              <w:tc>
                <w:tcPr>
                  <w:tcW w:w="1418" w:type="dxa"/>
                  <w:tcBorders>
                    <w:bottom w:val="single" w:sz="8" w:space="0" w:color="000000"/>
                    <w:right w:val="single" w:sz="8" w:space="0" w:color="000000"/>
                  </w:tcBorders>
                  <w:shd w:val="clear" w:color="auto" w:fill="F7B17D"/>
                  <w:tcMar>
                    <w:top w:w="140" w:type="nil"/>
                    <w:right w:w="140" w:type="nil"/>
                  </w:tcMar>
                  <w:vAlign w:val="center"/>
                </w:tcPr>
                <w:p w14:paraId="6937267A" w14:textId="77777777" w:rsidR="002077B6" w:rsidRPr="0075713C" w:rsidRDefault="002077B6" w:rsidP="002077B6">
                  <w:pPr>
                    <w:widowControl w:val="0"/>
                    <w:autoSpaceDE w:val="0"/>
                    <w:autoSpaceDN w:val="0"/>
                    <w:adjustRightInd w:val="0"/>
                    <w:jc w:val="center"/>
                    <w:rPr>
                      <w:rFonts w:ascii="Times" w:hAnsi="Times" w:cs="Times"/>
                      <w:color w:val="191919"/>
                      <w:sz w:val="20"/>
                      <w:szCs w:val="20"/>
                      <w:lang w:eastAsia="en-US"/>
                    </w:rPr>
                  </w:pPr>
                  <w:r w:rsidRPr="0075713C">
                    <w:rPr>
                      <w:rFonts w:ascii="Arial" w:hAnsi="Arial" w:cs="Arial"/>
                      <w:b/>
                      <w:bCs/>
                      <w:i/>
                      <w:iCs/>
                      <w:sz w:val="20"/>
                      <w:szCs w:val="20"/>
                      <w:lang w:eastAsia="en-US"/>
                    </w:rPr>
                    <w:t>97,063</w:t>
                  </w:r>
                </w:p>
              </w:tc>
            </w:tr>
          </w:tbl>
          <w:p w14:paraId="3CEC0118" w14:textId="77777777" w:rsidR="002077B6" w:rsidRPr="002077B6" w:rsidRDefault="002077B6" w:rsidP="00C4445D">
            <w:pPr>
              <w:autoSpaceDE w:val="0"/>
              <w:autoSpaceDN w:val="0"/>
              <w:adjustRightInd w:val="0"/>
              <w:rPr>
                <w:color w:val="000000"/>
                <w:sz w:val="22"/>
                <w:szCs w:val="22"/>
              </w:rPr>
            </w:pPr>
          </w:p>
          <w:p w14:paraId="0FB101CF" w14:textId="149F2124" w:rsidR="00C4445D" w:rsidRPr="002077B6" w:rsidRDefault="00C4445D" w:rsidP="00C4445D">
            <w:pPr>
              <w:autoSpaceDE w:val="0"/>
              <w:autoSpaceDN w:val="0"/>
              <w:adjustRightInd w:val="0"/>
              <w:rPr>
                <w:i/>
                <w:color w:val="000000"/>
              </w:rPr>
            </w:pPr>
            <w:r w:rsidRPr="002077B6">
              <w:rPr>
                <w:i/>
                <w:color w:val="000000"/>
              </w:rPr>
              <w:t>9. Autre information pertinente pour PBSO</w:t>
            </w:r>
          </w:p>
          <w:p w14:paraId="726B4E4E" w14:textId="12C8810B" w:rsidR="00F715E4" w:rsidRPr="00B670F8" w:rsidRDefault="002077B6" w:rsidP="00B670F8">
            <w:pPr>
              <w:autoSpaceDE w:val="0"/>
              <w:autoSpaceDN w:val="0"/>
              <w:adjustRightInd w:val="0"/>
              <w:jc w:val="both"/>
              <w:rPr>
                <w:color w:val="000000"/>
                <w:sz w:val="22"/>
                <w:szCs w:val="22"/>
              </w:rPr>
            </w:pPr>
            <w:r>
              <w:rPr>
                <w:color w:val="000000"/>
                <w:sz w:val="22"/>
                <w:szCs w:val="22"/>
              </w:rPr>
              <w:t xml:space="preserve">Avec la fin du contrat de l’Expert Genre et Consolidation au sein du Bureau du Coordonnateur </w:t>
            </w:r>
            <w:r w:rsidR="009B75FD">
              <w:rPr>
                <w:color w:val="000000"/>
                <w:sz w:val="22"/>
                <w:szCs w:val="22"/>
              </w:rPr>
              <w:t>Résident</w:t>
            </w:r>
            <w:r>
              <w:rPr>
                <w:color w:val="000000"/>
                <w:sz w:val="22"/>
                <w:szCs w:val="22"/>
              </w:rPr>
              <w:t xml:space="preserve"> (UN Women/PBSO) il n’y a en ce moment aucune </w:t>
            </w:r>
            <w:r w:rsidR="009B75FD">
              <w:rPr>
                <w:color w:val="000000"/>
                <w:sz w:val="22"/>
                <w:szCs w:val="22"/>
              </w:rPr>
              <w:t>ressource</w:t>
            </w:r>
            <w:r>
              <w:rPr>
                <w:color w:val="000000"/>
                <w:sz w:val="22"/>
                <w:szCs w:val="22"/>
              </w:rPr>
              <w:t xml:space="preserve"> </w:t>
            </w:r>
            <w:r w:rsidR="009B75FD">
              <w:rPr>
                <w:color w:val="000000"/>
                <w:sz w:val="22"/>
                <w:szCs w:val="22"/>
              </w:rPr>
              <w:t>spécifique</w:t>
            </w:r>
            <w:r>
              <w:rPr>
                <w:color w:val="000000"/>
                <w:sz w:val="22"/>
                <w:szCs w:val="22"/>
              </w:rPr>
              <w:t xml:space="preserve"> </w:t>
            </w:r>
            <w:r w:rsidR="009B75FD">
              <w:rPr>
                <w:color w:val="000000"/>
                <w:sz w:val="22"/>
                <w:szCs w:val="22"/>
              </w:rPr>
              <w:t>pour la coordination du projet. Ainsi, il faudrait que l’agence lead (PNUD) prenne les dispositions pour la revue finale et la clôture du projet.</w:t>
            </w:r>
          </w:p>
        </w:tc>
      </w:tr>
    </w:tbl>
    <w:p w14:paraId="7C6CB2EC" w14:textId="77777777" w:rsidR="00CF6D08" w:rsidRPr="00EE50E9" w:rsidRDefault="00CF6D08" w:rsidP="00F11DAC">
      <w:pPr>
        <w:outlineLvl w:val="0"/>
        <w:rPr>
          <w:sz w:val="22"/>
          <w:szCs w:val="22"/>
        </w:rPr>
        <w:sectPr w:rsidR="00CF6D08" w:rsidRPr="00EE50E9" w:rsidSect="00F27F0A">
          <w:footerReference w:type="even" r:id="rId12"/>
          <w:footerReference w:type="default" r:id="rId13"/>
          <w:pgSz w:w="12240" w:h="15840"/>
          <w:pgMar w:top="562" w:right="1800" w:bottom="562" w:left="1800" w:header="720" w:footer="720" w:gutter="0"/>
          <w:pgNumType w:start="1"/>
          <w:cols w:space="720"/>
          <w:docGrid w:linePitch="360"/>
        </w:sectPr>
      </w:pPr>
    </w:p>
    <w:p w14:paraId="7118F6ED" w14:textId="322C5810" w:rsidR="00CF6D08" w:rsidRPr="00EE50E9" w:rsidRDefault="00CF6D08" w:rsidP="005A25C8">
      <w:pPr>
        <w:jc w:val="center"/>
        <w:rPr>
          <w:sz w:val="22"/>
          <w:szCs w:val="22"/>
        </w:rPr>
      </w:pPr>
      <w:r w:rsidRPr="00EE50E9">
        <w:rPr>
          <w:rFonts w:cs="Tahoma"/>
          <w:b/>
          <w:szCs w:val="20"/>
          <w:lang w:eastAsia="en-US"/>
        </w:rPr>
        <w:lastRenderedPageBreak/>
        <w:t>EVALUATION DE LA PERFORMANCE A PARTIR D’INDICATEURS:</w:t>
      </w:r>
    </w:p>
    <w:p w14:paraId="70F81334" w14:textId="77777777" w:rsidR="00CF6D08" w:rsidRDefault="00CF6D08" w:rsidP="00F11DAC">
      <w:pPr>
        <w:outlineLvl w:val="0"/>
        <w:rPr>
          <w:sz w:val="22"/>
          <w:szCs w:val="22"/>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9"/>
        <w:gridCol w:w="3991"/>
        <w:gridCol w:w="4230"/>
        <w:gridCol w:w="2880"/>
      </w:tblGrid>
      <w:tr w:rsidR="003E122D" w:rsidRPr="003142EF" w14:paraId="70CFDBC0" w14:textId="77777777" w:rsidTr="0063367C">
        <w:tc>
          <w:tcPr>
            <w:tcW w:w="4019" w:type="dxa"/>
            <w:shd w:val="clear" w:color="auto" w:fill="auto"/>
          </w:tcPr>
          <w:p w14:paraId="7805A521" w14:textId="77777777" w:rsidR="003E122D" w:rsidRPr="001C698E" w:rsidRDefault="003E122D" w:rsidP="00086C0F">
            <w:pPr>
              <w:jc w:val="both"/>
              <w:rPr>
                <w:rFonts w:cs="Arial"/>
                <w:bCs/>
                <w:sz w:val="20"/>
                <w:szCs w:val="20"/>
              </w:rPr>
            </w:pPr>
          </w:p>
        </w:tc>
        <w:tc>
          <w:tcPr>
            <w:tcW w:w="3991" w:type="dxa"/>
            <w:shd w:val="clear" w:color="auto" w:fill="auto"/>
          </w:tcPr>
          <w:p w14:paraId="0B9CCAEB" w14:textId="77777777" w:rsidR="003E122D" w:rsidRPr="001C698E" w:rsidRDefault="003E122D" w:rsidP="00086C0F">
            <w:pPr>
              <w:jc w:val="center"/>
              <w:rPr>
                <w:b/>
                <w:sz w:val="20"/>
                <w:szCs w:val="20"/>
              </w:rPr>
            </w:pPr>
            <w:r w:rsidRPr="001C698E">
              <w:rPr>
                <w:b/>
                <w:sz w:val="20"/>
                <w:szCs w:val="20"/>
              </w:rPr>
              <w:t xml:space="preserve">Objectifs </w:t>
            </w:r>
            <w:r w:rsidRPr="001C698E">
              <w:rPr>
                <w:b/>
                <w:sz w:val="20"/>
                <w:szCs w:val="20"/>
                <w:u w:val="single"/>
              </w:rPr>
              <w:t>atteints</w:t>
            </w:r>
            <w:r w:rsidRPr="001C698E">
              <w:rPr>
                <w:b/>
                <w:sz w:val="20"/>
                <w:szCs w:val="20"/>
              </w:rPr>
              <w:t xml:space="preserve"> en lien avec les indicateurs</w:t>
            </w:r>
          </w:p>
        </w:tc>
        <w:tc>
          <w:tcPr>
            <w:tcW w:w="4230" w:type="dxa"/>
            <w:shd w:val="clear" w:color="auto" w:fill="auto"/>
          </w:tcPr>
          <w:p w14:paraId="19214A74" w14:textId="77777777" w:rsidR="003E122D" w:rsidRPr="001C698E" w:rsidRDefault="003E122D" w:rsidP="00086C0F">
            <w:pPr>
              <w:jc w:val="center"/>
              <w:rPr>
                <w:b/>
                <w:sz w:val="20"/>
                <w:szCs w:val="20"/>
              </w:rPr>
            </w:pPr>
            <w:r w:rsidRPr="001C698E">
              <w:rPr>
                <w:b/>
                <w:sz w:val="20"/>
                <w:szCs w:val="20"/>
              </w:rPr>
              <w:t>Raisons des écarts éventuels par rapport aux objectifs fixés à l’origine</w:t>
            </w:r>
          </w:p>
        </w:tc>
        <w:tc>
          <w:tcPr>
            <w:tcW w:w="2880" w:type="dxa"/>
            <w:shd w:val="clear" w:color="auto" w:fill="auto"/>
          </w:tcPr>
          <w:p w14:paraId="2D31F6A5" w14:textId="77777777" w:rsidR="003E122D" w:rsidRPr="001C698E" w:rsidRDefault="003E122D" w:rsidP="00086C0F">
            <w:pPr>
              <w:jc w:val="center"/>
              <w:rPr>
                <w:b/>
                <w:sz w:val="20"/>
                <w:szCs w:val="20"/>
              </w:rPr>
            </w:pPr>
            <w:r w:rsidRPr="001C698E">
              <w:rPr>
                <w:b/>
                <w:sz w:val="20"/>
                <w:szCs w:val="20"/>
              </w:rPr>
              <w:t>Source de vérification</w:t>
            </w:r>
          </w:p>
        </w:tc>
      </w:tr>
      <w:tr w:rsidR="003E122D" w:rsidRPr="003142EF" w14:paraId="5145C2FC" w14:textId="77777777" w:rsidTr="00B670F8">
        <w:trPr>
          <w:trHeight w:val="134"/>
        </w:trPr>
        <w:tc>
          <w:tcPr>
            <w:tcW w:w="15120" w:type="dxa"/>
            <w:gridSpan w:val="4"/>
            <w:shd w:val="clear" w:color="auto" w:fill="auto"/>
          </w:tcPr>
          <w:p w14:paraId="167A8E87" w14:textId="77777777" w:rsidR="00B670F8" w:rsidRPr="0063367C" w:rsidRDefault="00B670F8" w:rsidP="00086C0F">
            <w:pPr>
              <w:jc w:val="both"/>
              <w:rPr>
                <w:rFonts w:ascii="Arial" w:hAnsi="Arial" w:cs="Arial"/>
                <w:b/>
                <w:sz w:val="10"/>
                <w:szCs w:val="10"/>
              </w:rPr>
            </w:pPr>
          </w:p>
          <w:p w14:paraId="310B3845" w14:textId="77777777" w:rsidR="003E122D" w:rsidRDefault="003E122D" w:rsidP="00086C0F">
            <w:pPr>
              <w:jc w:val="both"/>
              <w:rPr>
                <w:rFonts w:ascii="Arial" w:hAnsi="Arial" w:cs="Arial"/>
                <w:b/>
                <w:sz w:val="20"/>
                <w:szCs w:val="20"/>
              </w:rPr>
            </w:pPr>
            <w:r w:rsidRPr="00B670F8">
              <w:rPr>
                <w:rFonts w:ascii="Arial" w:hAnsi="Arial" w:cs="Arial"/>
                <w:b/>
                <w:sz w:val="22"/>
                <w:szCs w:val="22"/>
              </w:rPr>
              <w:t>Résultat  1 Les forces de défense et de sécurité sont en mesure de prendre en charge des cas des VBG</w:t>
            </w:r>
          </w:p>
          <w:p w14:paraId="49760FB7" w14:textId="77777777" w:rsidR="00B670F8" w:rsidRPr="0063367C" w:rsidRDefault="00B670F8" w:rsidP="00086C0F">
            <w:pPr>
              <w:jc w:val="both"/>
              <w:rPr>
                <w:rFonts w:ascii="Arial" w:hAnsi="Arial" w:cs="Arial"/>
                <w:bCs/>
                <w:sz w:val="10"/>
                <w:szCs w:val="10"/>
              </w:rPr>
            </w:pPr>
          </w:p>
        </w:tc>
      </w:tr>
      <w:tr w:rsidR="003E122D" w:rsidRPr="003142EF" w14:paraId="36ECD9D2" w14:textId="77777777" w:rsidTr="0063367C">
        <w:tc>
          <w:tcPr>
            <w:tcW w:w="4019" w:type="dxa"/>
            <w:shd w:val="clear" w:color="auto" w:fill="auto"/>
          </w:tcPr>
          <w:p w14:paraId="7C561FC6" w14:textId="77777777" w:rsidR="003E122D" w:rsidRPr="00AE2741" w:rsidRDefault="003E122D" w:rsidP="00086C0F">
            <w:pPr>
              <w:rPr>
                <w:rFonts w:ascii="Arial" w:hAnsi="Arial" w:cs="Arial"/>
                <w:sz w:val="20"/>
                <w:szCs w:val="20"/>
              </w:rPr>
            </w:pPr>
            <w:r w:rsidRPr="00AE2741">
              <w:rPr>
                <w:rFonts w:ascii="Arial" w:hAnsi="Arial" w:cs="Arial"/>
                <w:b/>
                <w:sz w:val="20"/>
                <w:szCs w:val="20"/>
              </w:rPr>
              <w:t xml:space="preserve">Indicateur  1.1 : </w:t>
            </w:r>
            <w:r w:rsidRPr="00AE2741">
              <w:rPr>
                <w:rFonts w:ascii="Arial" w:hAnsi="Arial" w:cs="Arial"/>
                <w:sz w:val="20"/>
                <w:szCs w:val="20"/>
              </w:rPr>
              <w:t xml:space="preserve"># de Forces de Défense et de Sécurité formés </w:t>
            </w:r>
          </w:p>
          <w:p w14:paraId="0F0DF428" w14:textId="77777777" w:rsidR="003E122D" w:rsidRPr="00AE2741" w:rsidRDefault="003E122D" w:rsidP="00086C0F">
            <w:pPr>
              <w:rPr>
                <w:rFonts w:ascii="Arial" w:hAnsi="Arial" w:cs="Arial"/>
                <w:b/>
                <w:sz w:val="20"/>
                <w:szCs w:val="20"/>
              </w:rPr>
            </w:pPr>
            <w:r w:rsidRPr="00AE2741">
              <w:rPr>
                <w:rFonts w:ascii="Arial" w:hAnsi="Arial" w:cs="Arial"/>
                <w:b/>
                <w:sz w:val="20"/>
                <w:szCs w:val="20"/>
              </w:rPr>
              <w:t>Indicateur de référence (2012): 0</w:t>
            </w:r>
          </w:p>
          <w:p w14:paraId="255C5483" w14:textId="77777777" w:rsidR="003E122D" w:rsidRPr="00AE2741" w:rsidRDefault="003E122D" w:rsidP="00086C0F">
            <w:pPr>
              <w:rPr>
                <w:rFonts w:ascii="Arial" w:hAnsi="Arial" w:cs="Arial"/>
                <w:b/>
                <w:sz w:val="20"/>
                <w:szCs w:val="20"/>
              </w:rPr>
            </w:pPr>
            <w:r w:rsidRPr="00AE2741">
              <w:rPr>
                <w:rFonts w:ascii="Arial" w:hAnsi="Arial" w:cs="Arial"/>
                <w:b/>
                <w:sz w:val="20"/>
                <w:szCs w:val="20"/>
              </w:rPr>
              <w:t>Indicateur cible (2014): 500</w:t>
            </w:r>
          </w:p>
        </w:tc>
        <w:tc>
          <w:tcPr>
            <w:tcW w:w="3991" w:type="dxa"/>
            <w:shd w:val="clear" w:color="auto" w:fill="auto"/>
          </w:tcPr>
          <w:p w14:paraId="6222DEFC" w14:textId="77777777" w:rsidR="008674C0" w:rsidRPr="00B670F8" w:rsidRDefault="003E122D" w:rsidP="00B670F8">
            <w:pPr>
              <w:pStyle w:val="ListParagraph"/>
              <w:numPr>
                <w:ilvl w:val="0"/>
                <w:numId w:val="19"/>
              </w:numPr>
              <w:jc w:val="both"/>
              <w:rPr>
                <w:rFonts w:ascii="Arial" w:hAnsi="Arial" w:cs="Arial"/>
                <w:bCs/>
                <w:sz w:val="20"/>
                <w:szCs w:val="20"/>
              </w:rPr>
            </w:pPr>
            <w:r w:rsidRPr="00B670F8">
              <w:rPr>
                <w:rFonts w:ascii="Arial" w:hAnsi="Arial" w:cs="Arial"/>
                <w:bCs/>
                <w:sz w:val="20"/>
                <w:szCs w:val="20"/>
              </w:rPr>
              <w:t>208 FDS (150 OPJ et 58 formateurs) formés respectivement sur la prise en charge juridique, les droits de l’enfant et les VBG</w:t>
            </w:r>
          </w:p>
          <w:p w14:paraId="6ED148A1" w14:textId="77777777" w:rsidR="003E122D" w:rsidRPr="00B670F8" w:rsidRDefault="008674C0" w:rsidP="00B670F8">
            <w:pPr>
              <w:pStyle w:val="ListParagraph"/>
              <w:numPr>
                <w:ilvl w:val="0"/>
                <w:numId w:val="19"/>
              </w:numPr>
              <w:rPr>
                <w:rFonts w:ascii="Arial" w:hAnsi="Arial" w:cs="Arial"/>
                <w:bCs/>
                <w:sz w:val="20"/>
                <w:szCs w:val="20"/>
              </w:rPr>
            </w:pPr>
            <w:r w:rsidRPr="00B670F8">
              <w:rPr>
                <w:rFonts w:ascii="Arial" w:hAnsi="Arial" w:cs="Arial"/>
                <w:bCs/>
                <w:sz w:val="20"/>
                <w:szCs w:val="20"/>
              </w:rPr>
              <w:t>Recyclage des 25 instructeurs gendarmes</w:t>
            </w:r>
          </w:p>
          <w:p w14:paraId="125FD2CE" w14:textId="112B525B" w:rsidR="003E122D" w:rsidRPr="00B670F8" w:rsidRDefault="009F4CFA" w:rsidP="00B670F8">
            <w:pPr>
              <w:pStyle w:val="ListParagraph"/>
              <w:numPr>
                <w:ilvl w:val="0"/>
                <w:numId w:val="19"/>
              </w:numPr>
              <w:jc w:val="both"/>
              <w:rPr>
                <w:rFonts w:ascii="Arial" w:hAnsi="Arial" w:cs="Arial"/>
                <w:bCs/>
                <w:sz w:val="20"/>
                <w:szCs w:val="20"/>
              </w:rPr>
            </w:pPr>
            <w:r w:rsidRPr="00B670F8">
              <w:rPr>
                <w:rFonts w:ascii="Arial" w:hAnsi="Arial" w:cs="Arial"/>
                <w:bCs/>
                <w:sz w:val="20"/>
                <w:szCs w:val="20"/>
              </w:rPr>
              <w:t>500 élèves gendarmes sur 1600 planifiés ont commencé la formation sur les droits de l’enfant</w:t>
            </w:r>
            <w:r w:rsidR="00C01C2C" w:rsidRPr="00B670F8">
              <w:rPr>
                <w:rFonts w:ascii="Arial" w:hAnsi="Arial" w:cs="Arial"/>
                <w:bCs/>
                <w:sz w:val="20"/>
                <w:szCs w:val="20"/>
              </w:rPr>
              <w:t xml:space="preserve">. </w:t>
            </w:r>
            <w:r w:rsidR="00B670F8" w:rsidRPr="00B670F8">
              <w:rPr>
                <w:rFonts w:ascii="Arial" w:hAnsi="Arial" w:cs="Arial"/>
                <w:bCs/>
                <w:sz w:val="20"/>
                <w:szCs w:val="20"/>
              </w:rPr>
              <w:t>(</w:t>
            </w:r>
            <w:r w:rsidR="00C01C2C" w:rsidRPr="00B670F8">
              <w:rPr>
                <w:rFonts w:ascii="Arial" w:hAnsi="Arial" w:cs="Arial"/>
                <w:bCs/>
                <w:sz w:val="20"/>
                <w:szCs w:val="20"/>
              </w:rPr>
              <w:t>guide d’évaluation, guide de l’élève, code</w:t>
            </w:r>
            <w:r w:rsidR="00B670F8" w:rsidRPr="00B670F8">
              <w:rPr>
                <w:rFonts w:ascii="Arial" w:hAnsi="Arial" w:cs="Arial"/>
                <w:bCs/>
                <w:sz w:val="20"/>
                <w:szCs w:val="20"/>
              </w:rPr>
              <w:t xml:space="preserve"> de conduite et guide poche).</w:t>
            </w:r>
            <w:r w:rsidR="00C01C2C" w:rsidRPr="00B670F8">
              <w:rPr>
                <w:rFonts w:ascii="Arial" w:hAnsi="Arial" w:cs="Arial"/>
                <w:bCs/>
                <w:sz w:val="20"/>
                <w:szCs w:val="20"/>
              </w:rPr>
              <w:t xml:space="preserve"> </w:t>
            </w:r>
          </w:p>
        </w:tc>
        <w:tc>
          <w:tcPr>
            <w:tcW w:w="4230" w:type="dxa"/>
            <w:shd w:val="clear" w:color="auto" w:fill="auto"/>
          </w:tcPr>
          <w:p w14:paraId="0126EB3A" w14:textId="5F3D9D16" w:rsidR="003E122D" w:rsidRPr="00AE2741" w:rsidRDefault="003E122D" w:rsidP="00086C0F">
            <w:pPr>
              <w:jc w:val="both"/>
              <w:rPr>
                <w:rFonts w:ascii="Arial" w:hAnsi="Arial" w:cs="Arial"/>
                <w:bCs/>
                <w:sz w:val="20"/>
                <w:szCs w:val="20"/>
              </w:rPr>
            </w:pPr>
            <w:r w:rsidRPr="00AE2741">
              <w:rPr>
                <w:rFonts w:ascii="Arial" w:hAnsi="Arial" w:cs="Arial"/>
                <w:bCs/>
                <w:sz w:val="20"/>
                <w:szCs w:val="20"/>
              </w:rPr>
              <w:t xml:space="preserve">1000 FDS </w:t>
            </w:r>
            <w:r w:rsidR="00B670F8">
              <w:rPr>
                <w:rFonts w:ascii="Arial" w:hAnsi="Arial" w:cs="Arial"/>
                <w:bCs/>
                <w:sz w:val="20"/>
                <w:szCs w:val="20"/>
              </w:rPr>
              <w:t>compl</w:t>
            </w:r>
            <w:r w:rsidRPr="00AE2741">
              <w:rPr>
                <w:rFonts w:ascii="Arial" w:hAnsi="Arial" w:cs="Arial"/>
                <w:bCs/>
                <w:sz w:val="20"/>
                <w:szCs w:val="20"/>
              </w:rPr>
              <w:t>émentaires ont été  formés sur les VBG à travers le projet contrôle civil et démocratique</w:t>
            </w:r>
          </w:p>
          <w:p w14:paraId="4D1AC0FF" w14:textId="77777777" w:rsidR="009F4CFA" w:rsidRDefault="009F4CFA" w:rsidP="00086C0F">
            <w:pPr>
              <w:jc w:val="both"/>
              <w:rPr>
                <w:rFonts w:ascii="Arial" w:hAnsi="Arial" w:cs="Arial"/>
                <w:bCs/>
                <w:sz w:val="20"/>
                <w:szCs w:val="20"/>
              </w:rPr>
            </w:pPr>
          </w:p>
          <w:p w14:paraId="166AE7EF" w14:textId="3F49D699" w:rsidR="00935395" w:rsidRPr="00AE2741" w:rsidRDefault="00935395" w:rsidP="00B670F8">
            <w:pPr>
              <w:jc w:val="both"/>
              <w:rPr>
                <w:rFonts w:ascii="Arial" w:hAnsi="Arial" w:cs="Arial"/>
                <w:bCs/>
                <w:sz w:val="20"/>
                <w:szCs w:val="20"/>
              </w:rPr>
            </w:pPr>
            <w:r>
              <w:rPr>
                <w:rFonts w:ascii="Arial" w:hAnsi="Arial" w:cs="Arial"/>
                <w:bCs/>
                <w:sz w:val="20"/>
                <w:szCs w:val="20"/>
              </w:rPr>
              <w:t xml:space="preserve">245 </w:t>
            </w:r>
            <w:r w:rsidRPr="00AE2741">
              <w:rPr>
                <w:rFonts w:ascii="Arial" w:hAnsi="Arial" w:cs="Arial"/>
                <w:bCs/>
                <w:sz w:val="20"/>
                <w:szCs w:val="20"/>
              </w:rPr>
              <w:t xml:space="preserve">FDS </w:t>
            </w:r>
            <w:r w:rsidR="00B670F8">
              <w:rPr>
                <w:rFonts w:ascii="Arial" w:hAnsi="Arial" w:cs="Arial"/>
                <w:bCs/>
                <w:sz w:val="20"/>
                <w:szCs w:val="20"/>
              </w:rPr>
              <w:t xml:space="preserve">du Bataillon Gangan </w:t>
            </w:r>
            <w:r w:rsidR="00B670F8" w:rsidRPr="00B670F8">
              <w:rPr>
                <w:rFonts w:ascii="Arial" w:hAnsi="Arial" w:cs="Arial"/>
                <w:bCs/>
                <w:sz w:val="20"/>
                <w:szCs w:val="20"/>
              </w:rPr>
              <w:t>en attente de la mission internationale de maintie</w:t>
            </w:r>
            <w:r w:rsidR="00B670F8">
              <w:rPr>
                <w:rFonts w:ascii="Arial" w:hAnsi="Arial" w:cs="Arial"/>
                <w:bCs/>
                <w:sz w:val="20"/>
                <w:szCs w:val="20"/>
              </w:rPr>
              <w:t xml:space="preserve">n de paix en République du Mali </w:t>
            </w:r>
            <w:r w:rsidRPr="00AE2741">
              <w:rPr>
                <w:rFonts w:ascii="Arial" w:hAnsi="Arial" w:cs="Arial"/>
                <w:bCs/>
                <w:sz w:val="20"/>
                <w:szCs w:val="20"/>
              </w:rPr>
              <w:t>formés respectivement sur la prise en charge les VBG</w:t>
            </w:r>
            <w:r>
              <w:rPr>
                <w:rFonts w:ascii="Arial" w:hAnsi="Arial" w:cs="Arial"/>
                <w:bCs/>
                <w:sz w:val="20"/>
                <w:szCs w:val="20"/>
              </w:rPr>
              <w:t xml:space="preserve"> y compris harcèlement</w:t>
            </w:r>
          </w:p>
          <w:p w14:paraId="1E506CFB" w14:textId="77777777" w:rsidR="00935395" w:rsidRPr="0051176A" w:rsidRDefault="00935395" w:rsidP="00086C0F">
            <w:pPr>
              <w:jc w:val="both"/>
              <w:rPr>
                <w:rFonts w:ascii="Arial" w:hAnsi="Arial" w:cs="Arial"/>
                <w:bCs/>
                <w:sz w:val="20"/>
                <w:szCs w:val="20"/>
              </w:rPr>
            </w:pPr>
          </w:p>
        </w:tc>
        <w:tc>
          <w:tcPr>
            <w:tcW w:w="2880" w:type="dxa"/>
            <w:shd w:val="clear" w:color="auto" w:fill="auto"/>
          </w:tcPr>
          <w:p w14:paraId="0E7192A8" w14:textId="77777777" w:rsidR="003E122D" w:rsidRPr="00AE2741" w:rsidRDefault="003E122D" w:rsidP="00086C0F">
            <w:pPr>
              <w:jc w:val="both"/>
              <w:rPr>
                <w:rFonts w:ascii="Arial" w:hAnsi="Arial" w:cs="Arial"/>
                <w:bCs/>
                <w:sz w:val="20"/>
                <w:szCs w:val="20"/>
              </w:rPr>
            </w:pPr>
            <w:r w:rsidRPr="00AE2741">
              <w:rPr>
                <w:rFonts w:ascii="Arial" w:hAnsi="Arial" w:cs="Arial"/>
                <w:bCs/>
                <w:sz w:val="20"/>
                <w:szCs w:val="20"/>
              </w:rPr>
              <w:t>Les rapports de formations et d’activités UNICEF</w:t>
            </w:r>
          </w:p>
          <w:p w14:paraId="3613F6B9" w14:textId="77777777" w:rsidR="003E122D" w:rsidRPr="0051176A" w:rsidRDefault="003E122D" w:rsidP="00086C0F">
            <w:pPr>
              <w:jc w:val="both"/>
              <w:rPr>
                <w:rFonts w:ascii="Arial" w:hAnsi="Arial" w:cs="Arial"/>
                <w:bCs/>
                <w:sz w:val="20"/>
                <w:szCs w:val="20"/>
              </w:rPr>
            </w:pPr>
            <w:r w:rsidRPr="00AE2741">
              <w:rPr>
                <w:rFonts w:ascii="Arial" w:hAnsi="Arial" w:cs="Arial"/>
                <w:bCs/>
                <w:sz w:val="20"/>
                <w:szCs w:val="20"/>
              </w:rPr>
              <w:t xml:space="preserve">Rapport Projet Contrôle Civile et Démocratique </w:t>
            </w:r>
          </w:p>
        </w:tc>
      </w:tr>
      <w:tr w:rsidR="003E122D" w:rsidRPr="003142EF" w14:paraId="125C7BDD" w14:textId="77777777" w:rsidTr="0063367C">
        <w:tc>
          <w:tcPr>
            <w:tcW w:w="4019" w:type="dxa"/>
            <w:shd w:val="clear" w:color="auto" w:fill="auto"/>
          </w:tcPr>
          <w:p w14:paraId="376D1320" w14:textId="77777777" w:rsidR="003E122D" w:rsidRPr="00AE2741" w:rsidRDefault="003E122D" w:rsidP="00086C0F">
            <w:pPr>
              <w:rPr>
                <w:rFonts w:ascii="Arial" w:hAnsi="Arial" w:cs="Arial"/>
                <w:sz w:val="20"/>
                <w:szCs w:val="20"/>
              </w:rPr>
            </w:pPr>
            <w:r w:rsidRPr="00AE2741">
              <w:rPr>
                <w:rFonts w:ascii="Arial" w:hAnsi="Arial" w:cs="Arial"/>
                <w:b/>
                <w:sz w:val="20"/>
                <w:szCs w:val="20"/>
              </w:rPr>
              <w:t xml:space="preserve">Indicateur 1.2 : </w:t>
            </w:r>
            <w:r w:rsidRPr="00AE2741">
              <w:rPr>
                <w:rFonts w:ascii="Arial" w:hAnsi="Arial" w:cs="Arial"/>
                <w:sz w:val="20"/>
                <w:szCs w:val="20"/>
              </w:rPr>
              <w:t>Existence d’un code de bonne conduite</w:t>
            </w:r>
          </w:p>
          <w:p w14:paraId="6E837130" w14:textId="77777777" w:rsidR="003E122D" w:rsidRPr="00AE2741" w:rsidRDefault="003E122D" w:rsidP="00086C0F">
            <w:pPr>
              <w:rPr>
                <w:rFonts w:ascii="Arial" w:hAnsi="Arial" w:cs="Arial"/>
                <w:b/>
                <w:sz w:val="20"/>
                <w:szCs w:val="20"/>
              </w:rPr>
            </w:pPr>
            <w:r w:rsidRPr="00AE2741">
              <w:rPr>
                <w:rFonts w:ascii="Arial" w:hAnsi="Arial" w:cs="Arial"/>
                <w:b/>
                <w:sz w:val="20"/>
                <w:szCs w:val="20"/>
              </w:rPr>
              <w:t>Indicateur de référence (2012): non-disponible</w:t>
            </w:r>
          </w:p>
          <w:p w14:paraId="439A31FA" w14:textId="77777777" w:rsidR="003E122D" w:rsidRPr="00AE2741" w:rsidRDefault="003E122D" w:rsidP="00086C0F">
            <w:pPr>
              <w:rPr>
                <w:rFonts w:ascii="Arial" w:hAnsi="Arial" w:cs="Arial"/>
                <w:b/>
                <w:sz w:val="20"/>
                <w:szCs w:val="20"/>
              </w:rPr>
            </w:pPr>
            <w:r w:rsidRPr="00AE2741">
              <w:rPr>
                <w:rFonts w:ascii="Arial" w:hAnsi="Arial" w:cs="Arial"/>
                <w:b/>
                <w:sz w:val="20"/>
                <w:szCs w:val="20"/>
              </w:rPr>
              <w:t>Indicateur cible (2014): disponible</w:t>
            </w:r>
          </w:p>
        </w:tc>
        <w:tc>
          <w:tcPr>
            <w:tcW w:w="3991" w:type="dxa"/>
            <w:shd w:val="clear" w:color="auto" w:fill="auto"/>
          </w:tcPr>
          <w:p w14:paraId="0D7C2142" w14:textId="6DD277D4" w:rsidR="00D66F6D" w:rsidRPr="00AE2741" w:rsidRDefault="003E122D" w:rsidP="00086C0F">
            <w:pPr>
              <w:jc w:val="both"/>
              <w:rPr>
                <w:rFonts w:ascii="Arial" w:hAnsi="Arial" w:cs="Arial"/>
                <w:bCs/>
                <w:sz w:val="20"/>
                <w:szCs w:val="20"/>
              </w:rPr>
            </w:pPr>
            <w:r w:rsidRPr="00AE2741">
              <w:rPr>
                <w:rFonts w:ascii="Arial" w:hAnsi="Arial" w:cs="Arial"/>
                <w:bCs/>
                <w:sz w:val="20"/>
                <w:szCs w:val="20"/>
              </w:rPr>
              <w:t>Existence d’un code de bonne conduite signe par 30 instructeurs de police et de gendarmerie.</w:t>
            </w:r>
          </w:p>
          <w:p w14:paraId="6E14A7DB" w14:textId="77777777" w:rsidR="003E122D" w:rsidRPr="00AE2741" w:rsidRDefault="00D66F6D" w:rsidP="00086C0F">
            <w:pPr>
              <w:jc w:val="both"/>
              <w:rPr>
                <w:rFonts w:ascii="Arial" w:hAnsi="Arial" w:cs="Arial"/>
                <w:bCs/>
                <w:sz w:val="20"/>
                <w:szCs w:val="20"/>
              </w:rPr>
            </w:pPr>
            <w:r w:rsidRPr="00AE2741">
              <w:rPr>
                <w:rFonts w:ascii="Arial" w:hAnsi="Arial" w:cs="Arial"/>
                <w:bCs/>
                <w:sz w:val="20"/>
                <w:szCs w:val="20"/>
              </w:rPr>
              <w:t>Il est prévu la signature du code de conduite individuellement par chacun des 1.600 gendarmes en formation</w:t>
            </w:r>
          </w:p>
          <w:p w14:paraId="29787652" w14:textId="77777777" w:rsidR="003E122D" w:rsidRPr="0051176A" w:rsidRDefault="003E122D" w:rsidP="00086C0F">
            <w:pPr>
              <w:jc w:val="both"/>
              <w:rPr>
                <w:rFonts w:ascii="Arial" w:hAnsi="Arial" w:cs="Arial"/>
                <w:bCs/>
                <w:sz w:val="20"/>
                <w:szCs w:val="20"/>
              </w:rPr>
            </w:pPr>
          </w:p>
        </w:tc>
        <w:tc>
          <w:tcPr>
            <w:tcW w:w="4230" w:type="dxa"/>
            <w:shd w:val="clear" w:color="auto" w:fill="auto"/>
          </w:tcPr>
          <w:p w14:paraId="0D5FE1B6" w14:textId="3E4BFF3F" w:rsidR="003E122D" w:rsidRPr="0051176A" w:rsidRDefault="00EB7F53" w:rsidP="00086C0F">
            <w:pPr>
              <w:jc w:val="both"/>
              <w:rPr>
                <w:rFonts w:ascii="Arial" w:hAnsi="Arial" w:cs="Arial"/>
                <w:bCs/>
                <w:sz w:val="20"/>
                <w:szCs w:val="20"/>
              </w:rPr>
            </w:pPr>
            <w:r w:rsidRPr="0069546A">
              <w:rPr>
                <w:rFonts w:ascii="Arial" w:hAnsi="Arial" w:cs="Arial"/>
                <w:bCs/>
                <w:sz w:val="20"/>
                <w:szCs w:val="20"/>
              </w:rPr>
              <w:t>Le code de conduite doit être signé à l’issue des formations des élèves gendarmes et des élèves policiers.</w:t>
            </w:r>
          </w:p>
        </w:tc>
        <w:tc>
          <w:tcPr>
            <w:tcW w:w="2880" w:type="dxa"/>
            <w:shd w:val="clear" w:color="auto" w:fill="auto"/>
          </w:tcPr>
          <w:p w14:paraId="3262C641" w14:textId="03E47002" w:rsidR="003E122D" w:rsidRPr="0051176A" w:rsidRDefault="003E122D" w:rsidP="0063367C">
            <w:pPr>
              <w:jc w:val="both"/>
              <w:rPr>
                <w:rFonts w:ascii="Arial" w:hAnsi="Arial" w:cs="Arial"/>
                <w:bCs/>
                <w:sz w:val="20"/>
                <w:szCs w:val="20"/>
              </w:rPr>
            </w:pPr>
            <w:r w:rsidRPr="00AE2741">
              <w:rPr>
                <w:rFonts w:ascii="Arial" w:hAnsi="Arial" w:cs="Arial"/>
                <w:bCs/>
                <w:sz w:val="20"/>
                <w:szCs w:val="20"/>
              </w:rPr>
              <w:t>Les rapports de formations et d’activités les rapports des différentes revues 2013 de l’</w:t>
            </w:r>
            <w:r w:rsidR="0063367C">
              <w:rPr>
                <w:rFonts w:ascii="Arial" w:hAnsi="Arial" w:cs="Arial"/>
                <w:bCs/>
                <w:sz w:val="20"/>
                <w:szCs w:val="20"/>
              </w:rPr>
              <w:t>UNICEF</w:t>
            </w:r>
          </w:p>
        </w:tc>
      </w:tr>
      <w:tr w:rsidR="003E122D" w:rsidRPr="003142EF" w14:paraId="277B64CA" w14:textId="77777777" w:rsidTr="0063367C">
        <w:tc>
          <w:tcPr>
            <w:tcW w:w="4019" w:type="dxa"/>
            <w:shd w:val="clear" w:color="auto" w:fill="auto"/>
          </w:tcPr>
          <w:p w14:paraId="0108955F" w14:textId="77777777" w:rsidR="003E122D" w:rsidRPr="00AE2741" w:rsidRDefault="003E122D" w:rsidP="00086C0F">
            <w:pPr>
              <w:rPr>
                <w:rFonts w:ascii="Arial" w:hAnsi="Arial" w:cs="Arial"/>
                <w:b/>
                <w:sz w:val="20"/>
                <w:szCs w:val="20"/>
              </w:rPr>
            </w:pPr>
            <w:r w:rsidRPr="00AE2741">
              <w:rPr>
                <w:rFonts w:ascii="Arial" w:hAnsi="Arial" w:cs="Arial"/>
                <w:b/>
                <w:sz w:val="20"/>
                <w:szCs w:val="20"/>
              </w:rPr>
              <w:t xml:space="preserve">Indicateur 1.3 : </w:t>
            </w:r>
            <w:r w:rsidRPr="00AE2741">
              <w:rPr>
                <w:rFonts w:ascii="Arial" w:hAnsi="Arial" w:cs="Arial"/>
                <w:sz w:val="20"/>
                <w:szCs w:val="20"/>
              </w:rPr>
              <w:t xml:space="preserve">Existence de mesures incitatives pour augmenter le nombre de femmes au sein des FDS </w:t>
            </w:r>
          </w:p>
          <w:p w14:paraId="415706F3" w14:textId="77777777" w:rsidR="003E122D" w:rsidRPr="00AE2741" w:rsidRDefault="003E122D" w:rsidP="00086C0F">
            <w:pPr>
              <w:rPr>
                <w:rFonts w:ascii="Arial" w:hAnsi="Arial" w:cs="Arial"/>
                <w:b/>
                <w:sz w:val="20"/>
                <w:szCs w:val="20"/>
              </w:rPr>
            </w:pPr>
            <w:r w:rsidRPr="00AE2741">
              <w:rPr>
                <w:rFonts w:ascii="Arial" w:hAnsi="Arial" w:cs="Arial"/>
                <w:b/>
                <w:sz w:val="20"/>
                <w:szCs w:val="20"/>
              </w:rPr>
              <w:t>Indicateur de référence (2012): non-disponible</w:t>
            </w:r>
          </w:p>
          <w:p w14:paraId="42B25CEA" w14:textId="77777777" w:rsidR="003E122D" w:rsidRPr="00AE2741" w:rsidRDefault="003E122D" w:rsidP="00086C0F">
            <w:pPr>
              <w:jc w:val="both"/>
              <w:rPr>
                <w:rFonts w:ascii="Arial" w:hAnsi="Arial" w:cs="Arial"/>
                <w:bCs/>
                <w:sz w:val="20"/>
                <w:szCs w:val="20"/>
              </w:rPr>
            </w:pPr>
            <w:r w:rsidRPr="00AE2741">
              <w:rPr>
                <w:rFonts w:ascii="Arial" w:hAnsi="Arial" w:cs="Arial"/>
                <w:b/>
                <w:sz w:val="20"/>
                <w:szCs w:val="20"/>
              </w:rPr>
              <w:t>Indicateur cible (2014): disponible</w:t>
            </w:r>
          </w:p>
        </w:tc>
        <w:tc>
          <w:tcPr>
            <w:tcW w:w="3991" w:type="dxa"/>
            <w:shd w:val="clear" w:color="auto" w:fill="auto"/>
          </w:tcPr>
          <w:p w14:paraId="4FA34AA2" w14:textId="77777777" w:rsidR="003E122D" w:rsidRPr="0051176A" w:rsidRDefault="003E122D" w:rsidP="00086C0F">
            <w:pPr>
              <w:jc w:val="both"/>
              <w:rPr>
                <w:rFonts w:ascii="Arial" w:hAnsi="Arial" w:cs="Arial"/>
                <w:bCs/>
                <w:sz w:val="20"/>
                <w:szCs w:val="20"/>
                <w:highlight w:val="green"/>
              </w:rPr>
            </w:pPr>
            <w:r w:rsidRPr="00AE2741">
              <w:rPr>
                <w:rFonts w:ascii="Arial" w:hAnsi="Arial" w:cs="Arial"/>
                <w:bCs/>
                <w:sz w:val="20"/>
                <w:szCs w:val="20"/>
              </w:rPr>
              <w:t>50 femmes FDS ont été formées en leadership</w:t>
            </w:r>
          </w:p>
        </w:tc>
        <w:tc>
          <w:tcPr>
            <w:tcW w:w="4230" w:type="dxa"/>
            <w:shd w:val="clear" w:color="auto" w:fill="auto"/>
          </w:tcPr>
          <w:p w14:paraId="46730995" w14:textId="77777777" w:rsidR="003E122D" w:rsidRPr="0051176A" w:rsidRDefault="003E122D" w:rsidP="00086C0F">
            <w:pPr>
              <w:jc w:val="both"/>
              <w:rPr>
                <w:rFonts w:ascii="Arial" w:hAnsi="Arial" w:cs="Arial"/>
                <w:bCs/>
                <w:sz w:val="20"/>
                <w:szCs w:val="20"/>
              </w:rPr>
            </w:pPr>
          </w:p>
        </w:tc>
        <w:tc>
          <w:tcPr>
            <w:tcW w:w="2880" w:type="dxa"/>
            <w:shd w:val="clear" w:color="auto" w:fill="auto"/>
          </w:tcPr>
          <w:p w14:paraId="46438613" w14:textId="77777777" w:rsidR="003E122D" w:rsidRPr="0051176A" w:rsidRDefault="003E122D" w:rsidP="00086C0F">
            <w:pPr>
              <w:jc w:val="both"/>
              <w:rPr>
                <w:rFonts w:ascii="Arial" w:hAnsi="Arial" w:cs="Arial"/>
                <w:bCs/>
                <w:sz w:val="20"/>
                <w:szCs w:val="20"/>
              </w:rPr>
            </w:pPr>
            <w:r w:rsidRPr="00AE2741">
              <w:rPr>
                <w:rFonts w:ascii="Arial" w:hAnsi="Arial" w:cs="Arial"/>
                <w:bCs/>
                <w:sz w:val="20"/>
                <w:szCs w:val="20"/>
              </w:rPr>
              <w:t>Rapport d’activités UNFPA</w:t>
            </w:r>
            <w:r w:rsidRPr="0051176A">
              <w:rPr>
                <w:rFonts w:ascii="Arial" w:hAnsi="Arial" w:cs="Arial"/>
                <w:bCs/>
                <w:sz w:val="20"/>
                <w:szCs w:val="20"/>
              </w:rPr>
              <w:t xml:space="preserve"> </w:t>
            </w:r>
          </w:p>
        </w:tc>
      </w:tr>
      <w:tr w:rsidR="00935395" w:rsidRPr="003142EF" w14:paraId="4BD4831F" w14:textId="77777777" w:rsidTr="0063367C">
        <w:trPr>
          <w:trHeight w:val="813"/>
        </w:trPr>
        <w:tc>
          <w:tcPr>
            <w:tcW w:w="4019" w:type="dxa"/>
            <w:shd w:val="clear" w:color="auto" w:fill="auto"/>
          </w:tcPr>
          <w:p w14:paraId="43D663B6" w14:textId="77777777" w:rsidR="00935395" w:rsidRPr="00AE2741" w:rsidRDefault="00935395" w:rsidP="00086C0F">
            <w:pPr>
              <w:rPr>
                <w:rFonts w:ascii="Arial" w:hAnsi="Arial" w:cs="Arial"/>
                <w:sz w:val="20"/>
                <w:szCs w:val="20"/>
              </w:rPr>
            </w:pPr>
            <w:r w:rsidRPr="00AE2741">
              <w:rPr>
                <w:rFonts w:ascii="Arial" w:hAnsi="Arial" w:cs="Arial"/>
                <w:b/>
                <w:sz w:val="20"/>
                <w:szCs w:val="20"/>
              </w:rPr>
              <w:t xml:space="preserve">Indicateur 1.4.: </w:t>
            </w:r>
            <w:r w:rsidRPr="00AE2741">
              <w:rPr>
                <w:rFonts w:ascii="Arial" w:hAnsi="Arial" w:cs="Arial"/>
                <w:sz w:val="20"/>
                <w:szCs w:val="20"/>
              </w:rPr>
              <w:t># de cellules VBG opérationnelles</w:t>
            </w:r>
          </w:p>
          <w:p w14:paraId="12BC1E27"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de référence (2012): 0</w:t>
            </w:r>
          </w:p>
          <w:p w14:paraId="55DD7A42"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cible (2014): 10</w:t>
            </w:r>
          </w:p>
        </w:tc>
        <w:tc>
          <w:tcPr>
            <w:tcW w:w="3991" w:type="dxa"/>
            <w:shd w:val="clear" w:color="auto" w:fill="auto"/>
          </w:tcPr>
          <w:p w14:paraId="2CA829BE" w14:textId="77777777" w:rsidR="00935395" w:rsidRPr="0069546A" w:rsidRDefault="00935395" w:rsidP="00746BA2">
            <w:pPr>
              <w:jc w:val="both"/>
              <w:rPr>
                <w:rFonts w:ascii="Arial" w:hAnsi="Arial" w:cs="Arial"/>
                <w:bCs/>
                <w:sz w:val="20"/>
                <w:szCs w:val="20"/>
              </w:rPr>
            </w:pPr>
            <w:r w:rsidRPr="0069546A">
              <w:rPr>
                <w:rFonts w:ascii="Arial" w:hAnsi="Arial" w:cs="Arial"/>
                <w:bCs/>
                <w:sz w:val="20"/>
                <w:szCs w:val="20"/>
              </w:rPr>
              <w:t xml:space="preserve">5 cellules VBG  au niveau service de polices et gendarmerie opérationnelles </w:t>
            </w:r>
          </w:p>
        </w:tc>
        <w:tc>
          <w:tcPr>
            <w:tcW w:w="4230" w:type="dxa"/>
            <w:shd w:val="clear" w:color="auto" w:fill="auto"/>
          </w:tcPr>
          <w:p w14:paraId="4A5629DA" w14:textId="6CDC2A43" w:rsidR="00935395" w:rsidRPr="0069546A" w:rsidRDefault="00935395" w:rsidP="00746BA2">
            <w:pPr>
              <w:jc w:val="both"/>
              <w:rPr>
                <w:rFonts w:ascii="Arial" w:hAnsi="Arial" w:cs="Arial"/>
                <w:bCs/>
                <w:sz w:val="20"/>
                <w:szCs w:val="20"/>
              </w:rPr>
            </w:pPr>
            <w:r w:rsidRPr="0069546A">
              <w:rPr>
                <w:rFonts w:ascii="Arial" w:hAnsi="Arial" w:cs="Arial"/>
                <w:bCs/>
                <w:sz w:val="20"/>
                <w:szCs w:val="20"/>
              </w:rPr>
              <w:t xml:space="preserve">4 nouveau Centre ont été identifiés (Dubreka,  </w:t>
            </w:r>
            <w:r w:rsidR="0069546A">
              <w:rPr>
                <w:rFonts w:ascii="Arial" w:hAnsi="Arial" w:cs="Arial"/>
                <w:bCs/>
                <w:sz w:val="20"/>
                <w:szCs w:val="20"/>
              </w:rPr>
              <w:t>Siguiri et Guinee M</w:t>
            </w:r>
            <w:r w:rsidRPr="0069546A">
              <w:rPr>
                <w:rFonts w:ascii="Arial" w:hAnsi="Arial" w:cs="Arial"/>
                <w:bCs/>
                <w:sz w:val="20"/>
                <w:szCs w:val="20"/>
              </w:rPr>
              <w:t>ali)</w:t>
            </w:r>
          </w:p>
        </w:tc>
        <w:tc>
          <w:tcPr>
            <w:tcW w:w="2880" w:type="dxa"/>
            <w:shd w:val="clear" w:color="auto" w:fill="auto"/>
          </w:tcPr>
          <w:p w14:paraId="66906324" w14:textId="77777777" w:rsidR="00935395" w:rsidRPr="00AE2741" w:rsidRDefault="00935395" w:rsidP="00086C0F">
            <w:pPr>
              <w:jc w:val="both"/>
              <w:rPr>
                <w:rFonts w:ascii="Arial" w:hAnsi="Arial" w:cs="Arial"/>
                <w:bCs/>
                <w:sz w:val="20"/>
                <w:szCs w:val="20"/>
              </w:rPr>
            </w:pPr>
            <w:r w:rsidRPr="00AE2741">
              <w:rPr>
                <w:rFonts w:ascii="Arial" w:hAnsi="Arial" w:cs="Arial"/>
                <w:bCs/>
                <w:sz w:val="20"/>
                <w:szCs w:val="20"/>
              </w:rPr>
              <w:t>Rapports OPROGREM</w:t>
            </w:r>
          </w:p>
          <w:p w14:paraId="4C3838D7" w14:textId="77777777" w:rsidR="00935395" w:rsidRPr="00AE2741" w:rsidRDefault="00935395" w:rsidP="00086C0F">
            <w:pPr>
              <w:jc w:val="both"/>
              <w:rPr>
                <w:rFonts w:ascii="Arial" w:hAnsi="Arial" w:cs="Arial"/>
                <w:bCs/>
                <w:sz w:val="20"/>
                <w:szCs w:val="20"/>
              </w:rPr>
            </w:pPr>
          </w:p>
          <w:p w14:paraId="23E96500" w14:textId="77777777" w:rsidR="00935395" w:rsidRPr="00AE2741" w:rsidRDefault="00935395" w:rsidP="00086C0F">
            <w:pPr>
              <w:jc w:val="both"/>
              <w:rPr>
                <w:rFonts w:ascii="Arial" w:hAnsi="Arial" w:cs="Arial"/>
                <w:bCs/>
                <w:sz w:val="20"/>
                <w:szCs w:val="20"/>
              </w:rPr>
            </w:pPr>
          </w:p>
        </w:tc>
      </w:tr>
      <w:tr w:rsidR="00935395" w:rsidRPr="003142EF" w14:paraId="4E3BDE8A" w14:textId="77777777" w:rsidTr="0063367C">
        <w:tc>
          <w:tcPr>
            <w:tcW w:w="4019" w:type="dxa"/>
            <w:shd w:val="clear" w:color="auto" w:fill="auto"/>
          </w:tcPr>
          <w:p w14:paraId="32B71919" w14:textId="3D0BB10C" w:rsidR="00935395" w:rsidRPr="00AE2741" w:rsidRDefault="00935395" w:rsidP="00086C0F">
            <w:pPr>
              <w:rPr>
                <w:rFonts w:ascii="Arial" w:hAnsi="Arial" w:cs="Arial"/>
                <w:sz w:val="20"/>
                <w:szCs w:val="20"/>
              </w:rPr>
            </w:pPr>
            <w:r w:rsidRPr="00AE2741">
              <w:rPr>
                <w:rFonts w:ascii="Arial" w:hAnsi="Arial" w:cs="Arial"/>
                <w:b/>
                <w:sz w:val="20"/>
                <w:szCs w:val="20"/>
              </w:rPr>
              <w:t xml:space="preserve">Indicateur 1.4.: </w:t>
            </w:r>
            <w:r w:rsidRPr="00AE2741">
              <w:rPr>
                <w:rFonts w:ascii="Arial" w:hAnsi="Arial" w:cs="Arial"/>
                <w:sz w:val="20"/>
                <w:szCs w:val="20"/>
              </w:rPr>
              <w:t xml:space="preserve"># de cas de violences sexuelles traites au sein des cellules VBG </w:t>
            </w:r>
            <w:r w:rsidR="002D631D">
              <w:rPr>
                <w:rFonts w:ascii="Arial" w:hAnsi="Arial" w:cs="Arial"/>
                <w:sz w:val="20"/>
                <w:szCs w:val="20"/>
              </w:rPr>
              <w:t>(OPROGEM)</w:t>
            </w:r>
          </w:p>
          <w:p w14:paraId="354AAFF2"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de référence (2012): 20</w:t>
            </w:r>
          </w:p>
          <w:p w14:paraId="0D4CA4EB"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cible (2014): 500</w:t>
            </w:r>
          </w:p>
        </w:tc>
        <w:tc>
          <w:tcPr>
            <w:tcW w:w="3991" w:type="dxa"/>
            <w:shd w:val="clear" w:color="auto" w:fill="auto"/>
          </w:tcPr>
          <w:p w14:paraId="5069571D" w14:textId="2B09273A" w:rsidR="00935395" w:rsidRPr="002D631D" w:rsidRDefault="002D631D" w:rsidP="002D631D">
            <w:pPr>
              <w:pStyle w:val="BodyText"/>
              <w:numPr>
                <w:ilvl w:val="0"/>
                <w:numId w:val="10"/>
              </w:numPr>
              <w:spacing w:after="0"/>
              <w:ind w:left="360"/>
              <w:jc w:val="both"/>
              <w:rPr>
                <w:rFonts w:ascii="Arial" w:hAnsi="Arial" w:cs="Arial"/>
                <w:sz w:val="20"/>
                <w:lang w:val="fr-BE"/>
              </w:rPr>
            </w:pPr>
            <w:r>
              <w:rPr>
                <w:rFonts w:ascii="Arial" w:hAnsi="Arial" w:cs="Arial"/>
                <w:sz w:val="20"/>
                <w:lang w:val="fr-BE"/>
              </w:rPr>
              <w:t xml:space="preserve">689 </w:t>
            </w:r>
            <w:r w:rsidR="00935395" w:rsidRPr="0051176A">
              <w:rPr>
                <w:rFonts w:ascii="Arial" w:hAnsi="Arial" w:cs="Arial"/>
                <w:sz w:val="20"/>
                <w:lang w:val="fr-BE"/>
              </w:rPr>
              <w:t xml:space="preserve">cas de VBG dont </w:t>
            </w:r>
            <w:r w:rsidRPr="002D631D">
              <w:rPr>
                <w:rFonts w:ascii="Arial" w:hAnsi="Arial" w:cs="Arial"/>
                <w:sz w:val="20"/>
                <w:lang w:val="fr-BE"/>
              </w:rPr>
              <w:t>12</w:t>
            </w:r>
            <w:r w:rsidR="00935395" w:rsidRPr="002D631D">
              <w:rPr>
                <w:rFonts w:ascii="Arial" w:hAnsi="Arial" w:cs="Arial"/>
                <w:sz w:val="20"/>
                <w:lang w:val="fr-BE"/>
              </w:rPr>
              <w:t>%</w:t>
            </w:r>
            <w:r w:rsidR="00935395" w:rsidRPr="0051176A">
              <w:rPr>
                <w:rFonts w:ascii="Arial" w:hAnsi="Arial" w:cs="Arial"/>
                <w:sz w:val="20"/>
                <w:lang w:val="fr-BE"/>
              </w:rPr>
              <w:t xml:space="preserve"> de viols</w:t>
            </w:r>
            <w:r>
              <w:rPr>
                <w:rFonts w:ascii="Arial" w:hAnsi="Arial" w:cs="Arial"/>
                <w:sz w:val="20"/>
                <w:lang w:val="fr-BE"/>
              </w:rPr>
              <w:t xml:space="preserve"> en 2013 </w:t>
            </w:r>
            <w:r w:rsidR="00C5110F">
              <w:rPr>
                <w:rFonts w:ascii="Arial" w:hAnsi="Arial" w:cs="Arial"/>
                <w:sz w:val="20"/>
                <w:lang w:val="fr-BE"/>
              </w:rPr>
              <w:t xml:space="preserve">contre </w:t>
            </w:r>
            <w:r w:rsidR="005375DA">
              <w:rPr>
                <w:rFonts w:ascii="Arial" w:hAnsi="Arial" w:cs="Arial"/>
                <w:sz w:val="20"/>
                <w:lang w:val="fr-BE"/>
              </w:rPr>
              <w:t xml:space="preserve">83 </w:t>
            </w:r>
            <w:r w:rsidR="00C5110F">
              <w:rPr>
                <w:rFonts w:ascii="Arial" w:hAnsi="Arial" w:cs="Arial"/>
                <w:sz w:val="20"/>
                <w:lang w:val="fr-BE"/>
              </w:rPr>
              <w:t>cas durant le premier semestre de 201</w:t>
            </w:r>
            <w:r w:rsidR="005375DA">
              <w:rPr>
                <w:rFonts w:ascii="Arial" w:hAnsi="Arial" w:cs="Arial"/>
                <w:sz w:val="20"/>
                <w:lang w:val="fr-BE"/>
              </w:rPr>
              <w:t>2</w:t>
            </w:r>
            <w:r w:rsidR="00C5110F">
              <w:rPr>
                <w:rFonts w:ascii="Arial" w:hAnsi="Arial" w:cs="Arial"/>
                <w:sz w:val="20"/>
                <w:lang w:val="fr-BE"/>
              </w:rPr>
              <w:t xml:space="preserve"> (en attente des </w:t>
            </w:r>
            <w:r w:rsidR="005375DA">
              <w:rPr>
                <w:rFonts w:ascii="Arial" w:hAnsi="Arial" w:cs="Arial"/>
                <w:sz w:val="20"/>
                <w:lang w:val="fr-BE"/>
              </w:rPr>
              <w:t>données</w:t>
            </w:r>
            <w:r w:rsidR="00C5110F">
              <w:rPr>
                <w:rFonts w:ascii="Arial" w:hAnsi="Arial" w:cs="Arial"/>
                <w:sz w:val="20"/>
                <w:lang w:val="fr-BE"/>
              </w:rPr>
              <w:t xml:space="preserve"> d</w:t>
            </w:r>
            <w:r w:rsidR="005375DA">
              <w:rPr>
                <w:rFonts w:ascii="Arial" w:hAnsi="Arial" w:cs="Arial"/>
                <w:sz w:val="20"/>
                <w:lang w:val="fr-BE"/>
              </w:rPr>
              <w:t>e l</w:t>
            </w:r>
            <w:r w:rsidR="00C5110F">
              <w:rPr>
                <w:rFonts w:ascii="Arial" w:hAnsi="Arial" w:cs="Arial"/>
                <w:sz w:val="20"/>
                <w:lang w:val="fr-BE"/>
              </w:rPr>
              <w:t>’OPROGEM</w:t>
            </w:r>
            <w:r w:rsidR="005375DA">
              <w:rPr>
                <w:rFonts w:ascii="Arial" w:hAnsi="Arial" w:cs="Arial"/>
                <w:sz w:val="20"/>
                <w:lang w:val="fr-BE"/>
              </w:rPr>
              <w:t xml:space="preserve"> pour 2014</w:t>
            </w:r>
            <w:r w:rsidR="00C5110F">
              <w:rPr>
                <w:rFonts w:ascii="Arial" w:hAnsi="Arial" w:cs="Arial"/>
                <w:sz w:val="20"/>
                <w:lang w:val="fr-BE"/>
              </w:rPr>
              <w:t>)</w:t>
            </w:r>
          </w:p>
          <w:p w14:paraId="4DF05678" w14:textId="5F9663AE" w:rsidR="00935395" w:rsidRPr="0051176A" w:rsidRDefault="00935395" w:rsidP="00935395">
            <w:pPr>
              <w:pStyle w:val="BodyText"/>
              <w:spacing w:after="0"/>
              <w:jc w:val="both"/>
              <w:rPr>
                <w:rFonts w:ascii="Arial" w:hAnsi="Arial" w:cs="Arial"/>
                <w:bCs/>
                <w:sz w:val="20"/>
                <w:lang w:val="fr-BE"/>
              </w:rPr>
            </w:pPr>
          </w:p>
        </w:tc>
        <w:tc>
          <w:tcPr>
            <w:tcW w:w="4230" w:type="dxa"/>
            <w:shd w:val="clear" w:color="auto" w:fill="auto"/>
          </w:tcPr>
          <w:p w14:paraId="183222DF" w14:textId="77777777" w:rsidR="00935395" w:rsidRPr="0051176A" w:rsidRDefault="00935395" w:rsidP="00086C0F">
            <w:pPr>
              <w:jc w:val="both"/>
              <w:rPr>
                <w:rFonts w:ascii="Arial" w:hAnsi="Arial" w:cs="Arial"/>
                <w:bCs/>
                <w:sz w:val="20"/>
                <w:szCs w:val="20"/>
              </w:rPr>
            </w:pPr>
          </w:p>
        </w:tc>
        <w:tc>
          <w:tcPr>
            <w:tcW w:w="2880" w:type="dxa"/>
            <w:shd w:val="clear" w:color="auto" w:fill="auto"/>
          </w:tcPr>
          <w:p w14:paraId="5670805B" w14:textId="77777777" w:rsidR="00935395" w:rsidRPr="00AE2741" w:rsidRDefault="00935395" w:rsidP="00086C0F">
            <w:pPr>
              <w:jc w:val="both"/>
              <w:rPr>
                <w:rFonts w:ascii="Arial" w:hAnsi="Arial" w:cs="Arial"/>
                <w:bCs/>
                <w:sz w:val="20"/>
                <w:szCs w:val="20"/>
              </w:rPr>
            </w:pPr>
            <w:r w:rsidRPr="00AE2741">
              <w:rPr>
                <w:rFonts w:ascii="Arial" w:hAnsi="Arial" w:cs="Arial"/>
                <w:bCs/>
                <w:sz w:val="20"/>
                <w:szCs w:val="20"/>
              </w:rPr>
              <w:t>Procès-verbaux des cas traités</w:t>
            </w:r>
          </w:p>
          <w:p w14:paraId="34F8F781" w14:textId="77777777" w:rsidR="00935395" w:rsidRPr="00AE2741" w:rsidRDefault="00935395" w:rsidP="00086C0F">
            <w:pPr>
              <w:jc w:val="both"/>
              <w:rPr>
                <w:rFonts w:ascii="Arial" w:hAnsi="Arial" w:cs="Arial"/>
                <w:bCs/>
                <w:sz w:val="20"/>
                <w:szCs w:val="20"/>
              </w:rPr>
            </w:pPr>
            <w:r w:rsidRPr="00AE2741">
              <w:rPr>
                <w:rFonts w:ascii="Arial" w:hAnsi="Arial" w:cs="Arial"/>
                <w:bCs/>
                <w:sz w:val="20"/>
                <w:szCs w:val="20"/>
              </w:rPr>
              <w:t>Statistiques de l’OPROGEM</w:t>
            </w:r>
          </w:p>
        </w:tc>
      </w:tr>
      <w:tr w:rsidR="00935395" w:rsidRPr="003142EF" w14:paraId="30B94D7F" w14:textId="77777777" w:rsidTr="00B670F8">
        <w:trPr>
          <w:trHeight w:val="220"/>
        </w:trPr>
        <w:tc>
          <w:tcPr>
            <w:tcW w:w="15120" w:type="dxa"/>
            <w:gridSpan w:val="4"/>
            <w:shd w:val="clear" w:color="auto" w:fill="auto"/>
          </w:tcPr>
          <w:p w14:paraId="345E067C" w14:textId="77777777" w:rsidR="0063367C" w:rsidRPr="0063367C" w:rsidRDefault="0063367C" w:rsidP="00086C0F">
            <w:pPr>
              <w:jc w:val="both"/>
              <w:rPr>
                <w:rFonts w:ascii="Arial" w:hAnsi="Arial" w:cs="Arial"/>
                <w:b/>
                <w:sz w:val="10"/>
                <w:szCs w:val="10"/>
              </w:rPr>
            </w:pPr>
          </w:p>
          <w:p w14:paraId="162B8F1A" w14:textId="77777777" w:rsidR="00935395" w:rsidRPr="0063367C" w:rsidRDefault="00935395" w:rsidP="00086C0F">
            <w:pPr>
              <w:jc w:val="both"/>
              <w:rPr>
                <w:rFonts w:ascii="Arial" w:hAnsi="Arial" w:cs="Arial"/>
                <w:b/>
                <w:sz w:val="22"/>
                <w:szCs w:val="22"/>
              </w:rPr>
            </w:pPr>
            <w:r w:rsidRPr="0063367C">
              <w:rPr>
                <w:rFonts w:ascii="Arial" w:hAnsi="Arial" w:cs="Arial"/>
                <w:b/>
                <w:sz w:val="22"/>
                <w:szCs w:val="22"/>
              </w:rPr>
              <w:t>Résultat  2 Les survivantes des VBG ont accès aux programmes cibles d’assistance et de réintégration</w:t>
            </w:r>
          </w:p>
          <w:p w14:paraId="69D52354" w14:textId="77777777" w:rsidR="0063367C" w:rsidRPr="0063367C" w:rsidRDefault="0063367C" w:rsidP="00086C0F">
            <w:pPr>
              <w:jc w:val="both"/>
              <w:rPr>
                <w:rFonts w:ascii="Arial" w:hAnsi="Arial" w:cs="Arial"/>
                <w:b/>
                <w:sz w:val="10"/>
                <w:szCs w:val="10"/>
              </w:rPr>
            </w:pPr>
          </w:p>
        </w:tc>
      </w:tr>
      <w:tr w:rsidR="00935395" w:rsidRPr="003142EF" w14:paraId="338B926D" w14:textId="77777777" w:rsidTr="0063367C">
        <w:trPr>
          <w:trHeight w:val="777"/>
        </w:trPr>
        <w:tc>
          <w:tcPr>
            <w:tcW w:w="4019" w:type="dxa"/>
            <w:shd w:val="clear" w:color="auto" w:fill="auto"/>
          </w:tcPr>
          <w:p w14:paraId="4FDEBDE7"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 xml:space="preserve">Indicateur  2.1. # de prestataires de services et professionnels de justice formés </w:t>
            </w:r>
          </w:p>
          <w:p w14:paraId="2F282CAC"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Indicateur de référence: 250</w:t>
            </w:r>
          </w:p>
          <w:p w14:paraId="33468F96"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Indicateur cible: 500</w:t>
            </w:r>
          </w:p>
        </w:tc>
        <w:tc>
          <w:tcPr>
            <w:tcW w:w="3991" w:type="dxa"/>
            <w:shd w:val="clear" w:color="auto" w:fill="auto"/>
          </w:tcPr>
          <w:p w14:paraId="34FF43D0" w14:textId="77777777" w:rsidR="00935395" w:rsidRPr="0051176A" w:rsidRDefault="00935395" w:rsidP="00086C0F">
            <w:pPr>
              <w:pStyle w:val="BodyText"/>
              <w:jc w:val="both"/>
              <w:rPr>
                <w:rFonts w:ascii="Arial" w:hAnsi="Arial" w:cs="Arial"/>
                <w:sz w:val="20"/>
                <w:lang w:val="fr-BE"/>
              </w:rPr>
            </w:pPr>
            <w:r w:rsidRPr="0051176A">
              <w:rPr>
                <w:rFonts w:ascii="Arial" w:hAnsi="Arial" w:cs="Arial"/>
                <w:sz w:val="20"/>
                <w:lang w:val="fr-BE"/>
              </w:rPr>
              <w:t>279 prestataires formés :</w:t>
            </w:r>
          </w:p>
          <w:p w14:paraId="3FD93FA1"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30 prestataires au niveau médical</w:t>
            </w:r>
          </w:p>
          <w:p w14:paraId="0C6ADEC1"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129 prestataires au niveau psychosocial</w:t>
            </w:r>
          </w:p>
          <w:p w14:paraId="7AF04EBA" w14:textId="77777777" w:rsidR="00935395" w:rsidRPr="0051176A" w:rsidRDefault="00935395" w:rsidP="003E122D">
            <w:pPr>
              <w:pStyle w:val="BodyText"/>
              <w:numPr>
                <w:ilvl w:val="0"/>
                <w:numId w:val="10"/>
              </w:numPr>
              <w:spacing w:after="0"/>
              <w:ind w:left="360"/>
              <w:jc w:val="both"/>
              <w:rPr>
                <w:rFonts w:ascii="Arial" w:hAnsi="Arial" w:cs="Arial"/>
                <w:sz w:val="20"/>
                <w:lang w:val="fr-BE"/>
              </w:rPr>
            </w:pPr>
            <w:r w:rsidRPr="0051176A">
              <w:rPr>
                <w:rFonts w:ascii="Arial" w:hAnsi="Arial" w:cs="Arial"/>
                <w:sz w:val="20"/>
                <w:lang w:val="fr-BE"/>
              </w:rPr>
              <w:t>120 professionnels de la justice</w:t>
            </w:r>
          </w:p>
        </w:tc>
        <w:tc>
          <w:tcPr>
            <w:tcW w:w="4230" w:type="dxa"/>
            <w:shd w:val="clear" w:color="auto" w:fill="auto"/>
          </w:tcPr>
          <w:p w14:paraId="700933BF" w14:textId="77777777" w:rsidR="00935395" w:rsidRPr="0051176A" w:rsidRDefault="00935395" w:rsidP="00086C0F">
            <w:pPr>
              <w:jc w:val="both"/>
              <w:rPr>
                <w:rFonts w:ascii="Arial" w:hAnsi="Arial" w:cs="Arial"/>
                <w:bCs/>
                <w:sz w:val="20"/>
                <w:szCs w:val="20"/>
              </w:rPr>
            </w:pPr>
          </w:p>
          <w:p w14:paraId="2C132218" w14:textId="77777777" w:rsidR="00935395" w:rsidRPr="0051176A" w:rsidRDefault="00935395" w:rsidP="00086C0F">
            <w:pPr>
              <w:jc w:val="both"/>
              <w:rPr>
                <w:rFonts w:ascii="Arial" w:hAnsi="Arial" w:cs="Arial"/>
                <w:bCs/>
                <w:sz w:val="20"/>
                <w:szCs w:val="20"/>
              </w:rPr>
            </w:pPr>
          </w:p>
          <w:p w14:paraId="750FC85C" w14:textId="77777777" w:rsidR="00935395" w:rsidRPr="0051176A" w:rsidRDefault="00935395" w:rsidP="00086C0F">
            <w:pPr>
              <w:jc w:val="both"/>
              <w:rPr>
                <w:rFonts w:ascii="Arial" w:hAnsi="Arial" w:cs="Arial"/>
                <w:bCs/>
                <w:sz w:val="20"/>
                <w:szCs w:val="20"/>
              </w:rPr>
            </w:pPr>
          </w:p>
        </w:tc>
        <w:tc>
          <w:tcPr>
            <w:tcW w:w="2880" w:type="dxa"/>
            <w:shd w:val="clear" w:color="auto" w:fill="auto"/>
          </w:tcPr>
          <w:p w14:paraId="798662DC" w14:textId="77777777" w:rsidR="00935395" w:rsidRPr="0051176A" w:rsidRDefault="00935395" w:rsidP="00086C0F">
            <w:pPr>
              <w:jc w:val="both"/>
              <w:rPr>
                <w:rFonts w:ascii="Arial" w:hAnsi="Arial" w:cs="Arial"/>
                <w:bCs/>
                <w:sz w:val="20"/>
                <w:szCs w:val="20"/>
              </w:rPr>
            </w:pPr>
            <w:r w:rsidRPr="00AE2741">
              <w:rPr>
                <w:rFonts w:ascii="Arial" w:hAnsi="Arial" w:cs="Arial"/>
                <w:bCs/>
                <w:sz w:val="20"/>
                <w:szCs w:val="20"/>
              </w:rPr>
              <w:t>Les rapports de formations et d’activités les rapports des différentes revues 2013 de l’Unicef</w:t>
            </w:r>
          </w:p>
        </w:tc>
      </w:tr>
      <w:tr w:rsidR="00935395" w:rsidRPr="003142EF" w14:paraId="4CC213BF" w14:textId="77777777" w:rsidTr="0063367C">
        <w:trPr>
          <w:trHeight w:val="1110"/>
        </w:trPr>
        <w:tc>
          <w:tcPr>
            <w:tcW w:w="4019" w:type="dxa"/>
            <w:shd w:val="clear" w:color="auto" w:fill="auto"/>
          </w:tcPr>
          <w:p w14:paraId="0C7D26DC" w14:textId="77777777" w:rsidR="00935395" w:rsidRPr="00AE2741" w:rsidRDefault="00935395" w:rsidP="00086C0F">
            <w:pPr>
              <w:rPr>
                <w:rFonts w:ascii="Arial" w:hAnsi="Arial" w:cs="Arial"/>
                <w:sz w:val="20"/>
                <w:szCs w:val="20"/>
              </w:rPr>
            </w:pPr>
            <w:r w:rsidRPr="00AE2741">
              <w:rPr>
                <w:rFonts w:ascii="Arial" w:hAnsi="Arial" w:cs="Arial"/>
                <w:b/>
                <w:sz w:val="20"/>
                <w:szCs w:val="20"/>
              </w:rPr>
              <w:t xml:space="preserve">Indicateur 2.2. </w:t>
            </w:r>
            <w:r w:rsidRPr="00AE2741">
              <w:rPr>
                <w:rFonts w:ascii="Arial" w:hAnsi="Arial" w:cs="Arial"/>
                <w:sz w:val="20"/>
                <w:szCs w:val="20"/>
              </w:rPr>
              <w:t xml:space="preserve"># de victimes ayant reçu un appui médical, psychosocial et judicaire  </w:t>
            </w:r>
          </w:p>
          <w:p w14:paraId="38486F6F" w14:textId="77777777" w:rsidR="00935395" w:rsidRPr="00AE2741" w:rsidRDefault="00935395" w:rsidP="00086C0F">
            <w:pPr>
              <w:rPr>
                <w:rFonts w:ascii="Arial" w:hAnsi="Arial" w:cs="Arial"/>
                <w:sz w:val="20"/>
                <w:szCs w:val="20"/>
              </w:rPr>
            </w:pPr>
          </w:p>
          <w:p w14:paraId="4DE7C0ED"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de référence: ND</w:t>
            </w:r>
          </w:p>
          <w:p w14:paraId="4EE12880"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cible:</w:t>
            </w:r>
            <w:r w:rsidRPr="00AE2741">
              <w:rPr>
                <w:rFonts w:ascii="Arial" w:hAnsi="Arial" w:cs="Arial"/>
                <w:sz w:val="20"/>
                <w:szCs w:val="20"/>
              </w:rPr>
              <w:t xml:space="preserve"> 500</w:t>
            </w:r>
          </w:p>
          <w:p w14:paraId="2EDB9FA0" w14:textId="77777777" w:rsidR="00935395" w:rsidRPr="00AE2741" w:rsidRDefault="00935395" w:rsidP="00086C0F">
            <w:pPr>
              <w:jc w:val="both"/>
              <w:rPr>
                <w:rFonts w:ascii="Arial" w:hAnsi="Arial" w:cs="Arial"/>
                <w:bCs/>
                <w:sz w:val="20"/>
                <w:szCs w:val="20"/>
              </w:rPr>
            </w:pPr>
          </w:p>
        </w:tc>
        <w:tc>
          <w:tcPr>
            <w:tcW w:w="3991" w:type="dxa"/>
            <w:shd w:val="clear" w:color="auto" w:fill="auto"/>
          </w:tcPr>
          <w:p w14:paraId="3A8790E5" w14:textId="422203CA" w:rsidR="00935395" w:rsidRPr="0051176A" w:rsidRDefault="009C1EBC" w:rsidP="0051176A">
            <w:pPr>
              <w:pStyle w:val="BodyText"/>
              <w:numPr>
                <w:ilvl w:val="0"/>
                <w:numId w:val="11"/>
              </w:numPr>
              <w:spacing w:after="0"/>
              <w:ind w:left="300" w:hanging="357"/>
              <w:jc w:val="both"/>
              <w:rPr>
                <w:rFonts w:ascii="Arial" w:hAnsi="Arial" w:cs="Arial"/>
                <w:sz w:val="20"/>
                <w:lang w:val="fr-BE"/>
              </w:rPr>
            </w:pPr>
            <w:r>
              <w:rPr>
                <w:rFonts w:ascii="Arial" w:hAnsi="Arial" w:cs="Arial"/>
                <w:sz w:val="20"/>
                <w:lang w:val="fr-BE"/>
              </w:rPr>
              <w:t>726</w:t>
            </w:r>
            <w:r w:rsidR="009255EC">
              <w:rPr>
                <w:rFonts w:ascii="Arial" w:hAnsi="Arial" w:cs="Arial"/>
                <w:sz w:val="20"/>
                <w:lang w:val="fr-BE"/>
              </w:rPr>
              <w:t xml:space="preserve"> </w:t>
            </w:r>
            <w:r w:rsidR="00935395" w:rsidRPr="0051176A">
              <w:rPr>
                <w:rFonts w:ascii="Arial" w:hAnsi="Arial" w:cs="Arial"/>
                <w:sz w:val="20"/>
                <w:lang w:val="fr-BE"/>
              </w:rPr>
              <w:t>victimes ont reçu un appui médical</w:t>
            </w:r>
            <w:r w:rsidR="009255EC">
              <w:rPr>
                <w:rFonts w:ascii="Arial" w:hAnsi="Arial" w:cs="Arial"/>
                <w:sz w:val="20"/>
                <w:lang w:val="fr-BE"/>
              </w:rPr>
              <w:t xml:space="preserve"> (dont </w:t>
            </w:r>
            <w:r>
              <w:rPr>
                <w:rFonts w:ascii="Arial" w:hAnsi="Arial" w:cs="Arial"/>
                <w:sz w:val="20"/>
                <w:lang w:val="fr-BE"/>
              </w:rPr>
              <w:t>212</w:t>
            </w:r>
            <w:r w:rsidR="009255EC">
              <w:rPr>
                <w:rFonts w:ascii="Arial" w:hAnsi="Arial" w:cs="Arial"/>
                <w:sz w:val="20"/>
                <w:lang w:val="fr-BE"/>
              </w:rPr>
              <w:t xml:space="preserve"> </w:t>
            </w:r>
            <w:proofErr w:type="gramStart"/>
            <w:r w:rsidR="009255EC">
              <w:rPr>
                <w:rFonts w:ascii="Arial" w:hAnsi="Arial" w:cs="Arial"/>
                <w:sz w:val="20"/>
                <w:lang w:val="fr-BE"/>
              </w:rPr>
              <w:t>premier semestre</w:t>
            </w:r>
            <w:proofErr w:type="gramEnd"/>
            <w:r w:rsidR="009255EC">
              <w:rPr>
                <w:rFonts w:ascii="Arial" w:hAnsi="Arial" w:cs="Arial"/>
                <w:sz w:val="20"/>
                <w:lang w:val="fr-BE"/>
              </w:rPr>
              <w:t xml:space="preserve"> 2014</w:t>
            </w:r>
            <w:r>
              <w:rPr>
                <w:rFonts w:ascii="Arial" w:hAnsi="Arial" w:cs="Arial"/>
                <w:sz w:val="20"/>
                <w:lang w:val="fr-BE"/>
              </w:rPr>
              <w:t xml:space="preserve"> avec 49</w:t>
            </w:r>
            <w:r w:rsidR="002D631D">
              <w:rPr>
                <w:rFonts w:ascii="Arial" w:hAnsi="Arial" w:cs="Arial"/>
                <w:sz w:val="20"/>
                <w:lang w:val="fr-BE"/>
              </w:rPr>
              <w:t>% de cas de viol</w:t>
            </w:r>
            <w:r w:rsidR="009255EC">
              <w:rPr>
                <w:rFonts w:ascii="Arial" w:hAnsi="Arial" w:cs="Arial"/>
                <w:sz w:val="20"/>
                <w:lang w:val="fr-BE"/>
              </w:rPr>
              <w:t>)</w:t>
            </w:r>
            <w:r>
              <w:rPr>
                <w:rFonts w:ascii="Arial" w:hAnsi="Arial" w:cs="Arial"/>
                <w:sz w:val="20"/>
                <w:lang w:val="fr-BE"/>
              </w:rPr>
              <w:t xml:space="preserve"> </w:t>
            </w:r>
          </w:p>
          <w:p w14:paraId="7DCE7DE0" w14:textId="36787AD0" w:rsidR="00935395" w:rsidRPr="00AE2741" w:rsidRDefault="00935395" w:rsidP="003E122D">
            <w:pPr>
              <w:pStyle w:val="ListParagraph"/>
              <w:numPr>
                <w:ilvl w:val="0"/>
                <w:numId w:val="10"/>
              </w:numPr>
              <w:ind w:left="360"/>
              <w:jc w:val="both"/>
              <w:rPr>
                <w:rFonts w:ascii="Arial" w:hAnsi="Arial" w:cs="Arial"/>
                <w:sz w:val="20"/>
                <w:szCs w:val="20"/>
                <w:lang w:val="fr-BE" w:eastAsia="en-US"/>
              </w:rPr>
            </w:pPr>
            <w:r w:rsidRPr="00AE2741">
              <w:rPr>
                <w:rFonts w:ascii="Arial" w:hAnsi="Arial" w:cs="Arial"/>
                <w:sz w:val="20"/>
                <w:szCs w:val="20"/>
                <w:lang w:val="fr-BE" w:eastAsia="en-US"/>
              </w:rPr>
              <w:t xml:space="preserve">54 victimes ont reçu un appui psychosocial </w:t>
            </w:r>
          </w:p>
          <w:p w14:paraId="5F33C600" w14:textId="284FE527" w:rsidR="00935395" w:rsidRPr="009255EC" w:rsidRDefault="00935395" w:rsidP="009255EC">
            <w:pPr>
              <w:pStyle w:val="ListParagraph"/>
              <w:numPr>
                <w:ilvl w:val="0"/>
                <w:numId w:val="10"/>
              </w:numPr>
              <w:ind w:left="360"/>
              <w:jc w:val="both"/>
              <w:rPr>
                <w:rFonts w:ascii="Arial" w:hAnsi="Arial" w:cs="Arial"/>
                <w:sz w:val="20"/>
                <w:szCs w:val="20"/>
                <w:lang w:val="fr-BE" w:eastAsia="en-US"/>
              </w:rPr>
            </w:pPr>
            <w:r w:rsidRPr="00AE2741">
              <w:rPr>
                <w:rFonts w:ascii="Arial" w:hAnsi="Arial" w:cs="Arial"/>
                <w:sz w:val="20"/>
                <w:szCs w:val="20"/>
                <w:lang w:val="fr-BE" w:eastAsia="en-US"/>
              </w:rPr>
              <w:t xml:space="preserve">34 victimes ont reçu un appui judicaire a travers les Centre d’Information et de Proximité  </w:t>
            </w:r>
          </w:p>
        </w:tc>
        <w:tc>
          <w:tcPr>
            <w:tcW w:w="4230" w:type="dxa"/>
            <w:shd w:val="clear" w:color="auto" w:fill="auto"/>
          </w:tcPr>
          <w:p w14:paraId="6A866F9A" w14:textId="77777777" w:rsidR="00935395" w:rsidRDefault="00935395" w:rsidP="00086C0F">
            <w:pPr>
              <w:jc w:val="both"/>
              <w:rPr>
                <w:rFonts w:ascii="Arial" w:hAnsi="Arial" w:cs="Arial"/>
                <w:bCs/>
                <w:sz w:val="20"/>
                <w:szCs w:val="20"/>
              </w:rPr>
            </w:pPr>
          </w:p>
          <w:p w14:paraId="4274541E" w14:textId="77777777" w:rsidR="00964828" w:rsidRDefault="00964828" w:rsidP="00086C0F">
            <w:pPr>
              <w:jc w:val="both"/>
              <w:rPr>
                <w:rFonts w:ascii="Arial" w:hAnsi="Arial" w:cs="Arial"/>
                <w:bCs/>
                <w:sz w:val="20"/>
                <w:szCs w:val="20"/>
              </w:rPr>
            </w:pPr>
          </w:p>
          <w:p w14:paraId="03CBCF54" w14:textId="77777777" w:rsidR="00964828" w:rsidRDefault="00964828" w:rsidP="00086C0F">
            <w:pPr>
              <w:jc w:val="both"/>
              <w:rPr>
                <w:rFonts w:ascii="Arial" w:hAnsi="Arial" w:cs="Arial"/>
                <w:bCs/>
                <w:sz w:val="20"/>
                <w:szCs w:val="20"/>
              </w:rPr>
            </w:pPr>
          </w:p>
          <w:p w14:paraId="3CDD877B" w14:textId="77777777" w:rsidR="00964828" w:rsidRDefault="00964828" w:rsidP="00086C0F">
            <w:pPr>
              <w:jc w:val="both"/>
              <w:rPr>
                <w:rFonts w:ascii="Arial" w:hAnsi="Arial" w:cs="Arial"/>
                <w:bCs/>
                <w:sz w:val="20"/>
                <w:szCs w:val="20"/>
              </w:rPr>
            </w:pPr>
          </w:p>
          <w:p w14:paraId="2B071EFF" w14:textId="77777777" w:rsidR="00964828" w:rsidRDefault="00964828" w:rsidP="00086C0F">
            <w:pPr>
              <w:jc w:val="both"/>
              <w:rPr>
                <w:rFonts w:ascii="Arial" w:hAnsi="Arial" w:cs="Arial"/>
                <w:bCs/>
                <w:sz w:val="20"/>
                <w:szCs w:val="20"/>
              </w:rPr>
            </w:pPr>
          </w:p>
          <w:p w14:paraId="4B3CF8F3" w14:textId="77777777" w:rsidR="00964828" w:rsidRDefault="00964828" w:rsidP="00086C0F">
            <w:pPr>
              <w:jc w:val="both"/>
              <w:rPr>
                <w:rFonts w:ascii="Arial" w:hAnsi="Arial" w:cs="Arial"/>
                <w:bCs/>
                <w:sz w:val="20"/>
                <w:szCs w:val="20"/>
              </w:rPr>
            </w:pPr>
          </w:p>
          <w:p w14:paraId="603FCA89" w14:textId="573C57C5" w:rsidR="00964828" w:rsidRPr="0051176A" w:rsidRDefault="00964828" w:rsidP="00086C0F">
            <w:pPr>
              <w:jc w:val="both"/>
              <w:rPr>
                <w:rFonts w:ascii="Arial" w:hAnsi="Arial" w:cs="Arial"/>
                <w:bCs/>
                <w:sz w:val="20"/>
                <w:szCs w:val="20"/>
              </w:rPr>
            </w:pPr>
            <w:r>
              <w:rPr>
                <w:rFonts w:ascii="Arial" w:hAnsi="Arial" w:cs="Arial"/>
                <w:bCs/>
                <w:sz w:val="20"/>
                <w:szCs w:val="20"/>
              </w:rPr>
              <w:t xml:space="preserve">30 autres victimes </w:t>
            </w:r>
            <w:r w:rsidR="00814DCC">
              <w:rPr>
                <w:rFonts w:ascii="Arial" w:hAnsi="Arial" w:cs="Arial"/>
                <w:bCs/>
                <w:sz w:val="20"/>
                <w:szCs w:val="20"/>
              </w:rPr>
              <w:t>bénéficieront</w:t>
            </w:r>
            <w:r>
              <w:rPr>
                <w:rFonts w:ascii="Arial" w:hAnsi="Arial" w:cs="Arial"/>
                <w:bCs/>
                <w:sz w:val="20"/>
                <w:szCs w:val="20"/>
              </w:rPr>
              <w:t xml:space="preserve"> d’un appui judicaire d’ici la fin du projet</w:t>
            </w:r>
          </w:p>
        </w:tc>
        <w:tc>
          <w:tcPr>
            <w:tcW w:w="2880" w:type="dxa"/>
            <w:shd w:val="clear" w:color="auto" w:fill="auto"/>
          </w:tcPr>
          <w:p w14:paraId="0A49D020" w14:textId="18D8210C" w:rsidR="00935395" w:rsidRPr="0051176A" w:rsidRDefault="00964828" w:rsidP="00964828">
            <w:pPr>
              <w:jc w:val="both"/>
              <w:rPr>
                <w:rFonts w:ascii="Arial" w:hAnsi="Arial" w:cs="Arial"/>
                <w:bCs/>
                <w:sz w:val="20"/>
                <w:szCs w:val="20"/>
              </w:rPr>
            </w:pPr>
            <w:r>
              <w:rPr>
                <w:rFonts w:ascii="Arial" w:hAnsi="Arial" w:cs="Arial"/>
                <w:bCs/>
                <w:sz w:val="20"/>
                <w:szCs w:val="20"/>
              </w:rPr>
              <w:t>Données statistiques des Centre VBG ; CIP et ABA</w:t>
            </w:r>
          </w:p>
        </w:tc>
      </w:tr>
      <w:tr w:rsidR="00935395" w:rsidRPr="003142EF" w14:paraId="6C8B5FE3" w14:textId="77777777" w:rsidTr="0063367C">
        <w:trPr>
          <w:trHeight w:val="1110"/>
        </w:trPr>
        <w:tc>
          <w:tcPr>
            <w:tcW w:w="4019" w:type="dxa"/>
            <w:shd w:val="clear" w:color="auto" w:fill="auto"/>
          </w:tcPr>
          <w:p w14:paraId="5ACC3F82" w14:textId="77777777" w:rsidR="00935395" w:rsidRPr="00AE2741" w:rsidRDefault="00935395" w:rsidP="00086C0F">
            <w:pPr>
              <w:rPr>
                <w:rFonts w:ascii="Arial" w:hAnsi="Arial" w:cs="Arial"/>
                <w:b/>
                <w:sz w:val="20"/>
                <w:szCs w:val="20"/>
                <w:lang w:val="fr-BE"/>
              </w:rPr>
            </w:pPr>
            <w:r w:rsidRPr="00AE2741">
              <w:rPr>
                <w:rFonts w:ascii="Arial" w:hAnsi="Arial" w:cs="Arial"/>
                <w:b/>
                <w:sz w:val="20"/>
                <w:szCs w:val="20"/>
                <w:lang w:val="fr-BE"/>
              </w:rPr>
              <w:t xml:space="preserve">Indicateur 2.3 : </w:t>
            </w:r>
            <w:r w:rsidRPr="00AE2741">
              <w:rPr>
                <w:rFonts w:ascii="Arial" w:hAnsi="Arial" w:cs="Arial"/>
                <w:sz w:val="20"/>
                <w:szCs w:val="20"/>
              </w:rPr>
              <w:t xml:space="preserve"># et types </w:t>
            </w:r>
            <w:r w:rsidRPr="00AE2741">
              <w:rPr>
                <w:rFonts w:ascii="Arial" w:hAnsi="Arial" w:cs="Arial"/>
                <w:sz w:val="20"/>
                <w:szCs w:val="20"/>
                <w:lang w:val="fr-BE"/>
              </w:rPr>
              <w:t>d’appel traités (numéro vert) et transféré aux services de prise en charge</w:t>
            </w:r>
          </w:p>
          <w:p w14:paraId="68AD43AD" w14:textId="77777777" w:rsidR="00935395" w:rsidRPr="00AE2741" w:rsidRDefault="00935395" w:rsidP="00086C0F">
            <w:pPr>
              <w:rPr>
                <w:rFonts w:ascii="Arial" w:hAnsi="Arial" w:cs="Arial"/>
                <w:b/>
                <w:sz w:val="20"/>
                <w:szCs w:val="20"/>
                <w:lang w:val="fr-BE"/>
              </w:rPr>
            </w:pPr>
          </w:p>
          <w:p w14:paraId="5A0A41CD"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de référence: ND</w:t>
            </w:r>
          </w:p>
          <w:p w14:paraId="568B3C46"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cible:</w:t>
            </w:r>
            <w:r w:rsidRPr="00AE2741">
              <w:rPr>
                <w:rFonts w:ascii="Arial" w:hAnsi="Arial" w:cs="Arial"/>
                <w:sz w:val="20"/>
                <w:szCs w:val="20"/>
              </w:rPr>
              <w:t xml:space="preserve"> 300</w:t>
            </w:r>
          </w:p>
          <w:p w14:paraId="36942B5D" w14:textId="77777777" w:rsidR="00935395" w:rsidRPr="00AE2741" w:rsidRDefault="00935395" w:rsidP="00086C0F">
            <w:pPr>
              <w:rPr>
                <w:rFonts w:ascii="Arial" w:hAnsi="Arial" w:cs="Arial"/>
                <w:b/>
                <w:sz w:val="20"/>
                <w:szCs w:val="20"/>
              </w:rPr>
            </w:pPr>
          </w:p>
          <w:p w14:paraId="6D5051C5" w14:textId="77777777" w:rsidR="00935395" w:rsidRPr="00AE2741" w:rsidRDefault="00935395" w:rsidP="00086C0F">
            <w:pPr>
              <w:rPr>
                <w:rFonts w:ascii="Arial" w:hAnsi="Arial" w:cs="Arial"/>
                <w:b/>
                <w:sz w:val="20"/>
                <w:szCs w:val="20"/>
              </w:rPr>
            </w:pPr>
          </w:p>
        </w:tc>
        <w:tc>
          <w:tcPr>
            <w:tcW w:w="3991" w:type="dxa"/>
            <w:shd w:val="clear" w:color="auto" w:fill="auto"/>
          </w:tcPr>
          <w:p w14:paraId="3D5DDB3E" w14:textId="77777777" w:rsidR="00935395" w:rsidRPr="00964828" w:rsidRDefault="00935395" w:rsidP="0051176A">
            <w:pPr>
              <w:pStyle w:val="BodyText"/>
              <w:numPr>
                <w:ilvl w:val="0"/>
                <w:numId w:val="14"/>
              </w:numPr>
              <w:spacing w:after="0"/>
              <w:ind w:left="300" w:hanging="357"/>
              <w:jc w:val="both"/>
              <w:rPr>
                <w:rFonts w:ascii="Arial" w:hAnsi="Arial" w:cs="Arial"/>
                <w:sz w:val="20"/>
                <w:lang w:val="fr-BE"/>
              </w:rPr>
            </w:pPr>
            <w:r w:rsidRPr="00964828">
              <w:rPr>
                <w:rFonts w:ascii="Arial" w:hAnsi="Arial" w:cs="Arial"/>
                <w:sz w:val="20"/>
                <w:lang w:val="fr-BE"/>
              </w:rPr>
              <w:t xml:space="preserve">5089 cas de viols et violences sexuelles ont été orientées vers la police pour bénéficier d’un soutien médico-légal. </w:t>
            </w:r>
          </w:p>
          <w:p w14:paraId="54B0A9EC" w14:textId="77777777" w:rsidR="00935395" w:rsidRPr="00964828" w:rsidRDefault="00935395" w:rsidP="00AE2741">
            <w:pPr>
              <w:pStyle w:val="BodyText"/>
              <w:numPr>
                <w:ilvl w:val="0"/>
                <w:numId w:val="11"/>
              </w:numPr>
              <w:spacing w:after="0"/>
              <w:ind w:left="300" w:hanging="357"/>
              <w:jc w:val="both"/>
              <w:rPr>
                <w:rFonts w:ascii="Arial" w:hAnsi="Arial" w:cs="Arial"/>
                <w:sz w:val="20"/>
                <w:lang w:val="fr-BE"/>
              </w:rPr>
            </w:pPr>
            <w:r w:rsidRPr="00964828">
              <w:rPr>
                <w:rFonts w:ascii="Arial" w:hAnsi="Arial" w:cs="Arial"/>
                <w:sz w:val="20"/>
                <w:lang w:val="fr-BE"/>
              </w:rPr>
              <w:t>12 cas  de violences conjugales ont donné suite à une enquête de police,</w:t>
            </w:r>
          </w:p>
          <w:p w14:paraId="25B7EBAC" w14:textId="70E5D61D" w:rsidR="00935395" w:rsidRPr="0063367C" w:rsidRDefault="00935395" w:rsidP="00086C0F">
            <w:pPr>
              <w:pStyle w:val="BodyText"/>
              <w:numPr>
                <w:ilvl w:val="0"/>
                <w:numId w:val="11"/>
              </w:numPr>
              <w:spacing w:after="0"/>
              <w:ind w:left="300" w:hanging="357"/>
              <w:jc w:val="both"/>
              <w:rPr>
                <w:rFonts w:ascii="Arial" w:hAnsi="Arial" w:cs="Arial"/>
                <w:sz w:val="20"/>
                <w:lang w:val="fr-BE"/>
              </w:rPr>
            </w:pPr>
            <w:r w:rsidRPr="00964828">
              <w:rPr>
                <w:rFonts w:ascii="Arial" w:hAnsi="Arial" w:cs="Arial"/>
                <w:sz w:val="20"/>
                <w:lang w:val="fr-BE"/>
              </w:rPr>
              <w:t xml:space="preserve">411 victimes de VBG ont été prises en charge par l’ONG AGUIAS dans la maison d’accueil sécurisée gérée par l’ONG, depuis le lancement de la ligne verte.  </w:t>
            </w:r>
          </w:p>
        </w:tc>
        <w:tc>
          <w:tcPr>
            <w:tcW w:w="4230" w:type="dxa"/>
            <w:shd w:val="clear" w:color="auto" w:fill="auto"/>
          </w:tcPr>
          <w:p w14:paraId="1BD8EADF" w14:textId="77777777" w:rsidR="00935395" w:rsidRPr="0051176A" w:rsidRDefault="00935395" w:rsidP="00086C0F">
            <w:pPr>
              <w:jc w:val="both"/>
              <w:rPr>
                <w:rFonts w:ascii="Arial" w:hAnsi="Arial" w:cs="Arial"/>
                <w:bCs/>
                <w:sz w:val="20"/>
                <w:szCs w:val="20"/>
              </w:rPr>
            </w:pPr>
          </w:p>
        </w:tc>
        <w:tc>
          <w:tcPr>
            <w:tcW w:w="2880" w:type="dxa"/>
            <w:shd w:val="clear" w:color="auto" w:fill="auto"/>
          </w:tcPr>
          <w:p w14:paraId="6BB72821" w14:textId="31FD807E" w:rsidR="00935395" w:rsidRPr="0051176A" w:rsidRDefault="00964828" w:rsidP="00086C0F">
            <w:pPr>
              <w:jc w:val="both"/>
              <w:rPr>
                <w:rFonts w:ascii="Arial" w:hAnsi="Arial" w:cs="Arial"/>
                <w:bCs/>
                <w:sz w:val="20"/>
                <w:szCs w:val="20"/>
              </w:rPr>
            </w:pPr>
            <w:r>
              <w:rPr>
                <w:rFonts w:ascii="Arial" w:hAnsi="Arial" w:cs="Arial"/>
                <w:bCs/>
                <w:sz w:val="20"/>
                <w:szCs w:val="20"/>
              </w:rPr>
              <w:t xml:space="preserve">Rapports d’activités </w:t>
            </w:r>
            <w:proofErr w:type="gramStart"/>
            <w:r>
              <w:rPr>
                <w:rFonts w:ascii="Arial" w:hAnsi="Arial" w:cs="Arial"/>
                <w:bCs/>
                <w:sz w:val="20"/>
                <w:szCs w:val="20"/>
              </w:rPr>
              <w:t>de AGIAS</w:t>
            </w:r>
            <w:proofErr w:type="gramEnd"/>
            <w:r>
              <w:rPr>
                <w:rFonts w:ascii="Arial" w:hAnsi="Arial" w:cs="Arial"/>
                <w:bCs/>
                <w:sz w:val="20"/>
                <w:szCs w:val="20"/>
              </w:rPr>
              <w:t xml:space="preserve"> et PV OPROGEM</w:t>
            </w:r>
          </w:p>
        </w:tc>
      </w:tr>
      <w:tr w:rsidR="00935395" w:rsidRPr="003142EF" w14:paraId="2892D02C" w14:textId="77777777" w:rsidTr="0063367C">
        <w:trPr>
          <w:trHeight w:val="1110"/>
        </w:trPr>
        <w:tc>
          <w:tcPr>
            <w:tcW w:w="4019" w:type="dxa"/>
            <w:shd w:val="clear" w:color="auto" w:fill="auto"/>
          </w:tcPr>
          <w:p w14:paraId="75917ACC" w14:textId="77777777" w:rsidR="00935395" w:rsidRPr="00AE2741" w:rsidRDefault="00935395" w:rsidP="00086C0F">
            <w:pPr>
              <w:rPr>
                <w:rFonts w:ascii="Arial" w:hAnsi="Arial" w:cs="Arial"/>
                <w:sz w:val="20"/>
                <w:szCs w:val="20"/>
                <w:lang w:val="fr-BE"/>
              </w:rPr>
            </w:pPr>
            <w:r w:rsidRPr="00AE2741">
              <w:rPr>
                <w:rFonts w:ascii="Arial" w:hAnsi="Arial" w:cs="Arial"/>
                <w:b/>
                <w:sz w:val="20"/>
                <w:szCs w:val="20"/>
                <w:lang w:val="fr-BE"/>
              </w:rPr>
              <w:t>Indicateur 2.</w:t>
            </w:r>
            <w:r w:rsidRPr="00AE2741">
              <w:rPr>
                <w:rFonts w:ascii="Arial" w:hAnsi="Arial" w:cs="Arial"/>
                <w:sz w:val="20"/>
                <w:szCs w:val="20"/>
                <w:lang w:val="fr-BE"/>
              </w:rPr>
              <w:t xml:space="preserve">4 : Nombre et types de prestataires formés dans l’utilisation de la base de données VBG </w:t>
            </w:r>
          </w:p>
          <w:p w14:paraId="2ABBE73A" w14:textId="77777777" w:rsidR="00935395" w:rsidRPr="00AE2741" w:rsidRDefault="00935395" w:rsidP="00086C0F">
            <w:pPr>
              <w:rPr>
                <w:rFonts w:ascii="Arial" w:hAnsi="Arial" w:cs="Arial"/>
                <w:b/>
                <w:sz w:val="20"/>
                <w:szCs w:val="20"/>
                <w:lang w:val="fr-BE"/>
              </w:rPr>
            </w:pPr>
          </w:p>
          <w:p w14:paraId="05A26428" w14:textId="77777777" w:rsidR="00935395" w:rsidRPr="00AE2741" w:rsidRDefault="00935395" w:rsidP="00086C0F">
            <w:pPr>
              <w:rPr>
                <w:rFonts w:ascii="Arial" w:hAnsi="Arial" w:cs="Arial"/>
                <w:b/>
                <w:sz w:val="20"/>
                <w:szCs w:val="20"/>
              </w:rPr>
            </w:pPr>
            <w:r w:rsidRPr="00AE2741">
              <w:rPr>
                <w:rFonts w:ascii="Arial" w:hAnsi="Arial" w:cs="Arial"/>
                <w:b/>
                <w:sz w:val="20"/>
                <w:szCs w:val="20"/>
              </w:rPr>
              <w:t>Indicateur de référence: ND</w:t>
            </w:r>
          </w:p>
          <w:p w14:paraId="201D99EF" w14:textId="77777777" w:rsidR="00935395" w:rsidRDefault="00935395" w:rsidP="00086C0F">
            <w:pPr>
              <w:rPr>
                <w:rFonts w:ascii="Arial" w:hAnsi="Arial" w:cs="Arial"/>
                <w:b/>
                <w:sz w:val="20"/>
                <w:szCs w:val="20"/>
              </w:rPr>
            </w:pPr>
            <w:r w:rsidRPr="00AE2741">
              <w:rPr>
                <w:rFonts w:ascii="Arial" w:hAnsi="Arial" w:cs="Arial"/>
                <w:b/>
                <w:sz w:val="20"/>
                <w:szCs w:val="20"/>
              </w:rPr>
              <w:t>Indicateur cible:</w:t>
            </w:r>
            <w:r w:rsidRPr="00AE2741">
              <w:rPr>
                <w:rFonts w:ascii="Arial" w:hAnsi="Arial" w:cs="Arial"/>
                <w:sz w:val="20"/>
                <w:szCs w:val="20"/>
              </w:rPr>
              <w:t xml:space="preserve"> </w:t>
            </w:r>
            <w:r w:rsidRPr="00AE2741">
              <w:rPr>
                <w:rFonts w:ascii="Arial" w:hAnsi="Arial" w:cs="Arial"/>
                <w:b/>
                <w:sz w:val="20"/>
                <w:szCs w:val="20"/>
              </w:rPr>
              <w:t>AD</w:t>
            </w:r>
          </w:p>
          <w:p w14:paraId="22171DBB" w14:textId="7290B433" w:rsidR="0063367C" w:rsidRPr="0063367C" w:rsidRDefault="0063367C" w:rsidP="00086C0F">
            <w:pPr>
              <w:rPr>
                <w:rFonts w:ascii="Arial" w:hAnsi="Arial" w:cs="Arial"/>
                <w:b/>
                <w:sz w:val="20"/>
                <w:szCs w:val="20"/>
              </w:rPr>
            </w:pPr>
          </w:p>
        </w:tc>
        <w:tc>
          <w:tcPr>
            <w:tcW w:w="3991" w:type="dxa"/>
            <w:shd w:val="clear" w:color="auto" w:fill="auto"/>
          </w:tcPr>
          <w:p w14:paraId="6BDC5118" w14:textId="77777777" w:rsidR="00935395" w:rsidRPr="0051176A" w:rsidRDefault="00935395" w:rsidP="00086C0F">
            <w:pPr>
              <w:pStyle w:val="BodyText"/>
              <w:jc w:val="both"/>
              <w:rPr>
                <w:rFonts w:ascii="Arial" w:hAnsi="Arial" w:cs="Arial"/>
                <w:bCs/>
                <w:sz w:val="20"/>
                <w:lang w:val="fr-FR" w:eastAsia="fr-FR"/>
              </w:rPr>
            </w:pPr>
          </w:p>
          <w:p w14:paraId="7E1FEE77" w14:textId="77777777" w:rsidR="00935395" w:rsidRPr="0051176A" w:rsidRDefault="00935395" w:rsidP="00086C0F">
            <w:pPr>
              <w:pStyle w:val="BodyText"/>
              <w:jc w:val="both"/>
              <w:rPr>
                <w:rFonts w:ascii="Arial" w:hAnsi="Arial" w:cs="Arial"/>
                <w:bCs/>
                <w:sz w:val="20"/>
                <w:lang w:val="fr-FR" w:eastAsia="fr-FR"/>
              </w:rPr>
            </w:pPr>
            <w:r w:rsidRPr="0063367C">
              <w:rPr>
                <w:rFonts w:ascii="Arial" w:hAnsi="Arial" w:cs="Arial"/>
                <w:bCs/>
                <w:sz w:val="20"/>
                <w:lang w:val="fr-FR" w:eastAsia="fr-FR"/>
              </w:rPr>
              <w:t>40</w:t>
            </w:r>
            <w:r>
              <w:rPr>
                <w:rFonts w:ascii="Arial" w:hAnsi="Arial" w:cs="Arial"/>
                <w:bCs/>
                <w:sz w:val="20"/>
                <w:lang w:val="fr-FR" w:eastAsia="fr-FR"/>
              </w:rPr>
              <w:t xml:space="preserve"> </w:t>
            </w:r>
            <w:r w:rsidRPr="0051176A">
              <w:rPr>
                <w:rFonts w:ascii="Arial" w:hAnsi="Arial" w:cs="Arial"/>
                <w:bCs/>
                <w:sz w:val="20"/>
                <w:lang w:val="fr-FR" w:eastAsia="fr-FR"/>
              </w:rPr>
              <w:t xml:space="preserve">personnes formées  </w:t>
            </w:r>
          </w:p>
        </w:tc>
        <w:tc>
          <w:tcPr>
            <w:tcW w:w="4230" w:type="dxa"/>
            <w:shd w:val="clear" w:color="auto" w:fill="auto"/>
          </w:tcPr>
          <w:p w14:paraId="2A0C4909" w14:textId="77777777" w:rsidR="00935395" w:rsidRPr="00AE2741" w:rsidRDefault="00935395" w:rsidP="00086C0F">
            <w:pPr>
              <w:jc w:val="both"/>
              <w:rPr>
                <w:rFonts w:ascii="Arial" w:hAnsi="Arial" w:cs="Arial"/>
                <w:bCs/>
                <w:sz w:val="20"/>
                <w:szCs w:val="20"/>
              </w:rPr>
            </w:pPr>
          </w:p>
        </w:tc>
        <w:tc>
          <w:tcPr>
            <w:tcW w:w="2880" w:type="dxa"/>
            <w:shd w:val="clear" w:color="auto" w:fill="auto"/>
          </w:tcPr>
          <w:p w14:paraId="345AB736" w14:textId="77777777" w:rsidR="00935395" w:rsidRPr="00AE2741" w:rsidRDefault="00935395" w:rsidP="00086C0F">
            <w:pPr>
              <w:jc w:val="both"/>
              <w:rPr>
                <w:rFonts w:ascii="Arial" w:hAnsi="Arial" w:cs="Arial"/>
                <w:bCs/>
                <w:sz w:val="20"/>
                <w:szCs w:val="20"/>
              </w:rPr>
            </w:pPr>
          </w:p>
          <w:p w14:paraId="17335D66" w14:textId="77777777" w:rsidR="00935395" w:rsidRPr="00AE2741" w:rsidRDefault="00935395" w:rsidP="00086C0F">
            <w:pPr>
              <w:jc w:val="both"/>
              <w:rPr>
                <w:rFonts w:ascii="Arial" w:hAnsi="Arial" w:cs="Arial"/>
                <w:bCs/>
                <w:sz w:val="20"/>
                <w:szCs w:val="20"/>
              </w:rPr>
            </w:pPr>
            <w:r w:rsidRPr="00AE2741">
              <w:rPr>
                <w:rFonts w:ascii="Arial" w:hAnsi="Arial" w:cs="Arial"/>
                <w:bCs/>
                <w:sz w:val="20"/>
                <w:szCs w:val="20"/>
              </w:rPr>
              <w:t>Rapports d’activités UNFPA</w:t>
            </w:r>
          </w:p>
        </w:tc>
      </w:tr>
    </w:tbl>
    <w:p w14:paraId="23C65AA1" w14:textId="77777777" w:rsidR="00A01350" w:rsidRPr="003201B5" w:rsidRDefault="00A01350" w:rsidP="00F11DAC">
      <w:pPr>
        <w:outlineLvl w:val="0"/>
        <w:rPr>
          <w:sz w:val="20"/>
          <w:szCs w:val="20"/>
        </w:rPr>
      </w:pPr>
    </w:p>
    <w:sectPr w:rsidR="00A01350" w:rsidRPr="003201B5" w:rsidSect="0063367C">
      <w:headerReference w:type="even" r:id="rId14"/>
      <w:footerReference w:type="default" r:id="rId15"/>
      <w:pgSz w:w="16838" w:h="11906" w:orient="landscape"/>
      <w:pgMar w:top="1134" w:right="1417"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4FCBAE" w15:done="0"/>
  <w15:commentEx w15:paraId="6F45C61F" w15:done="0"/>
  <w15:commentEx w15:paraId="62CE9376" w15:done="0"/>
  <w15:commentEx w15:paraId="29FC0DFB" w15:done="0"/>
  <w15:commentEx w15:paraId="45B1102E" w15:done="0"/>
  <w15:commentEx w15:paraId="34C67ED1" w15:done="0"/>
  <w15:commentEx w15:paraId="3DFBE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0E6E3" w14:textId="77777777" w:rsidR="0051102C" w:rsidRDefault="0051102C">
      <w:r>
        <w:separator/>
      </w:r>
    </w:p>
  </w:endnote>
  <w:endnote w:type="continuationSeparator" w:id="0">
    <w:p w14:paraId="7D55FA11" w14:textId="77777777" w:rsidR="0051102C" w:rsidRDefault="0051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D5D19" w14:textId="77777777" w:rsidR="005326BC" w:rsidRDefault="005326BC"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end"/>
    </w:r>
  </w:p>
  <w:p w14:paraId="05693D49" w14:textId="77777777" w:rsidR="005326BC" w:rsidRDefault="005326BC" w:rsidP="00A540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66A2" w14:textId="77777777" w:rsidR="005326BC" w:rsidRDefault="005326BC" w:rsidP="00A54051">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75713C">
      <w:rPr>
        <w:rStyle w:val="PageNumber"/>
        <w:rFonts w:cs="Tahoma"/>
        <w:noProof/>
      </w:rPr>
      <w:t>6</w:t>
    </w:r>
    <w:r>
      <w:rPr>
        <w:rStyle w:val="PageNumber"/>
        <w:rFonts w:cs="Tahoma"/>
      </w:rPr>
      <w:fldChar w:fldCharType="end"/>
    </w:r>
  </w:p>
  <w:p w14:paraId="3E7B520F" w14:textId="77777777" w:rsidR="005326BC" w:rsidRDefault="005326BC" w:rsidP="00A540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986B5" w14:textId="77777777" w:rsidR="005326BC" w:rsidRDefault="005326BC" w:rsidP="00F11DAC">
    <w:pPr>
      <w:pStyle w:val="Footer"/>
      <w:framePr w:wrap="around"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75713C">
      <w:rPr>
        <w:rStyle w:val="PageNumber"/>
        <w:rFonts w:cs="Tahoma"/>
        <w:noProof/>
      </w:rPr>
      <w:t>8</w:t>
    </w:r>
    <w:r>
      <w:rPr>
        <w:rStyle w:val="PageNumber"/>
        <w:rFonts w:cs="Tahoma"/>
      </w:rPr>
      <w:fldChar w:fldCharType="end"/>
    </w:r>
  </w:p>
  <w:p w14:paraId="1801B070" w14:textId="77777777" w:rsidR="005326BC" w:rsidRDefault="00532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01C1D" w14:textId="77777777" w:rsidR="0051102C" w:rsidRDefault="0051102C">
      <w:r>
        <w:separator/>
      </w:r>
    </w:p>
  </w:footnote>
  <w:footnote w:type="continuationSeparator" w:id="0">
    <w:p w14:paraId="77530CC7" w14:textId="77777777" w:rsidR="0051102C" w:rsidRDefault="0051102C">
      <w:r>
        <w:continuationSeparator/>
      </w:r>
    </w:p>
  </w:footnote>
  <w:footnote w:id="1">
    <w:p w14:paraId="62773EC6" w14:textId="33AEE2EA" w:rsidR="005375DA" w:rsidRPr="00140757" w:rsidRDefault="005375DA">
      <w:pPr>
        <w:pStyle w:val="FootnoteText"/>
        <w:rPr>
          <w:lang w:val="fr-FR"/>
        </w:rPr>
      </w:pPr>
      <w:r>
        <w:rPr>
          <w:rStyle w:val="FootnoteReference"/>
        </w:rPr>
        <w:footnoteRef/>
      </w:r>
      <w:r w:rsidRPr="0075713C">
        <w:rPr>
          <w:lang w:val="fr-FR"/>
        </w:rPr>
        <w:t xml:space="preserve"> </w:t>
      </w:r>
      <w:r>
        <w:rPr>
          <w:lang w:val="fr-FR"/>
        </w:rPr>
        <w:t>Chiffres de cas de VBG du premier semestre 2014 non disponibles à la date de rédaction du présent rapport.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71F3D" w14:textId="77777777" w:rsidR="005326BC" w:rsidRDefault="005326BC" w:rsidP="00EC1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A64CC4" w14:textId="77777777" w:rsidR="005326BC" w:rsidRDefault="00532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A65"/>
    <w:multiLevelType w:val="hybridMultilevel"/>
    <w:tmpl w:val="F6A4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70562C4"/>
    <w:multiLevelType w:val="hybridMultilevel"/>
    <w:tmpl w:val="DD86D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31043"/>
    <w:multiLevelType w:val="hybridMultilevel"/>
    <w:tmpl w:val="2260458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F05E7"/>
    <w:multiLevelType w:val="hybridMultilevel"/>
    <w:tmpl w:val="1E26FCA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9E6FBA"/>
    <w:multiLevelType w:val="hybridMultilevel"/>
    <w:tmpl w:val="24CCFFF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3E23D8"/>
    <w:multiLevelType w:val="hybridMultilevel"/>
    <w:tmpl w:val="8E0E3D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ED7BDA"/>
    <w:multiLevelType w:val="hybridMultilevel"/>
    <w:tmpl w:val="91503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9729FF"/>
    <w:multiLevelType w:val="hybridMultilevel"/>
    <w:tmpl w:val="B884434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DB0D0A"/>
    <w:multiLevelType w:val="hybridMultilevel"/>
    <w:tmpl w:val="0D20C32E"/>
    <w:lvl w:ilvl="0" w:tplc="DCECE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45830"/>
    <w:multiLevelType w:val="hybridMultilevel"/>
    <w:tmpl w:val="081EEA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13946"/>
    <w:multiLevelType w:val="multilevel"/>
    <w:tmpl w:val="469ACEB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BF6855"/>
    <w:multiLevelType w:val="multilevel"/>
    <w:tmpl w:val="9BDA93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8142524"/>
    <w:multiLevelType w:val="hybridMultilevel"/>
    <w:tmpl w:val="39725808"/>
    <w:lvl w:ilvl="0" w:tplc="AEC2C6EE">
      <w:start w:val="3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F642D7"/>
    <w:multiLevelType w:val="hybridMultilevel"/>
    <w:tmpl w:val="1DD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91DD8"/>
    <w:multiLevelType w:val="multilevel"/>
    <w:tmpl w:val="9BDA93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7AD0516"/>
    <w:multiLevelType w:val="hybridMultilevel"/>
    <w:tmpl w:val="7D5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1"/>
  </w:num>
  <w:num w:numId="5">
    <w:abstractNumId w:val="14"/>
  </w:num>
  <w:num w:numId="6">
    <w:abstractNumId w:val="11"/>
  </w:num>
  <w:num w:numId="7">
    <w:abstractNumId w:val="9"/>
  </w:num>
  <w:num w:numId="8">
    <w:abstractNumId w:val="13"/>
  </w:num>
  <w:num w:numId="9">
    <w:abstractNumId w:val="17"/>
  </w:num>
  <w:num w:numId="10">
    <w:abstractNumId w:val="15"/>
  </w:num>
  <w:num w:numId="11">
    <w:abstractNumId w:val="4"/>
  </w:num>
  <w:num w:numId="12">
    <w:abstractNumId w:val="8"/>
  </w:num>
  <w:num w:numId="13">
    <w:abstractNumId w:val="5"/>
  </w:num>
  <w:num w:numId="14">
    <w:abstractNumId w:val="3"/>
  </w:num>
  <w:num w:numId="15">
    <w:abstractNumId w:val="12"/>
  </w:num>
  <w:num w:numId="16">
    <w:abstractNumId w:val="2"/>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E4"/>
    <w:rsid w:val="00000B40"/>
    <w:rsid w:val="00001E49"/>
    <w:rsid w:val="00003415"/>
    <w:rsid w:val="00004401"/>
    <w:rsid w:val="0000600A"/>
    <w:rsid w:val="00006A67"/>
    <w:rsid w:val="00006D54"/>
    <w:rsid w:val="00007B30"/>
    <w:rsid w:val="00007BC1"/>
    <w:rsid w:val="000116C1"/>
    <w:rsid w:val="0001585B"/>
    <w:rsid w:val="00015C58"/>
    <w:rsid w:val="000164AE"/>
    <w:rsid w:val="00022522"/>
    <w:rsid w:val="00022ACB"/>
    <w:rsid w:val="000234F4"/>
    <w:rsid w:val="000256FA"/>
    <w:rsid w:val="00026454"/>
    <w:rsid w:val="000314C3"/>
    <w:rsid w:val="00031555"/>
    <w:rsid w:val="0003210A"/>
    <w:rsid w:val="00033959"/>
    <w:rsid w:val="00036291"/>
    <w:rsid w:val="00036E35"/>
    <w:rsid w:val="000440E9"/>
    <w:rsid w:val="00044194"/>
    <w:rsid w:val="000445F1"/>
    <w:rsid w:val="00044EF4"/>
    <w:rsid w:val="0004701E"/>
    <w:rsid w:val="00047A98"/>
    <w:rsid w:val="00050376"/>
    <w:rsid w:val="00051516"/>
    <w:rsid w:val="00051E3A"/>
    <w:rsid w:val="00054DCB"/>
    <w:rsid w:val="00055CA5"/>
    <w:rsid w:val="00060B1F"/>
    <w:rsid w:val="00064103"/>
    <w:rsid w:val="000646FF"/>
    <w:rsid w:val="00065738"/>
    <w:rsid w:val="000665EF"/>
    <w:rsid w:val="000674E5"/>
    <w:rsid w:val="0006769A"/>
    <w:rsid w:val="00067E99"/>
    <w:rsid w:val="00070673"/>
    <w:rsid w:val="000706E5"/>
    <w:rsid w:val="00071863"/>
    <w:rsid w:val="0007217D"/>
    <w:rsid w:val="00075754"/>
    <w:rsid w:val="00075E09"/>
    <w:rsid w:val="00076233"/>
    <w:rsid w:val="00076F81"/>
    <w:rsid w:val="000815B9"/>
    <w:rsid w:val="00083FC2"/>
    <w:rsid w:val="00086C0F"/>
    <w:rsid w:val="000909BE"/>
    <w:rsid w:val="00091616"/>
    <w:rsid w:val="000949C9"/>
    <w:rsid w:val="000950B7"/>
    <w:rsid w:val="00095688"/>
    <w:rsid w:val="000961B9"/>
    <w:rsid w:val="000A14A2"/>
    <w:rsid w:val="000A214A"/>
    <w:rsid w:val="000A21E7"/>
    <w:rsid w:val="000A483D"/>
    <w:rsid w:val="000B08F7"/>
    <w:rsid w:val="000B1923"/>
    <w:rsid w:val="000B3020"/>
    <w:rsid w:val="000B4388"/>
    <w:rsid w:val="000B79F8"/>
    <w:rsid w:val="000B7AFA"/>
    <w:rsid w:val="000C1E2D"/>
    <w:rsid w:val="000C663B"/>
    <w:rsid w:val="000D3582"/>
    <w:rsid w:val="000D5162"/>
    <w:rsid w:val="000D637F"/>
    <w:rsid w:val="000D6F3F"/>
    <w:rsid w:val="000D7806"/>
    <w:rsid w:val="000E20A9"/>
    <w:rsid w:val="000E20E0"/>
    <w:rsid w:val="000E222E"/>
    <w:rsid w:val="000E2244"/>
    <w:rsid w:val="000E291E"/>
    <w:rsid w:val="000E4422"/>
    <w:rsid w:val="000E5282"/>
    <w:rsid w:val="000E56D7"/>
    <w:rsid w:val="000E7CC1"/>
    <w:rsid w:val="000E7FB6"/>
    <w:rsid w:val="000F04C6"/>
    <w:rsid w:val="000F17B2"/>
    <w:rsid w:val="000F2AC9"/>
    <w:rsid w:val="000F3A75"/>
    <w:rsid w:val="000F53FF"/>
    <w:rsid w:val="001055FE"/>
    <w:rsid w:val="00105995"/>
    <w:rsid w:val="001079CC"/>
    <w:rsid w:val="00110DDD"/>
    <w:rsid w:val="00111C9C"/>
    <w:rsid w:val="00112D95"/>
    <w:rsid w:val="0011440F"/>
    <w:rsid w:val="0011559A"/>
    <w:rsid w:val="00116120"/>
    <w:rsid w:val="001169F1"/>
    <w:rsid w:val="00120BD8"/>
    <w:rsid w:val="00122DC1"/>
    <w:rsid w:val="0012466B"/>
    <w:rsid w:val="001303DF"/>
    <w:rsid w:val="00131EE4"/>
    <w:rsid w:val="00132CB9"/>
    <w:rsid w:val="00133BD3"/>
    <w:rsid w:val="001377E8"/>
    <w:rsid w:val="0014011C"/>
    <w:rsid w:val="00140706"/>
    <w:rsid w:val="00140757"/>
    <w:rsid w:val="001473C0"/>
    <w:rsid w:val="001519D1"/>
    <w:rsid w:val="00151F6F"/>
    <w:rsid w:val="00152115"/>
    <w:rsid w:val="00152378"/>
    <w:rsid w:val="001527E8"/>
    <w:rsid w:val="00152E92"/>
    <w:rsid w:val="00153116"/>
    <w:rsid w:val="00154290"/>
    <w:rsid w:val="001576EA"/>
    <w:rsid w:val="001607BA"/>
    <w:rsid w:val="00163695"/>
    <w:rsid w:val="001662E1"/>
    <w:rsid w:val="001700D9"/>
    <w:rsid w:val="00170556"/>
    <w:rsid w:val="00171F6E"/>
    <w:rsid w:val="00172EA3"/>
    <w:rsid w:val="00173E5B"/>
    <w:rsid w:val="0017581B"/>
    <w:rsid w:val="00177B1B"/>
    <w:rsid w:val="001822CA"/>
    <w:rsid w:val="001836FF"/>
    <w:rsid w:val="00184AD1"/>
    <w:rsid w:val="00184B1C"/>
    <w:rsid w:val="00192C0F"/>
    <w:rsid w:val="001A13CE"/>
    <w:rsid w:val="001A222A"/>
    <w:rsid w:val="001A37C9"/>
    <w:rsid w:val="001A43F0"/>
    <w:rsid w:val="001A5E0B"/>
    <w:rsid w:val="001A6CBC"/>
    <w:rsid w:val="001B4C6F"/>
    <w:rsid w:val="001B67A1"/>
    <w:rsid w:val="001C171D"/>
    <w:rsid w:val="001C3D48"/>
    <w:rsid w:val="001C6983"/>
    <w:rsid w:val="001D1819"/>
    <w:rsid w:val="001D280D"/>
    <w:rsid w:val="001D2AAC"/>
    <w:rsid w:val="001E4DCF"/>
    <w:rsid w:val="001E5296"/>
    <w:rsid w:val="001E5490"/>
    <w:rsid w:val="001E79E5"/>
    <w:rsid w:val="001F0026"/>
    <w:rsid w:val="001F269E"/>
    <w:rsid w:val="001F33F1"/>
    <w:rsid w:val="001F40E3"/>
    <w:rsid w:val="001F47E7"/>
    <w:rsid w:val="001F6F2F"/>
    <w:rsid w:val="001F7829"/>
    <w:rsid w:val="001F7C1C"/>
    <w:rsid w:val="00202126"/>
    <w:rsid w:val="002036CC"/>
    <w:rsid w:val="00203C63"/>
    <w:rsid w:val="002077B6"/>
    <w:rsid w:val="0021092C"/>
    <w:rsid w:val="002139A1"/>
    <w:rsid w:val="00216361"/>
    <w:rsid w:val="002167F3"/>
    <w:rsid w:val="0021731C"/>
    <w:rsid w:val="002233CB"/>
    <w:rsid w:val="0022562F"/>
    <w:rsid w:val="0022642C"/>
    <w:rsid w:val="002267FF"/>
    <w:rsid w:val="00231319"/>
    <w:rsid w:val="00231E0F"/>
    <w:rsid w:val="00231E45"/>
    <w:rsid w:val="00240103"/>
    <w:rsid w:val="00240E17"/>
    <w:rsid w:val="00241E68"/>
    <w:rsid w:val="0024221A"/>
    <w:rsid w:val="00243BD4"/>
    <w:rsid w:val="0024567C"/>
    <w:rsid w:val="00246D67"/>
    <w:rsid w:val="0024716E"/>
    <w:rsid w:val="00247557"/>
    <w:rsid w:val="0025103B"/>
    <w:rsid w:val="002518FB"/>
    <w:rsid w:val="00252830"/>
    <w:rsid w:val="002534D1"/>
    <w:rsid w:val="00253822"/>
    <w:rsid w:val="00253B25"/>
    <w:rsid w:val="00257F89"/>
    <w:rsid w:val="0026324A"/>
    <w:rsid w:val="0027031A"/>
    <w:rsid w:val="002715AD"/>
    <w:rsid w:val="00272907"/>
    <w:rsid w:val="00272BDB"/>
    <w:rsid w:val="0027398B"/>
    <w:rsid w:val="00275D16"/>
    <w:rsid w:val="0028032D"/>
    <w:rsid w:val="002811DE"/>
    <w:rsid w:val="00282180"/>
    <w:rsid w:val="002828C1"/>
    <w:rsid w:val="00283362"/>
    <w:rsid w:val="00287829"/>
    <w:rsid w:val="00293B3A"/>
    <w:rsid w:val="00294791"/>
    <w:rsid w:val="0029559C"/>
    <w:rsid w:val="0029694B"/>
    <w:rsid w:val="00297385"/>
    <w:rsid w:val="00297516"/>
    <w:rsid w:val="002A4481"/>
    <w:rsid w:val="002A4982"/>
    <w:rsid w:val="002B056D"/>
    <w:rsid w:val="002B0660"/>
    <w:rsid w:val="002B1876"/>
    <w:rsid w:val="002B222B"/>
    <w:rsid w:val="002B31EF"/>
    <w:rsid w:val="002B32E5"/>
    <w:rsid w:val="002C20F1"/>
    <w:rsid w:val="002C5958"/>
    <w:rsid w:val="002C6D27"/>
    <w:rsid w:val="002C73D4"/>
    <w:rsid w:val="002D105C"/>
    <w:rsid w:val="002D1712"/>
    <w:rsid w:val="002D359A"/>
    <w:rsid w:val="002D3F09"/>
    <w:rsid w:val="002D4116"/>
    <w:rsid w:val="002D5DF4"/>
    <w:rsid w:val="002D631D"/>
    <w:rsid w:val="002D7970"/>
    <w:rsid w:val="002D7D73"/>
    <w:rsid w:val="002E0C2B"/>
    <w:rsid w:val="002E5AE5"/>
    <w:rsid w:val="002F17D3"/>
    <w:rsid w:val="002F29D9"/>
    <w:rsid w:val="002F672E"/>
    <w:rsid w:val="002F69C6"/>
    <w:rsid w:val="002F6F9A"/>
    <w:rsid w:val="0030076E"/>
    <w:rsid w:val="003029D7"/>
    <w:rsid w:val="00302A7B"/>
    <w:rsid w:val="00304929"/>
    <w:rsid w:val="00304C5E"/>
    <w:rsid w:val="003056C7"/>
    <w:rsid w:val="00310519"/>
    <w:rsid w:val="00310E18"/>
    <w:rsid w:val="003153D6"/>
    <w:rsid w:val="00316BDB"/>
    <w:rsid w:val="00317C09"/>
    <w:rsid w:val="00317EDC"/>
    <w:rsid w:val="003201B5"/>
    <w:rsid w:val="003236F5"/>
    <w:rsid w:val="00325B11"/>
    <w:rsid w:val="00332795"/>
    <w:rsid w:val="00332F6C"/>
    <w:rsid w:val="003344F4"/>
    <w:rsid w:val="00340729"/>
    <w:rsid w:val="0034096A"/>
    <w:rsid w:val="003411B4"/>
    <w:rsid w:val="003423D0"/>
    <w:rsid w:val="00342CAC"/>
    <w:rsid w:val="00343FB0"/>
    <w:rsid w:val="00345956"/>
    <w:rsid w:val="00347C55"/>
    <w:rsid w:val="00347FBC"/>
    <w:rsid w:val="00351BF9"/>
    <w:rsid w:val="00351DC5"/>
    <w:rsid w:val="00352446"/>
    <w:rsid w:val="00354BF1"/>
    <w:rsid w:val="0035519D"/>
    <w:rsid w:val="00362F26"/>
    <w:rsid w:val="00370882"/>
    <w:rsid w:val="003717E7"/>
    <w:rsid w:val="0037226B"/>
    <w:rsid w:val="0037263B"/>
    <w:rsid w:val="00373CAF"/>
    <w:rsid w:val="00374251"/>
    <w:rsid w:val="00382990"/>
    <w:rsid w:val="00384C8C"/>
    <w:rsid w:val="0038672F"/>
    <w:rsid w:val="00390043"/>
    <w:rsid w:val="003917BB"/>
    <w:rsid w:val="00391CBF"/>
    <w:rsid w:val="003976B5"/>
    <w:rsid w:val="003A069A"/>
    <w:rsid w:val="003A4E7F"/>
    <w:rsid w:val="003B0A11"/>
    <w:rsid w:val="003B3457"/>
    <w:rsid w:val="003B5289"/>
    <w:rsid w:val="003C3526"/>
    <w:rsid w:val="003C377A"/>
    <w:rsid w:val="003C40C4"/>
    <w:rsid w:val="003C4DF5"/>
    <w:rsid w:val="003C5543"/>
    <w:rsid w:val="003D1A08"/>
    <w:rsid w:val="003D1AA7"/>
    <w:rsid w:val="003D50C7"/>
    <w:rsid w:val="003E122D"/>
    <w:rsid w:val="003E2EE9"/>
    <w:rsid w:val="003E4838"/>
    <w:rsid w:val="003E791B"/>
    <w:rsid w:val="003E7E5E"/>
    <w:rsid w:val="003F01A8"/>
    <w:rsid w:val="003F17F5"/>
    <w:rsid w:val="003F3DA5"/>
    <w:rsid w:val="004021CB"/>
    <w:rsid w:val="004025CC"/>
    <w:rsid w:val="0040574D"/>
    <w:rsid w:val="00406858"/>
    <w:rsid w:val="004154D6"/>
    <w:rsid w:val="00415EFE"/>
    <w:rsid w:val="0042137C"/>
    <w:rsid w:val="00425304"/>
    <w:rsid w:val="00425664"/>
    <w:rsid w:val="004259C7"/>
    <w:rsid w:val="00433561"/>
    <w:rsid w:val="00435D0C"/>
    <w:rsid w:val="00437CA3"/>
    <w:rsid w:val="00440713"/>
    <w:rsid w:val="00443DB4"/>
    <w:rsid w:val="0044507A"/>
    <w:rsid w:val="00445B9D"/>
    <w:rsid w:val="00450B6E"/>
    <w:rsid w:val="00450BB2"/>
    <w:rsid w:val="00450F6C"/>
    <w:rsid w:val="00451B93"/>
    <w:rsid w:val="00461426"/>
    <w:rsid w:val="00461D96"/>
    <w:rsid w:val="00462138"/>
    <w:rsid w:val="004638D6"/>
    <w:rsid w:val="00463A57"/>
    <w:rsid w:val="00465A60"/>
    <w:rsid w:val="00465F7A"/>
    <w:rsid w:val="004677BE"/>
    <w:rsid w:val="0047050A"/>
    <w:rsid w:val="00471A2D"/>
    <w:rsid w:val="0047349D"/>
    <w:rsid w:val="00473B43"/>
    <w:rsid w:val="004748F0"/>
    <w:rsid w:val="00474A01"/>
    <w:rsid w:val="00474E09"/>
    <w:rsid w:val="00475EC5"/>
    <w:rsid w:val="004801A7"/>
    <w:rsid w:val="004855DB"/>
    <w:rsid w:val="00486F63"/>
    <w:rsid w:val="0048739A"/>
    <w:rsid w:val="0049081F"/>
    <w:rsid w:val="004925FD"/>
    <w:rsid w:val="004958E3"/>
    <w:rsid w:val="004A357E"/>
    <w:rsid w:val="004A44E3"/>
    <w:rsid w:val="004A5EDB"/>
    <w:rsid w:val="004A760C"/>
    <w:rsid w:val="004B68F6"/>
    <w:rsid w:val="004B708D"/>
    <w:rsid w:val="004B7EBF"/>
    <w:rsid w:val="004C210D"/>
    <w:rsid w:val="004D365F"/>
    <w:rsid w:val="004D445C"/>
    <w:rsid w:val="004D4C2B"/>
    <w:rsid w:val="004D5E5E"/>
    <w:rsid w:val="004E3C1D"/>
    <w:rsid w:val="004E4157"/>
    <w:rsid w:val="004E6DDD"/>
    <w:rsid w:val="004F41DA"/>
    <w:rsid w:val="004F42A0"/>
    <w:rsid w:val="004F4458"/>
    <w:rsid w:val="004F5437"/>
    <w:rsid w:val="004F5C76"/>
    <w:rsid w:val="004F6F83"/>
    <w:rsid w:val="004F7992"/>
    <w:rsid w:val="00500C18"/>
    <w:rsid w:val="00500C8A"/>
    <w:rsid w:val="005039F1"/>
    <w:rsid w:val="00506BB3"/>
    <w:rsid w:val="005070D8"/>
    <w:rsid w:val="0051102C"/>
    <w:rsid w:val="0051171E"/>
    <w:rsid w:val="0051176A"/>
    <w:rsid w:val="00511EF1"/>
    <w:rsid w:val="005161F9"/>
    <w:rsid w:val="00517642"/>
    <w:rsid w:val="00517BFC"/>
    <w:rsid w:val="005206D6"/>
    <w:rsid w:val="0052365C"/>
    <w:rsid w:val="00526AC9"/>
    <w:rsid w:val="00527264"/>
    <w:rsid w:val="00527731"/>
    <w:rsid w:val="0053054F"/>
    <w:rsid w:val="00530B10"/>
    <w:rsid w:val="00531198"/>
    <w:rsid w:val="005326BC"/>
    <w:rsid w:val="005327CC"/>
    <w:rsid w:val="00532CBB"/>
    <w:rsid w:val="00533FFB"/>
    <w:rsid w:val="00537241"/>
    <w:rsid w:val="005375DA"/>
    <w:rsid w:val="00537D9F"/>
    <w:rsid w:val="00542F21"/>
    <w:rsid w:val="005440CA"/>
    <w:rsid w:val="005501B5"/>
    <w:rsid w:val="005511BA"/>
    <w:rsid w:val="00553721"/>
    <w:rsid w:val="005562ED"/>
    <w:rsid w:val="00557073"/>
    <w:rsid w:val="00557348"/>
    <w:rsid w:val="0056097D"/>
    <w:rsid w:val="005642EE"/>
    <w:rsid w:val="0056460A"/>
    <w:rsid w:val="005675A0"/>
    <w:rsid w:val="00567F17"/>
    <w:rsid w:val="00573D5E"/>
    <w:rsid w:val="005752B6"/>
    <w:rsid w:val="0057645D"/>
    <w:rsid w:val="005805D6"/>
    <w:rsid w:val="00580626"/>
    <w:rsid w:val="0058079E"/>
    <w:rsid w:val="005809F9"/>
    <w:rsid w:val="00580D38"/>
    <w:rsid w:val="00582B7A"/>
    <w:rsid w:val="00585B55"/>
    <w:rsid w:val="00587925"/>
    <w:rsid w:val="005901F5"/>
    <w:rsid w:val="005A085D"/>
    <w:rsid w:val="005A0912"/>
    <w:rsid w:val="005A110A"/>
    <w:rsid w:val="005A25C8"/>
    <w:rsid w:val="005A2963"/>
    <w:rsid w:val="005A4AE8"/>
    <w:rsid w:val="005A4E98"/>
    <w:rsid w:val="005A4F7C"/>
    <w:rsid w:val="005A55C8"/>
    <w:rsid w:val="005A7566"/>
    <w:rsid w:val="005B053A"/>
    <w:rsid w:val="005B2CC8"/>
    <w:rsid w:val="005B7EEA"/>
    <w:rsid w:val="005C00DE"/>
    <w:rsid w:val="005C37E3"/>
    <w:rsid w:val="005C64E6"/>
    <w:rsid w:val="005C661D"/>
    <w:rsid w:val="005C7355"/>
    <w:rsid w:val="005C73A2"/>
    <w:rsid w:val="005C7AFA"/>
    <w:rsid w:val="005D0DF3"/>
    <w:rsid w:val="005D2620"/>
    <w:rsid w:val="005D42D6"/>
    <w:rsid w:val="005D6AF3"/>
    <w:rsid w:val="005D6E70"/>
    <w:rsid w:val="005E1A95"/>
    <w:rsid w:val="005E2839"/>
    <w:rsid w:val="005E7678"/>
    <w:rsid w:val="005F26F8"/>
    <w:rsid w:val="005F408F"/>
    <w:rsid w:val="005F5182"/>
    <w:rsid w:val="005F52EC"/>
    <w:rsid w:val="00601040"/>
    <w:rsid w:val="00601804"/>
    <w:rsid w:val="0060279C"/>
    <w:rsid w:val="00603A46"/>
    <w:rsid w:val="00607912"/>
    <w:rsid w:val="0061159E"/>
    <w:rsid w:val="00611BD1"/>
    <w:rsid w:val="00611DE4"/>
    <w:rsid w:val="006132F7"/>
    <w:rsid w:val="00613450"/>
    <w:rsid w:val="006149E7"/>
    <w:rsid w:val="00616DE0"/>
    <w:rsid w:val="00622157"/>
    <w:rsid w:val="00622814"/>
    <w:rsid w:val="00623F06"/>
    <w:rsid w:val="00625E7A"/>
    <w:rsid w:val="00627724"/>
    <w:rsid w:val="00627A59"/>
    <w:rsid w:val="006329C7"/>
    <w:rsid w:val="0063367C"/>
    <w:rsid w:val="00637CE9"/>
    <w:rsid w:val="00643882"/>
    <w:rsid w:val="00643DBE"/>
    <w:rsid w:val="00645321"/>
    <w:rsid w:val="00645394"/>
    <w:rsid w:val="00650E0E"/>
    <w:rsid w:val="0065640A"/>
    <w:rsid w:val="00656AC7"/>
    <w:rsid w:val="00660657"/>
    <w:rsid w:val="0066211F"/>
    <w:rsid w:val="00663FC1"/>
    <w:rsid w:val="00667123"/>
    <w:rsid w:val="00667365"/>
    <w:rsid w:val="00673BC8"/>
    <w:rsid w:val="0067496B"/>
    <w:rsid w:val="00676026"/>
    <w:rsid w:val="00677142"/>
    <w:rsid w:val="00680CD8"/>
    <w:rsid w:val="0068295C"/>
    <w:rsid w:val="006908A9"/>
    <w:rsid w:val="00690D2A"/>
    <w:rsid w:val="00690DE0"/>
    <w:rsid w:val="00691A52"/>
    <w:rsid w:val="006942CF"/>
    <w:rsid w:val="006944F3"/>
    <w:rsid w:val="00694A8D"/>
    <w:rsid w:val="0069546A"/>
    <w:rsid w:val="006A1C9C"/>
    <w:rsid w:val="006A259B"/>
    <w:rsid w:val="006A599A"/>
    <w:rsid w:val="006B2089"/>
    <w:rsid w:val="006B2124"/>
    <w:rsid w:val="006B301D"/>
    <w:rsid w:val="006B3AC1"/>
    <w:rsid w:val="006B4A98"/>
    <w:rsid w:val="006B5076"/>
    <w:rsid w:val="006B58EB"/>
    <w:rsid w:val="006B5D15"/>
    <w:rsid w:val="006B605D"/>
    <w:rsid w:val="006B7E2D"/>
    <w:rsid w:val="006C1F0A"/>
    <w:rsid w:val="006C3F9B"/>
    <w:rsid w:val="006C59A7"/>
    <w:rsid w:val="006C6313"/>
    <w:rsid w:val="006C7E2F"/>
    <w:rsid w:val="006C7FBC"/>
    <w:rsid w:val="006D13E5"/>
    <w:rsid w:val="006D73C0"/>
    <w:rsid w:val="006E014B"/>
    <w:rsid w:val="006E1149"/>
    <w:rsid w:val="006E1D9C"/>
    <w:rsid w:val="006E3923"/>
    <w:rsid w:val="006E4B4B"/>
    <w:rsid w:val="006E553E"/>
    <w:rsid w:val="006E7EC7"/>
    <w:rsid w:val="006F2564"/>
    <w:rsid w:val="006F25E2"/>
    <w:rsid w:val="006F262D"/>
    <w:rsid w:val="006F351D"/>
    <w:rsid w:val="006F626D"/>
    <w:rsid w:val="006F7F13"/>
    <w:rsid w:val="00700EBF"/>
    <w:rsid w:val="007024F9"/>
    <w:rsid w:val="00702CEF"/>
    <w:rsid w:val="0070326C"/>
    <w:rsid w:val="0071087B"/>
    <w:rsid w:val="00712214"/>
    <w:rsid w:val="0071258C"/>
    <w:rsid w:val="007140CB"/>
    <w:rsid w:val="00714C76"/>
    <w:rsid w:val="00715A52"/>
    <w:rsid w:val="00715D10"/>
    <w:rsid w:val="00715D98"/>
    <w:rsid w:val="00716A5B"/>
    <w:rsid w:val="00716F13"/>
    <w:rsid w:val="007244B1"/>
    <w:rsid w:val="0072545E"/>
    <w:rsid w:val="0072690D"/>
    <w:rsid w:val="007300F6"/>
    <w:rsid w:val="00730F04"/>
    <w:rsid w:val="0073108D"/>
    <w:rsid w:val="00731564"/>
    <w:rsid w:val="0073224A"/>
    <w:rsid w:val="007335B1"/>
    <w:rsid w:val="00737024"/>
    <w:rsid w:val="007416DD"/>
    <w:rsid w:val="00741F65"/>
    <w:rsid w:val="00742904"/>
    <w:rsid w:val="00744768"/>
    <w:rsid w:val="00745FC8"/>
    <w:rsid w:val="007461D0"/>
    <w:rsid w:val="00746BA2"/>
    <w:rsid w:val="00750CAC"/>
    <w:rsid w:val="00752660"/>
    <w:rsid w:val="00753C6A"/>
    <w:rsid w:val="0075558F"/>
    <w:rsid w:val="00755737"/>
    <w:rsid w:val="00756D2F"/>
    <w:rsid w:val="00756D7C"/>
    <w:rsid w:val="0075713C"/>
    <w:rsid w:val="007573FA"/>
    <w:rsid w:val="00760368"/>
    <w:rsid w:val="00761EDA"/>
    <w:rsid w:val="00764328"/>
    <w:rsid w:val="00764709"/>
    <w:rsid w:val="00765695"/>
    <w:rsid w:val="00766CF9"/>
    <w:rsid w:val="00770115"/>
    <w:rsid w:val="00770526"/>
    <w:rsid w:val="00770B2D"/>
    <w:rsid w:val="00771E3E"/>
    <w:rsid w:val="00777DAD"/>
    <w:rsid w:val="007817A1"/>
    <w:rsid w:val="0078215C"/>
    <w:rsid w:val="00784BB6"/>
    <w:rsid w:val="00784F14"/>
    <w:rsid w:val="00785B5F"/>
    <w:rsid w:val="00785C6C"/>
    <w:rsid w:val="00785CD3"/>
    <w:rsid w:val="00787D3C"/>
    <w:rsid w:val="00787D76"/>
    <w:rsid w:val="0079095F"/>
    <w:rsid w:val="00791B47"/>
    <w:rsid w:val="00793A5E"/>
    <w:rsid w:val="007A43DF"/>
    <w:rsid w:val="007A4F00"/>
    <w:rsid w:val="007B051D"/>
    <w:rsid w:val="007B1131"/>
    <w:rsid w:val="007B3CA7"/>
    <w:rsid w:val="007B3F01"/>
    <w:rsid w:val="007B565A"/>
    <w:rsid w:val="007B635C"/>
    <w:rsid w:val="007C3D5B"/>
    <w:rsid w:val="007D3C16"/>
    <w:rsid w:val="007D43C7"/>
    <w:rsid w:val="007D4575"/>
    <w:rsid w:val="007E012B"/>
    <w:rsid w:val="007E04CD"/>
    <w:rsid w:val="007E247B"/>
    <w:rsid w:val="007E2D5C"/>
    <w:rsid w:val="007E46CA"/>
    <w:rsid w:val="007E62A4"/>
    <w:rsid w:val="007E6CA7"/>
    <w:rsid w:val="007F0357"/>
    <w:rsid w:val="007F15B7"/>
    <w:rsid w:val="007F1ED2"/>
    <w:rsid w:val="007F2932"/>
    <w:rsid w:val="007F4334"/>
    <w:rsid w:val="007F4F3B"/>
    <w:rsid w:val="007F4FE9"/>
    <w:rsid w:val="007F517F"/>
    <w:rsid w:val="007F5BFE"/>
    <w:rsid w:val="007F63E3"/>
    <w:rsid w:val="00801D86"/>
    <w:rsid w:val="00802856"/>
    <w:rsid w:val="00802E6F"/>
    <w:rsid w:val="00803746"/>
    <w:rsid w:val="00803F5A"/>
    <w:rsid w:val="008041E4"/>
    <w:rsid w:val="00806D23"/>
    <w:rsid w:val="0081222C"/>
    <w:rsid w:val="00814DCC"/>
    <w:rsid w:val="0081739C"/>
    <w:rsid w:val="00820564"/>
    <w:rsid w:val="00823C02"/>
    <w:rsid w:val="00823CA4"/>
    <w:rsid w:val="00827568"/>
    <w:rsid w:val="00827FA1"/>
    <w:rsid w:val="008301FA"/>
    <w:rsid w:val="00830E72"/>
    <w:rsid w:val="00831E8E"/>
    <w:rsid w:val="00833289"/>
    <w:rsid w:val="00833C9B"/>
    <w:rsid w:val="008541D9"/>
    <w:rsid w:val="0086516A"/>
    <w:rsid w:val="008671CB"/>
    <w:rsid w:val="008671F8"/>
    <w:rsid w:val="008674C0"/>
    <w:rsid w:val="0087190C"/>
    <w:rsid w:val="008728B9"/>
    <w:rsid w:val="008735CC"/>
    <w:rsid w:val="00873FA0"/>
    <w:rsid w:val="008740B7"/>
    <w:rsid w:val="00876B94"/>
    <w:rsid w:val="00880C23"/>
    <w:rsid w:val="00881E8E"/>
    <w:rsid w:val="008828A4"/>
    <w:rsid w:val="008836A5"/>
    <w:rsid w:val="008836CD"/>
    <w:rsid w:val="00890EED"/>
    <w:rsid w:val="00895424"/>
    <w:rsid w:val="00896457"/>
    <w:rsid w:val="00896D16"/>
    <w:rsid w:val="00897798"/>
    <w:rsid w:val="008A66FC"/>
    <w:rsid w:val="008A6E9C"/>
    <w:rsid w:val="008B4A4C"/>
    <w:rsid w:val="008B5E07"/>
    <w:rsid w:val="008C0690"/>
    <w:rsid w:val="008C2B2E"/>
    <w:rsid w:val="008C320C"/>
    <w:rsid w:val="008C4D11"/>
    <w:rsid w:val="008C5C72"/>
    <w:rsid w:val="008D082E"/>
    <w:rsid w:val="008D0F26"/>
    <w:rsid w:val="008D13D5"/>
    <w:rsid w:val="008D155A"/>
    <w:rsid w:val="008D1AA6"/>
    <w:rsid w:val="008D4411"/>
    <w:rsid w:val="008D4570"/>
    <w:rsid w:val="008D71B6"/>
    <w:rsid w:val="008E1419"/>
    <w:rsid w:val="008E1F81"/>
    <w:rsid w:val="008E4C0F"/>
    <w:rsid w:val="008E5CC1"/>
    <w:rsid w:val="008E6CF2"/>
    <w:rsid w:val="008E7654"/>
    <w:rsid w:val="008E7DB9"/>
    <w:rsid w:val="008F35F8"/>
    <w:rsid w:val="008F4692"/>
    <w:rsid w:val="008F5157"/>
    <w:rsid w:val="008F67C2"/>
    <w:rsid w:val="008F6FE5"/>
    <w:rsid w:val="008F7FBA"/>
    <w:rsid w:val="00900CF7"/>
    <w:rsid w:val="00902AD2"/>
    <w:rsid w:val="00904594"/>
    <w:rsid w:val="0091170F"/>
    <w:rsid w:val="00913321"/>
    <w:rsid w:val="00913BF5"/>
    <w:rsid w:val="00917FB2"/>
    <w:rsid w:val="00920048"/>
    <w:rsid w:val="00923401"/>
    <w:rsid w:val="009239B2"/>
    <w:rsid w:val="00924095"/>
    <w:rsid w:val="009255EC"/>
    <w:rsid w:val="00927152"/>
    <w:rsid w:val="00930386"/>
    <w:rsid w:val="009323FE"/>
    <w:rsid w:val="00934E2F"/>
    <w:rsid w:val="00935384"/>
    <w:rsid w:val="00935395"/>
    <w:rsid w:val="009401FB"/>
    <w:rsid w:val="009407A9"/>
    <w:rsid w:val="0094204B"/>
    <w:rsid w:val="00945DBC"/>
    <w:rsid w:val="00945E8E"/>
    <w:rsid w:val="00946139"/>
    <w:rsid w:val="00946194"/>
    <w:rsid w:val="009471BC"/>
    <w:rsid w:val="009474A4"/>
    <w:rsid w:val="00950F75"/>
    <w:rsid w:val="0095686F"/>
    <w:rsid w:val="00957239"/>
    <w:rsid w:val="00960C89"/>
    <w:rsid w:val="00960ECC"/>
    <w:rsid w:val="00961F00"/>
    <w:rsid w:val="00964057"/>
    <w:rsid w:val="00964828"/>
    <w:rsid w:val="00966297"/>
    <w:rsid w:val="009666E0"/>
    <w:rsid w:val="0096760D"/>
    <w:rsid w:val="00967949"/>
    <w:rsid w:val="0097055D"/>
    <w:rsid w:val="0097355D"/>
    <w:rsid w:val="00973C48"/>
    <w:rsid w:val="00975686"/>
    <w:rsid w:val="00980921"/>
    <w:rsid w:val="00982BA9"/>
    <w:rsid w:val="009831F3"/>
    <w:rsid w:val="00983F69"/>
    <w:rsid w:val="009871FA"/>
    <w:rsid w:val="009875B6"/>
    <w:rsid w:val="009902EB"/>
    <w:rsid w:val="00991457"/>
    <w:rsid w:val="00993C02"/>
    <w:rsid w:val="00995596"/>
    <w:rsid w:val="009970C2"/>
    <w:rsid w:val="009A0711"/>
    <w:rsid w:val="009A1749"/>
    <w:rsid w:val="009A208D"/>
    <w:rsid w:val="009A4A08"/>
    <w:rsid w:val="009A6009"/>
    <w:rsid w:val="009A7264"/>
    <w:rsid w:val="009A7B8D"/>
    <w:rsid w:val="009A7BCC"/>
    <w:rsid w:val="009B1FA8"/>
    <w:rsid w:val="009B244B"/>
    <w:rsid w:val="009B4FC4"/>
    <w:rsid w:val="009B5AB0"/>
    <w:rsid w:val="009B75FD"/>
    <w:rsid w:val="009C1AF6"/>
    <w:rsid w:val="009C1EBC"/>
    <w:rsid w:val="009C3829"/>
    <w:rsid w:val="009C66AE"/>
    <w:rsid w:val="009D13ED"/>
    <w:rsid w:val="009D14FE"/>
    <w:rsid w:val="009D64E0"/>
    <w:rsid w:val="009D6C6E"/>
    <w:rsid w:val="009D7AD5"/>
    <w:rsid w:val="009E068C"/>
    <w:rsid w:val="009E1227"/>
    <w:rsid w:val="009E38C8"/>
    <w:rsid w:val="009E56DE"/>
    <w:rsid w:val="009E5F65"/>
    <w:rsid w:val="009F2B36"/>
    <w:rsid w:val="009F32D8"/>
    <w:rsid w:val="009F3E8C"/>
    <w:rsid w:val="009F418C"/>
    <w:rsid w:val="009F4CFA"/>
    <w:rsid w:val="00A01350"/>
    <w:rsid w:val="00A05311"/>
    <w:rsid w:val="00A06CA8"/>
    <w:rsid w:val="00A07C06"/>
    <w:rsid w:val="00A10D82"/>
    <w:rsid w:val="00A13E6B"/>
    <w:rsid w:val="00A17619"/>
    <w:rsid w:val="00A2353B"/>
    <w:rsid w:val="00A23A5A"/>
    <w:rsid w:val="00A24EBB"/>
    <w:rsid w:val="00A2645A"/>
    <w:rsid w:val="00A27755"/>
    <w:rsid w:val="00A27CB9"/>
    <w:rsid w:val="00A302AE"/>
    <w:rsid w:val="00A3088C"/>
    <w:rsid w:val="00A31D45"/>
    <w:rsid w:val="00A342B9"/>
    <w:rsid w:val="00A34445"/>
    <w:rsid w:val="00A36FBE"/>
    <w:rsid w:val="00A37A88"/>
    <w:rsid w:val="00A41893"/>
    <w:rsid w:val="00A42965"/>
    <w:rsid w:val="00A4631F"/>
    <w:rsid w:val="00A51D26"/>
    <w:rsid w:val="00A530F0"/>
    <w:rsid w:val="00A54051"/>
    <w:rsid w:val="00A54FBF"/>
    <w:rsid w:val="00A61201"/>
    <w:rsid w:val="00A622AB"/>
    <w:rsid w:val="00A624E6"/>
    <w:rsid w:val="00A63BA0"/>
    <w:rsid w:val="00A64338"/>
    <w:rsid w:val="00A65A61"/>
    <w:rsid w:val="00A66649"/>
    <w:rsid w:val="00A67C1A"/>
    <w:rsid w:val="00A7117E"/>
    <w:rsid w:val="00A71221"/>
    <w:rsid w:val="00A7134A"/>
    <w:rsid w:val="00A730B6"/>
    <w:rsid w:val="00A735A5"/>
    <w:rsid w:val="00A81DEF"/>
    <w:rsid w:val="00A81E56"/>
    <w:rsid w:val="00A81F66"/>
    <w:rsid w:val="00A831D6"/>
    <w:rsid w:val="00A83E99"/>
    <w:rsid w:val="00A8480A"/>
    <w:rsid w:val="00A848CE"/>
    <w:rsid w:val="00A84AA1"/>
    <w:rsid w:val="00A86967"/>
    <w:rsid w:val="00A875A2"/>
    <w:rsid w:val="00A93624"/>
    <w:rsid w:val="00AA071C"/>
    <w:rsid w:val="00AA0EA3"/>
    <w:rsid w:val="00AA0EA4"/>
    <w:rsid w:val="00AA137D"/>
    <w:rsid w:val="00AA1F14"/>
    <w:rsid w:val="00AA2B6B"/>
    <w:rsid w:val="00AA5460"/>
    <w:rsid w:val="00AA5E24"/>
    <w:rsid w:val="00AA6398"/>
    <w:rsid w:val="00AA6817"/>
    <w:rsid w:val="00AA7090"/>
    <w:rsid w:val="00AA7BA6"/>
    <w:rsid w:val="00AB1F97"/>
    <w:rsid w:val="00AB3457"/>
    <w:rsid w:val="00AB6227"/>
    <w:rsid w:val="00AB7CFA"/>
    <w:rsid w:val="00AC0261"/>
    <w:rsid w:val="00AC1523"/>
    <w:rsid w:val="00AC165B"/>
    <w:rsid w:val="00AC2685"/>
    <w:rsid w:val="00AC344F"/>
    <w:rsid w:val="00AC4B9A"/>
    <w:rsid w:val="00AC62AE"/>
    <w:rsid w:val="00AC656D"/>
    <w:rsid w:val="00AD0CEA"/>
    <w:rsid w:val="00AD17CB"/>
    <w:rsid w:val="00AE0848"/>
    <w:rsid w:val="00AE14EC"/>
    <w:rsid w:val="00AE1932"/>
    <w:rsid w:val="00AE2741"/>
    <w:rsid w:val="00AE6D6C"/>
    <w:rsid w:val="00AF16E1"/>
    <w:rsid w:val="00AF2097"/>
    <w:rsid w:val="00AF26DE"/>
    <w:rsid w:val="00AF26E4"/>
    <w:rsid w:val="00AF4C40"/>
    <w:rsid w:val="00AF711A"/>
    <w:rsid w:val="00B00A91"/>
    <w:rsid w:val="00B01031"/>
    <w:rsid w:val="00B0515E"/>
    <w:rsid w:val="00B05DCC"/>
    <w:rsid w:val="00B10763"/>
    <w:rsid w:val="00B1096B"/>
    <w:rsid w:val="00B10E7F"/>
    <w:rsid w:val="00B13496"/>
    <w:rsid w:val="00B16FBD"/>
    <w:rsid w:val="00B173A1"/>
    <w:rsid w:val="00B1793B"/>
    <w:rsid w:val="00B218D9"/>
    <w:rsid w:val="00B22C27"/>
    <w:rsid w:val="00B22E49"/>
    <w:rsid w:val="00B233D6"/>
    <w:rsid w:val="00B235FF"/>
    <w:rsid w:val="00B23DA9"/>
    <w:rsid w:val="00B26AC7"/>
    <w:rsid w:val="00B276DC"/>
    <w:rsid w:val="00B33934"/>
    <w:rsid w:val="00B459BE"/>
    <w:rsid w:val="00B46A7B"/>
    <w:rsid w:val="00B5121A"/>
    <w:rsid w:val="00B515EC"/>
    <w:rsid w:val="00B51784"/>
    <w:rsid w:val="00B560EA"/>
    <w:rsid w:val="00B56FC4"/>
    <w:rsid w:val="00B57829"/>
    <w:rsid w:val="00B65841"/>
    <w:rsid w:val="00B66979"/>
    <w:rsid w:val="00B66DD3"/>
    <w:rsid w:val="00B670F8"/>
    <w:rsid w:val="00B67B28"/>
    <w:rsid w:val="00B756AB"/>
    <w:rsid w:val="00B75B82"/>
    <w:rsid w:val="00B81307"/>
    <w:rsid w:val="00B81CF0"/>
    <w:rsid w:val="00B82901"/>
    <w:rsid w:val="00B8292A"/>
    <w:rsid w:val="00B83B3D"/>
    <w:rsid w:val="00B87E11"/>
    <w:rsid w:val="00B9025B"/>
    <w:rsid w:val="00B9187E"/>
    <w:rsid w:val="00B948FB"/>
    <w:rsid w:val="00B9613A"/>
    <w:rsid w:val="00B96221"/>
    <w:rsid w:val="00B97DD4"/>
    <w:rsid w:val="00BA3313"/>
    <w:rsid w:val="00BA382F"/>
    <w:rsid w:val="00BA6E35"/>
    <w:rsid w:val="00BB251D"/>
    <w:rsid w:val="00BB2676"/>
    <w:rsid w:val="00BB34FA"/>
    <w:rsid w:val="00BB56A2"/>
    <w:rsid w:val="00BC03BA"/>
    <w:rsid w:val="00BC20CB"/>
    <w:rsid w:val="00BC69E4"/>
    <w:rsid w:val="00BD0E0C"/>
    <w:rsid w:val="00BD2621"/>
    <w:rsid w:val="00BD643A"/>
    <w:rsid w:val="00BD77C2"/>
    <w:rsid w:val="00BE0155"/>
    <w:rsid w:val="00BE21E7"/>
    <w:rsid w:val="00BE7463"/>
    <w:rsid w:val="00BF2B26"/>
    <w:rsid w:val="00BF321A"/>
    <w:rsid w:val="00BF5C4A"/>
    <w:rsid w:val="00BF67E9"/>
    <w:rsid w:val="00C0022F"/>
    <w:rsid w:val="00C002C1"/>
    <w:rsid w:val="00C01C2C"/>
    <w:rsid w:val="00C0444B"/>
    <w:rsid w:val="00C05505"/>
    <w:rsid w:val="00C07552"/>
    <w:rsid w:val="00C11431"/>
    <w:rsid w:val="00C13380"/>
    <w:rsid w:val="00C1386E"/>
    <w:rsid w:val="00C13C48"/>
    <w:rsid w:val="00C149A1"/>
    <w:rsid w:val="00C1715E"/>
    <w:rsid w:val="00C17453"/>
    <w:rsid w:val="00C20FD2"/>
    <w:rsid w:val="00C220C7"/>
    <w:rsid w:val="00C23239"/>
    <w:rsid w:val="00C250A8"/>
    <w:rsid w:val="00C252BB"/>
    <w:rsid w:val="00C27397"/>
    <w:rsid w:val="00C27681"/>
    <w:rsid w:val="00C27EF3"/>
    <w:rsid w:val="00C304A0"/>
    <w:rsid w:val="00C30E7F"/>
    <w:rsid w:val="00C32220"/>
    <w:rsid w:val="00C35FEA"/>
    <w:rsid w:val="00C36A08"/>
    <w:rsid w:val="00C37A84"/>
    <w:rsid w:val="00C37F0F"/>
    <w:rsid w:val="00C40DDE"/>
    <w:rsid w:val="00C412C4"/>
    <w:rsid w:val="00C41FE1"/>
    <w:rsid w:val="00C421E4"/>
    <w:rsid w:val="00C4445D"/>
    <w:rsid w:val="00C45BDD"/>
    <w:rsid w:val="00C47534"/>
    <w:rsid w:val="00C4759A"/>
    <w:rsid w:val="00C47B25"/>
    <w:rsid w:val="00C50326"/>
    <w:rsid w:val="00C510EC"/>
    <w:rsid w:val="00C5110F"/>
    <w:rsid w:val="00C512DE"/>
    <w:rsid w:val="00C51D09"/>
    <w:rsid w:val="00C529E6"/>
    <w:rsid w:val="00C601CB"/>
    <w:rsid w:val="00C60E63"/>
    <w:rsid w:val="00C60E72"/>
    <w:rsid w:val="00C61E4A"/>
    <w:rsid w:val="00C6579B"/>
    <w:rsid w:val="00C658E9"/>
    <w:rsid w:val="00C74F38"/>
    <w:rsid w:val="00C75C04"/>
    <w:rsid w:val="00C76E94"/>
    <w:rsid w:val="00C777C6"/>
    <w:rsid w:val="00C80702"/>
    <w:rsid w:val="00C80F34"/>
    <w:rsid w:val="00C81E96"/>
    <w:rsid w:val="00C82844"/>
    <w:rsid w:val="00C83328"/>
    <w:rsid w:val="00C835B3"/>
    <w:rsid w:val="00C848B9"/>
    <w:rsid w:val="00C8565B"/>
    <w:rsid w:val="00C91AD3"/>
    <w:rsid w:val="00C94DCE"/>
    <w:rsid w:val="00C95344"/>
    <w:rsid w:val="00C953AB"/>
    <w:rsid w:val="00C95957"/>
    <w:rsid w:val="00CA18F6"/>
    <w:rsid w:val="00CA1AE6"/>
    <w:rsid w:val="00CA398A"/>
    <w:rsid w:val="00CA4FCE"/>
    <w:rsid w:val="00CA5E13"/>
    <w:rsid w:val="00CA62E4"/>
    <w:rsid w:val="00CA7429"/>
    <w:rsid w:val="00CB13ED"/>
    <w:rsid w:val="00CB1A69"/>
    <w:rsid w:val="00CB2032"/>
    <w:rsid w:val="00CB491D"/>
    <w:rsid w:val="00CB4AB6"/>
    <w:rsid w:val="00CB5F92"/>
    <w:rsid w:val="00CC0FDE"/>
    <w:rsid w:val="00CC5677"/>
    <w:rsid w:val="00CD0722"/>
    <w:rsid w:val="00CD0FB4"/>
    <w:rsid w:val="00CD13D1"/>
    <w:rsid w:val="00CD31C0"/>
    <w:rsid w:val="00CD67A6"/>
    <w:rsid w:val="00CD788A"/>
    <w:rsid w:val="00CE1D08"/>
    <w:rsid w:val="00CE3F19"/>
    <w:rsid w:val="00CE5026"/>
    <w:rsid w:val="00CE53C8"/>
    <w:rsid w:val="00CE5424"/>
    <w:rsid w:val="00CF046E"/>
    <w:rsid w:val="00CF14E6"/>
    <w:rsid w:val="00CF423C"/>
    <w:rsid w:val="00CF4C3A"/>
    <w:rsid w:val="00CF6D08"/>
    <w:rsid w:val="00CF7162"/>
    <w:rsid w:val="00CF7795"/>
    <w:rsid w:val="00D05D28"/>
    <w:rsid w:val="00D05D4F"/>
    <w:rsid w:val="00D06D29"/>
    <w:rsid w:val="00D201C8"/>
    <w:rsid w:val="00D21953"/>
    <w:rsid w:val="00D2249A"/>
    <w:rsid w:val="00D22A18"/>
    <w:rsid w:val="00D30323"/>
    <w:rsid w:val="00D35637"/>
    <w:rsid w:val="00D357E5"/>
    <w:rsid w:val="00D36EED"/>
    <w:rsid w:val="00D50023"/>
    <w:rsid w:val="00D505AF"/>
    <w:rsid w:val="00D56077"/>
    <w:rsid w:val="00D577A0"/>
    <w:rsid w:val="00D60B18"/>
    <w:rsid w:val="00D6336D"/>
    <w:rsid w:val="00D64E7F"/>
    <w:rsid w:val="00D65CCB"/>
    <w:rsid w:val="00D66F6D"/>
    <w:rsid w:val="00D710D2"/>
    <w:rsid w:val="00D7514F"/>
    <w:rsid w:val="00D772A9"/>
    <w:rsid w:val="00D8277F"/>
    <w:rsid w:val="00D83375"/>
    <w:rsid w:val="00D872F5"/>
    <w:rsid w:val="00D93A5D"/>
    <w:rsid w:val="00D944DE"/>
    <w:rsid w:val="00D94BE4"/>
    <w:rsid w:val="00D95F9A"/>
    <w:rsid w:val="00D9641B"/>
    <w:rsid w:val="00D97C26"/>
    <w:rsid w:val="00D97D8B"/>
    <w:rsid w:val="00DA2B5B"/>
    <w:rsid w:val="00DA3D4A"/>
    <w:rsid w:val="00DA4046"/>
    <w:rsid w:val="00DA4844"/>
    <w:rsid w:val="00DA4FDD"/>
    <w:rsid w:val="00DA775E"/>
    <w:rsid w:val="00DB74B8"/>
    <w:rsid w:val="00DC01DA"/>
    <w:rsid w:val="00DC2949"/>
    <w:rsid w:val="00DC4B6B"/>
    <w:rsid w:val="00DC5C44"/>
    <w:rsid w:val="00DC6ED2"/>
    <w:rsid w:val="00DD5414"/>
    <w:rsid w:val="00DE0446"/>
    <w:rsid w:val="00DE1133"/>
    <w:rsid w:val="00DE16C5"/>
    <w:rsid w:val="00DE3246"/>
    <w:rsid w:val="00DE34D4"/>
    <w:rsid w:val="00DE5B3E"/>
    <w:rsid w:val="00DE62A4"/>
    <w:rsid w:val="00DE6B10"/>
    <w:rsid w:val="00DE709A"/>
    <w:rsid w:val="00DF01D0"/>
    <w:rsid w:val="00DF0872"/>
    <w:rsid w:val="00DF306C"/>
    <w:rsid w:val="00DF31D1"/>
    <w:rsid w:val="00DF3A59"/>
    <w:rsid w:val="00DF6AF0"/>
    <w:rsid w:val="00DF6EB6"/>
    <w:rsid w:val="00DF749D"/>
    <w:rsid w:val="00E01F94"/>
    <w:rsid w:val="00E020E6"/>
    <w:rsid w:val="00E02A2F"/>
    <w:rsid w:val="00E05225"/>
    <w:rsid w:val="00E06B10"/>
    <w:rsid w:val="00E10553"/>
    <w:rsid w:val="00E2120D"/>
    <w:rsid w:val="00E2128C"/>
    <w:rsid w:val="00E213ED"/>
    <w:rsid w:val="00E2461E"/>
    <w:rsid w:val="00E250F7"/>
    <w:rsid w:val="00E2586E"/>
    <w:rsid w:val="00E25A69"/>
    <w:rsid w:val="00E25DC9"/>
    <w:rsid w:val="00E260A8"/>
    <w:rsid w:val="00E26B20"/>
    <w:rsid w:val="00E27CFE"/>
    <w:rsid w:val="00E316B9"/>
    <w:rsid w:val="00E3324E"/>
    <w:rsid w:val="00E3344A"/>
    <w:rsid w:val="00E35ED8"/>
    <w:rsid w:val="00E43B35"/>
    <w:rsid w:val="00E43E1F"/>
    <w:rsid w:val="00E44F5D"/>
    <w:rsid w:val="00E452D4"/>
    <w:rsid w:val="00E523FE"/>
    <w:rsid w:val="00E536D6"/>
    <w:rsid w:val="00E539CB"/>
    <w:rsid w:val="00E62BD4"/>
    <w:rsid w:val="00E630B6"/>
    <w:rsid w:val="00E66865"/>
    <w:rsid w:val="00E671FF"/>
    <w:rsid w:val="00E67AFE"/>
    <w:rsid w:val="00E71738"/>
    <w:rsid w:val="00E7462A"/>
    <w:rsid w:val="00E752F7"/>
    <w:rsid w:val="00E8733D"/>
    <w:rsid w:val="00E87F26"/>
    <w:rsid w:val="00E91839"/>
    <w:rsid w:val="00E9243C"/>
    <w:rsid w:val="00E92C65"/>
    <w:rsid w:val="00E930C6"/>
    <w:rsid w:val="00E93327"/>
    <w:rsid w:val="00E94ECA"/>
    <w:rsid w:val="00E975ED"/>
    <w:rsid w:val="00EA1E5D"/>
    <w:rsid w:val="00EB0E59"/>
    <w:rsid w:val="00EB13A0"/>
    <w:rsid w:val="00EB2240"/>
    <w:rsid w:val="00EB399B"/>
    <w:rsid w:val="00EB42CD"/>
    <w:rsid w:val="00EB7F53"/>
    <w:rsid w:val="00EC1D2B"/>
    <w:rsid w:val="00ED0039"/>
    <w:rsid w:val="00ED09DE"/>
    <w:rsid w:val="00ED0CEC"/>
    <w:rsid w:val="00ED4898"/>
    <w:rsid w:val="00ED5E83"/>
    <w:rsid w:val="00ED62A1"/>
    <w:rsid w:val="00ED6697"/>
    <w:rsid w:val="00ED765A"/>
    <w:rsid w:val="00EE165E"/>
    <w:rsid w:val="00EE23AC"/>
    <w:rsid w:val="00EE50E9"/>
    <w:rsid w:val="00EE6554"/>
    <w:rsid w:val="00EE6724"/>
    <w:rsid w:val="00EF01C0"/>
    <w:rsid w:val="00EF0D04"/>
    <w:rsid w:val="00EF0FE7"/>
    <w:rsid w:val="00EF2232"/>
    <w:rsid w:val="00EF46C5"/>
    <w:rsid w:val="00EF6332"/>
    <w:rsid w:val="00F049C1"/>
    <w:rsid w:val="00F0537E"/>
    <w:rsid w:val="00F10751"/>
    <w:rsid w:val="00F10FB2"/>
    <w:rsid w:val="00F11110"/>
    <w:rsid w:val="00F11DAC"/>
    <w:rsid w:val="00F12830"/>
    <w:rsid w:val="00F12AFD"/>
    <w:rsid w:val="00F14BCA"/>
    <w:rsid w:val="00F17308"/>
    <w:rsid w:val="00F17F99"/>
    <w:rsid w:val="00F20FBD"/>
    <w:rsid w:val="00F2216A"/>
    <w:rsid w:val="00F2245F"/>
    <w:rsid w:val="00F24CEE"/>
    <w:rsid w:val="00F25876"/>
    <w:rsid w:val="00F27F0A"/>
    <w:rsid w:val="00F3284D"/>
    <w:rsid w:val="00F32B63"/>
    <w:rsid w:val="00F34CDF"/>
    <w:rsid w:val="00F34E56"/>
    <w:rsid w:val="00F34F6A"/>
    <w:rsid w:val="00F37E13"/>
    <w:rsid w:val="00F42EE7"/>
    <w:rsid w:val="00F43423"/>
    <w:rsid w:val="00F4723A"/>
    <w:rsid w:val="00F477B0"/>
    <w:rsid w:val="00F502AD"/>
    <w:rsid w:val="00F512CF"/>
    <w:rsid w:val="00F52CC8"/>
    <w:rsid w:val="00F6198B"/>
    <w:rsid w:val="00F64431"/>
    <w:rsid w:val="00F715E4"/>
    <w:rsid w:val="00F7321F"/>
    <w:rsid w:val="00F74BA5"/>
    <w:rsid w:val="00F76F16"/>
    <w:rsid w:val="00F80466"/>
    <w:rsid w:val="00F80DE8"/>
    <w:rsid w:val="00F832BF"/>
    <w:rsid w:val="00F8396F"/>
    <w:rsid w:val="00F844A6"/>
    <w:rsid w:val="00F86BCF"/>
    <w:rsid w:val="00F90734"/>
    <w:rsid w:val="00F90A92"/>
    <w:rsid w:val="00F9520E"/>
    <w:rsid w:val="00F95A45"/>
    <w:rsid w:val="00F95F7A"/>
    <w:rsid w:val="00F960A2"/>
    <w:rsid w:val="00FA2501"/>
    <w:rsid w:val="00FA299A"/>
    <w:rsid w:val="00FA3EAC"/>
    <w:rsid w:val="00FA3F7F"/>
    <w:rsid w:val="00FA44BB"/>
    <w:rsid w:val="00FA45F3"/>
    <w:rsid w:val="00FA78C0"/>
    <w:rsid w:val="00FA7B6B"/>
    <w:rsid w:val="00FB07A7"/>
    <w:rsid w:val="00FB4A3A"/>
    <w:rsid w:val="00FB5633"/>
    <w:rsid w:val="00FB5FE3"/>
    <w:rsid w:val="00FB7D2F"/>
    <w:rsid w:val="00FC0747"/>
    <w:rsid w:val="00FC0976"/>
    <w:rsid w:val="00FC3721"/>
    <w:rsid w:val="00FC3905"/>
    <w:rsid w:val="00FD06AF"/>
    <w:rsid w:val="00FD351A"/>
    <w:rsid w:val="00FD4016"/>
    <w:rsid w:val="00FD5155"/>
    <w:rsid w:val="00FE15B0"/>
    <w:rsid w:val="00FE6E13"/>
    <w:rsid w:val="00FF0E0A"/>
    <w:rsid w:val="00FF1974"/>
    <w:rsid w:val="00FF19B5"/>
    <w:rsid w:val="00FF434A"/>
    <w:rsid w:val="00FF4565"/>
    <w:rsid w:val="00FF4945"/>
    <w:rsid w:val="00FF52FA"/>
    <w:rsid w:val="00FF5D2F"/>
    <w:rsid w:val="00FF61C6"/>
    <w:rsid w:val="00FF66AE"/>
    <w:rsid w:val="00FF6D08"/>
    <w:rsid w:val="00FF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rsid w:val="00913BF5"/>
    <w:pPr>
      <w:widowControl w:val="0"/>
    </w:pPr>
    <w:rPr>
      <w:lang w:val="en-GB"/>
    </w:rPr>
  </w:style>
  <w:style w:type="character" w:customStyle="1" w:styleId="FootnoteTextChar">
    <w:name w:val="Footnote Text Char"/>
    <w:basedOn w:val="DefaultParagraphFont"/>
    <w:link w:val="FootnoteText"/>
    <w:locked/>
    <w:rsid w:val="00913BF5"/>
    <w:rPr>
      <w:snapToGrid w:val="0"/>
      <w:sz w:val="24"/>
      <w:lang w:val="en-GB" w:eastAsia="fr-FR"/>
    </w:rPr>
  </w:style>
  <w:style w:type="character" w:styleId="FootnoteReference">
    <w:name w:val="footnote reference"/>
    <w:basedOn w:val="DefaultParagraphFont"/>
    <w:rsid w:val="00913BF5"/>
    <w:rPr>
      <w:rFonts w:cs="Times New Roman"/>
      <w:vertAlign w:val="superscript"/>
    </w:rPr>
  </w:style>
  <w:style w:type="table" w:styleId="TableGrid">
    <w:name w:val="Table Grid"/>
    <w:basedOn w:val="TableNormal"/>
    <w:uiPriority w:val="3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B1B"/>
    <w:rPr>
      <w:rFonts w:ascii="Tahoma" w:hAnsi="Tahoma" w:cs="Tahoma"/>
      <w:sz w:val="16"/>
      <w:szCs w:val="16"/>
    </w:rPr>
  </w:style>
  <w:style w:type="character" w:customStyle="1" w:styleId="BalloonTextChar">
    <w:name w:val="Balloon Text Char"/>
    <w:basedOn w:val="DefaultParagraphFont"/>
    <w:link w:val="BalloonText"/>
    <w:uiPriority w:val="99"/>
    <w:semiHidden/>
    <w:rsid w:val="00177B1B"/>
    <w:rPr>
      <w:rFonts w:ascii="Tahoma" w:hAnsi="Tahoma" w:cs="Tahoma"/>
      <w:sz w:val="16"/>
      <w:szCs w:val="16"/>
      <w:lang w:val="fr-FR" w:eastAsia="fr-FR"/>
    </w:rPr>
  </w:style>
  <w:style w:type="paragraph" w:styleId="ListParagraph">
    <w:name w:val="List Paragraph"/>
    <w:basedOn w:val="Normal"/>
    <w:link w:val="ListParagraphChar"/>
    <w:uiPriority w:val="34"/>
    <w:qFormat/>
    <w:rsid w:val="00031555"/>
    <w:pPr>
      <w:ind w:left="720"/>
      <w:contextualSpacing/>
    </w:pPr>
  </w:style>
  <w:style w:type="paragraph" w:styleId="BodyText2">
    <w:name w:val="Body Text 2"/>
    <w:basedOn w:val="Normal"/>
    <w:link w:val="BodyText2Char"/>
    <w:rsid w:val="00031555"/>
    <w:pPr>
      <w:spacing w:after="120" w:line="480" w:lineRule="auto"/>
    </w:pPr>
  </w:style>
  <w:style w:type="character" w:customStyle="1" w:styleId="BodyText2Char">
    <w:name w:val="Body Text 2 Char"/>
    <w:basedOn w:val="DefaultParagraphFont"/>
    <w:link w:val="BodyText2"/>
    <w:rsid w:val="00031555"/>
    <w:rPr>
      <w:sz w:val="24"/>
      <w:szCs w:val="24"/>
    </w:rPr>
  </w:style>
  <w:style w:type="character" w:customStyle="1" w:styleId="hps">
    <w:name w:val="hps"/>
    <w:basedOn w:val="DefaultParagraphFont"/>
    <w:rsid w:val="00946139"/>
  </w:style>
  <w:style w:type="character" w:styleId="CommentReference">
    <w:name w:val="annotation reference"/>
    <w:basedOn w:val="DefaultParagraphFont"/>
    <w:uiPriority w:val="99"/>
    <w:semiHidden/>
    <w:unhideWhenUsed/>
    <w:rsid w:val="00770B2D"/>
    <w:rPr>
      <w:sz w:val="16"/>
      <w:szCs w:val="16"/>
    </w:rPr>
  </w:style>
  <w:style w:type="paragraph" w:styleId="CommentText">
    <w:name w:val="annotation text"/>
    <w:basedOn w:val="Normal"/>
    <w:link w:val="CommentTextChar"/>
    <w:uiPriority w:val="99"/>
    <w:semiHidden/>
    <w:unhideWhenUsed/>
    <w:rsid w:val="00770B2D"/>
    <w:rPr>
      <w:sz w:val="20"/>
      <w:szCs w:val="20"/>
    </w:rPr>
  </w:style>
  <w:style w:type="character" w:customStyle="1" w:styleId="CommentTextChar">
    <w:name w:val="Comment Text Char"/>
    <w:basedOn w:val="DefaultParagraphFont"/>
    <w:link w:val="CommentText"/>
    <w:uiPriority w:val="99"/>
    <w:semiHidden/>
    <w:rsid w:val="00770B2D"/>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770B2D"/>
    <w:rPr>
      <w:b/>
      <w:bCs/>
    </w:rPr>
  </w:style>
  <w:style w:type="character" w:customStyle="1" w:styleId="CommentSubjectChar">
    <w:name w:val="Comment Subject Char"/>
    <w:basedOn w:val="CommentTextChar"/>
    <w:link w:val="CommentSubject"/>
    <w:uiPriority w:val="99"/>
    <w:semiHidden/>
    <w:rsid w:val="00770B2D"/>
    <w:rPr>
      <w:b/>
      <w:bCs/>
      <w:sz w:val="20"/>
      <w:szCs w:val="20"/>
      <w:lang w:val="fr-FR" w:eastAsia="fr-FR"/>
    </w:rPr>
  </w:style>
  <w:style w:type="paragraph" w:customStyle="1" w:styleId="H2">
    <w:name w:val="H2"/>
    <w:rsid w:val="00E91839"/>
    <w:rPr>
      <w:rFonts w:cs="Arial"/>
      <w:b/>
      <w:bCs/>
      <w:iCs/>
      <w:szCs w:val="28"/>
      <w:lang w:val="en-GB"/>
    </w:rPr>
  </w:style>
  <w:style w:type="character" w:customStyle="1" w:styleId="ListParagraphChar">
    <w:name w:val="List Paragraph Char"/>
    <w:link w:val="ListParagraph"/>
    <w:uiPriority w:val="34"/>
    <w:locked/>
    <w:rsid w:val="00E91839"/>
    <w:rPr>
      <w:sz w:val="24"/>
      <w:szCs w:val="24"/>
      <w:lang w:val="fr-FR" w:eastAsia="fr-FR"/>
    </w:rPr>
  </w:style>
  <w:style w:type="paragraph" w:styleId="Revision">
    <w:name w:val="Revision"/>
    <w:hidden/>
    <w:uiPriority w:val="99"/>
    <w:semiHidden/>
    <w:rsid w:val="00CD0FB4"/>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C3"/>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D2B"/>
    <w:pPr>
      <w:tabs>
        <w:tab w:val="center" w:pos="4536"/>
        <w:tab w:val="right" w:pos="9072"/>
      </w:tabs>
    </w:pPr>
  </w:style>
  <w:style w:type="character" w:customStyle="1" w:styleId="HeaderChar">
    <w:name w:val="Header Char"/>
    <w:basedOn w:val="DefaultParagraphFont"/>
    <w:link w:val="Header"/>
    <w:uiPriority w:val="99"/>
    <w:semiHidden/>
    <w:rsid w:val="00F35072"/>
    <w:rPr>
      <w:sz w:val="24"/>
      <w:szCs w:val="24"/>
      <w:lang w:val="fr-FR" w:eastAsia="fr-FR"/>
    </w:rPr>
  </w:style>
  <w:style w:type="character" w:styleId="PageNumber">
    <w:name w:val="page number"/>
    <w:basedOn w:val="DefaultParagraphFont"/>
    <w:uiPriority w:val="99"/>
    <w:rsid w:val="00EC1D2B"/>
    <w:rPr>
      <w:rFonts w:cs="Times New Roman"/>
    </w:rPr>
  </w:style>
  <w:style w:type="paragraph" w:styleId="BodyText">
    <w:name w:val="Body Text"/>
    <w:basedOn w:val="Normal"/>
    <w:link w:val="BodyTextChar"/>
    <w:uiPriority w:val="99"/>
    <w:rsid w:val="00913BF5"/>
    <w:pPr>
      <w:spacing w:after="120"/>
    </w:pPr>
    <w:rPr>
      <w:rFonts w:cs="Tahoma"/>
      <w:szCs w:val="20"/>
      <w:lang w:val="en-US" w:eastAsia="en-US"/>
    </w:rPr>
  </w:style>
  <w:style w:type="character" w:customStyle="1" w:styleId="BodyTextChar">
    <w:name w:val="Body Text Char"/>
    <w:basedOn w:val="DefaultParagraphFont"/>
    <w:link w:val="BodyText"/>
    <w:uiPriority w:val="99"/>
    <w:semiHidden/>
    <w:rsid w:val="00F35072"/>
    <w:rPr>
      <w:sz w:val="24"/>
      <w:szCs w:val="24"/>
      <w:lang w:val="fr-FR" w:eastAsia="fr-FR"/>
    </w:rPr>
  </w:style>
  <w:style w:type="paragraph" w:styleId="Footer">
    <w:name w:val="footer"/>
    <w:basedOn w:val="Normal"/>
    <w:link w:val="FooterChar"/>
    <w:uiPriority w:val="99"/>
    <w:rsid w:val="00913BF5"/>
    <w:pPr>
      <w:tabs>
        <w:tab w:val="center" w:pos="4320"/>
        <w:tab w:val="right" w:pos="8640"/>
      </w:tabs>
    </w:pPr>
    <w:rPr>
      <w:rFonts w:cs="Tahoma"/>
      <w:szCs w:val="20"/>
      <w:lang w:val="en-US" w:eastAsia="en-US"/>
    </w:rPr>
  </w:style>
  <w:style w:type="character" w:customStyle="1" w:styleId="FooterChar">
    <w:name w:val="Footer Char"/>
    <w:basedOn w:val="DefaultParagraphFont"/>
    <w:link w:val="Footer"/>
    <w:uiPriority w:val="99"/>
    <w:semiHidden/>
    <w:rsid w:val="00F35072"/>
    <w:rPr>
      <w:sz w:val="24"/>
      <w:szCs w:val="24"/>
      <w:lang w:val="fr-FR" w:eastAsia="fr-FR"/>
    </w:rPr>
  </w:style>
  <w:style w:type="paragraph" w:styleId="FootnoteText">
    <w:name w:val="footnote text"/>
    <w:basedOn w:val="Normal"/>
    <w:link w:val="FootnoteTextChar"/>
    <w:rsid w:val="00913BF5"/>
    <w:pPr>
      <w:widowControl w:val="0"/>
    </w:pPr>
    <w:rPr>
      <w:lang w:val="en-GB"/>
    </w:rPr>
  </w:style>
  <w:style w:type="character" w:customStyle="1" w:styleId="FootnoteTextChar">
    <w:name w:val="Footnote Text Char"/>
    <w:basedOn w:val="DefaultParagraphFont"/>
    <w:link w:val="FootnoteText"/>
    <w:locked/>
    <w:rsid w:val="00913BF5"/>
    <w:rPr>
      <w:snapToGrid w:val="0"/>
      <w:sz w:val="24"/>
      <w:lang w:val="en-GB" w:eastAsia="fr-FR"/>
    </w:rPr>
  </w:style>
  <w:style w:type="character" w:styleId="FootnoteReference">
    <w:name w:val="footnote reference"/>
    <w:basedOn w:val="DefaultParagraphFont"/>
    <w:rsid w:val="00913BF5"/>
    <w:rPr>
      <w:rFonts w:cs="Times New Roman"/>
      <w:vertAlign w:val="superscript"/>
    </w:rPr>
  </w:style>
  <w:style w:type="table" w:styleId="TableGrid">
    <w:name w:val="Table Grid"/>
    <w:basedOn w:val="TableNormal"/>
    <w:uiPriority w:val="39"/>
    <w:rsid w:val="00995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B1B"/>
    <w:rPr>
      <w:rFonts w:ascii="Tahoma" w:hAnsi="Tahoma" w:cs="Tahoma"/>
      <w:sz w:val="16"/>
      <w:szCs w:val="16"/>
    </w:rPr>
  </w:style>
  <w:style w:type="character" w:customStyle="1" w:styleId="BalloonTextChar">
    <w:name w:val="Balloon Text Char"/>
    <w:basedOn w:val="DefaultParagraphFont"/>
    <w:link w:val="BalloonText"/>
    <w:uiPriority w:val="99"/>
    <w:semiHidden/>
    <w:rsid w:val="00177B1B"/>
    <w:rPr>
      <w:rFonts w:ascii="Tahoma" w:hAnsi="Tahoma" w:cs="Tahoma"/>
      <w:sz w:val="16"/>
      <w:szCs w:val="16"/>
      <w:lang w:val="fr-FR" w:eastAsia="fr-FR"/>
    </w:rPr>
  </w:style>
  <w:style w:type="paragraph" w:styleId="ListParagraph">
    <w:name w:val="List Paragraph"/>
    <w:basedOn w:val="Normal"/>
    <w:link w:val="ListParagraphChar"/>
    <w:uiPriority w:val="34"/>
    <w:qFormat/>
    <w:rsid w:val="00031555"/>
    <w:pPr>
      <w:ind w:left="720"/>
      <w:contextualSpacing/>
    </w:pPr>
  </w:style>
  <w:style w:type="paragraph" w:styleId="BodyText2">
    <w:name w:val="Body Text 2"/>
    <w:basedOn w:val="Normal"/>
    <w:link w:val="BodyText2Char"/>
    <w:rsid w:val="00031555"/>
    <w:pPr>
      <w:spacing w:after="120" w:line="480" w:lineRule="auto"/>
    </w:pPr>
  </w:style>
  <w:style w:type="character" w:customStyle="1" w:styleId="BodyText2Char">
    <w:name w:val="Body Text 2 Char"/>
    <w:basedOn w:val="DefaultParagraphFont"/>
    <w:link w:val="BodyText2"/>
    <w:rsid w:val="00031555"/>
    <w:rPr>
      <w:sz w:val="24"/>
      <w:szCs w:val="24"/>
    </w:rPr>
  </w:style>
  <w:style w:type="character" w:customStyle="1" w:styleId="hps">
    <w:name w:val="hps"/>
    <w:basedOn w:val="DefaultParagraphFont"/>
    <w:rsid w:val="00946139"/>
  </w:style>
  <w:style w:type="character" w:styleId="CommentReference">
    <w:name w:val="annotation reference"/>
    <w:basedOn w:val="DefaultParagraphFont"/>
    <w:uiPriority w:val="99"/>
    <w:semiHidden/>
    <w:unhideWhenUsed/>
    <w:rsid w:val="00770B2D"/>
    <w:rPr>
      <w:sz w:val="16"/>
      <w:szCs w:val="16"/>
    </w:rPr>
  </w:style>
  <w:style w:type="paragraph" w:styleId="CommentText">
    <w:name w:val="annotation text"/>
    <w:basedOn w:val="Normal"/>
    <w:link w:val="CommentTextChar"/>
    <w:uiPriority w:val="99"/>
    <w:semiHidden/>
    <w:unhideWhenUsed/>
    <w:rsid w:val="00770B2D"/>
    <w:rPr>
      <w:sz w:val="20"/>
      <w:szCs w:val="20"/>
    </w:rPr>
  </w:style>
  <w:style w:type="character" w:customStyle="1" w:styleId="CommentTextChar">
    <w:name w:val="Comment Text Char"/>
    <w:basedOn w:val="DefaultParagraphFont"/>
    <w:link w:val="CommentText"/>
    <w:uiPriority w:val="99"/>
    <w:semiHidden/>
    <w:rsid w:val="00770B2D"/>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770B2D"/>
    <w:rPr>
      <w:b/>
      <w:bCs/>
    </w:rPr>
  </w:style>
  <w:style w:type="character" w:customStyle="1" w:styleId="CommentSubjectChar">
    <w:name w:val="Comment Subject Char"/>
    <w:basedOn w:val="CommentTextChar"/>
    <w:link w:val="CommentSubject"/>
    <w:uiPriority w:val="99"/>
    <w:semiHidden/>
    <w:rsid w:val="00770B2D"/>
    <w:rPr>
      <w:b/>
      <w:bCs/>
      <w:sz w:val="20"/>
      <w:szCs w:val="20"/>
      <w:lang w:val="fr-FR" w:eastAsia="fr-FR"/>
    </w:rPr>
  </w:style>
  <w:style w:type="paragraph" w:customStyle="1" w:styleId="H2">
    <w:name w:val="H2"/>
    <w:rsid w:val="00E91839"/>
    <w:rPr>
      <w:rFonts w:cs="Arial"/>
      <w:b/>
      <w:bCs/>
      <w:iCs/>
      <w:szCs w:val="28"/>
      <w:lang w:val="en-GB"/>
    </w:rPr>
  </w:style>
  <w:style w:type="character" w:customStyle="1" w:styleId="ListParagraphChar">
    <w:name w:val="List Paragraph Char"/>
    <w:link w:val="ListParagraph"/>
    <w:uiPriority w:val="34"/>
    <w:locked/>
    <w:rsid w:val="00E91839"/>
    <w:rPr>
      <w:sz w:val="24"/>
      <w:szCs w:val="24"/>
      <w:lang w:val="fr-FR" w:eastAsia="fr-FR"/>
    </w:rPr>
  </w:style>
  <w:style w:type="paragraph" w:styleId="Revision">
    <w:name w:val="Revision"/>
    <w:hidden/>
    <w:uiPriority w:val="99"/>
    <w:semiHidden/>
    <w:rsid w:val="00CD0FB4"/>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8D744-DBAB-4EB2-B982-4F62969B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3191</Words>
  <Characters>18194</Characters>
  <Application>Microsoft Office Word</Application>
  <DocSecurity>4</DocSecurity>
  <Lines>151</Lines>
  <Paragraphs>42</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Partie E-TEMPLATE 4.3</vt:lpstr>
      <vt:lpstr>Partie E-TEMPLATE 4.3</vt:lpstr>
      <vt:lpstr/>
      <vt:lpstr/>
      <vt:lpstr/>
    </vt:vector>
  </TitlesOfParts>
  <Company>Microsoft</Company>
  <LinksUpToDate>false</LinksUpToDate>
  <CharactersWithSpaces>21343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E-TEMPLATE 4.3</dc:title>
  <dc:creator>Soetkin Meertens</dc:creator>
  <cp:lastModifiedBy>Mitsy Jean-Louis</cp:lastModifiedBy>
  <cp:revision>2</cp:revision>
  <cp:lastPrinted>2014-07-29T11:53:00Z</cp:lastPrinted>
  <dcterms:created xsi:type="dcterms:W3CDTF">2014-08-08T19:41:00Z</dcterms:created>
  <dcterms:modified xsi:type="dcterms:W3CDTF">2014-08-08T19:41:00Z</dcterms:modified>
</cp:coreProperties>
</file>