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F0" w:rsidRPr="00CC0EED" w:rsidRDefault="009D62F0" w:rsidP="009D62F0">
      <w:pPr>
        <w:pStyle w:val="Heading1"/>
        <w:rPr>
          <w:rFonts w:ascii="Times New Roman" w:hAnsi="Times New Roman"/>
          <w:bCs w:val="0"/>
          <w:kern w:val="0"/>
          <w:sz w:val="22"/>
          <w:szCs w:val="22"/>
        </w:rPr>
      </w:pPr>
      <w:bookmarkStart w:id="0" w:name="_Toc244414388"/>
      <w:bookmarkStart w:id="1" w:name="_GoBack"/>
      <w:bookmarkEnd w:id="1"/>
      <w:r>
        <w:rPr>
          <w:rFonts w:ascii="Times New Roman" w:hAnsi="Times New Roman"/>
          <w:bCs w:val="0"/>
          <w:kern w:val="0"/>
          <w:sz w:val="22"/>
          <w:szCs w:val="22"/>
        </w:rPr>
        <w:t>RUNO Half Yearly Reporting</w:t>
      </w:r>
      <w:r w:rsidRPr="00CC0EED">
        <w:rPr>
          <w:rFonts w:ascii="Times New Roman" w:hAnsi="Times New Roman"/>
          <w:bCs w:val="0"/>
          <w:kern w:val="0"/>
          <w:sz w:val="22"/>
          <w:szCs w:val="22"/>
        </w:rPr>
        <w:t xml:space="preserve"> </w:t>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t xml:space="preserve">TEMPLATE </w:t>
      </w:r>
      <w:r>
        <w:rPr>
          <w:rFonts w:ascii="Times New Roman" w:hAnsi="Times New Roman"/>
          <w:bCs w:val="0"/>
          <w:kern w:val="0"/>
          <w:sz w:val="22"/>
          <w:szCs w:val="22"/>
        </w:rPr>
        <w:t>4.3</w:t>
      </w:r>
    </w:p>
    <w:bookmarkEnd w:id="0"/>
    <w:p w:rsidR="009D62F0" w:rsidRPr="00481C06" w:rsidRDefault="009D62F0" w:rsidP="009D62F0">
      <w:pPr>
        <w:numPr>
          <w:ilvl w:val="12"/>
          <w:numId w:val="0"/>
        </w:numPr>
        <w:tabs>
          <w:tab w:val="left" w:pos="0"/>
        </w:tabs>
        <w:suppressAutoHyphens/>
        <w:jc w:val="center"/>
        <w:rPr>
          <w:b/>
          <w:bCs/>
          <w:spacing w:val="-3"/>
        </w:rPr>
      </w:pPr>
      <w:r>
        <w:rPr>
          <w:rFonts w:ascii="Arial" w:hAnsi="Arial"/>
          <w:spacing w:val="-3"/>
          <w:sz w:val="20"/>
        </w:rPr>
        <w:tab/>
      </w:r>
      <w:r w:rsidR="007073D1">
        <w:rPr>
          <w:rFonts w:ascii="Arial" w:hAnsi="Arial"/>
          <w:noProof/>
          <w:spacing w:val="-3"/>
          <w:sz w:val="20"/>
        </w:rPr>
        <w:drawing>
          <wp:inline distT="0" distB="0" distL="0" distR="0">
            <wp:extent cx="1457325" cy="619125"/>
            <wp:effectExtent l="19050" t="0" r="9525" b="0"/>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9" cstate="print"/>
                    <a:srcRect/>
                    <a:stretch>
                      <a:fillRect/>
                    </a:stretch>
                  </pic:blipFill>
                  <pic:spPr bwMode="auto">
                    <a:xfrm>
                      <a:off x="0" y="0"/>
                      <a:ext cx="1457325" cy="619125"/>
                    </a:xfrm>
                    <a:prstGeom prst="rect">
                      <a:avLst/>
                    </a:prstGeom>
                    <a:noFill/>
                    <a:ln w="9525">
                      <a:noFill/>
                      <a:miter lim="800000"/>
                      <a:headEnd/>
                      <a:tailEnd/>
                    </a:ln>
                  </pic:spPr>
                </pic:pic>
              </a:graphicData>
            </a:graphic>
          </wp:inline>
        </w:drawing>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7073D1">
        <w:rPr>
          <w:rFonts w:ascii="Arial" w:hAnsi="Arial"/>
          <w:noProof/>
          <w:spacing w:val="-3"/>
          <w:sz w:val="20"/>
        </w:rPr>
        <w:drawing>
          <wp:inline distT="0" distB="0" distL="0" distR="0">
            <wp:extent cx="1438275" cy="1095375"/>
            <wp:effectExtent l="19050" t="0" r="9525" b="0"/>
            <wp:docPr id="2" name="Pictur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10" cstate="print"/>
                    <a:srcRect/>
                    <a:stretch>
                      <a:fillRect/>
                    </a:stretch>
                  </pic:blipFill>
                  <pic:spPr bwMode="auto">
                    <a:xfrm>
                      <a:off x="0" y="0"/>
                      <a:ext cx="1438275" cy="1095375"/>
                    </a:xfrm>
                    <a:prstGeom prst="rect">
                      <a:avLst/>
                    </a:prstGeom>
                    <a:noFill/>
                    <a:ln w="9525">
                      <a:noFill/>
                      <a:miter lim="800000"/>
                      <a:headEnd/>
                      <a:tailEnd/>
                    </a:ln>
                  </pic:spPr>
                </pic:pic>
              </a:graphicData>
            </a:graphic>
          </wp:inline>
        </w:drawing>
      </w:r>
      <w:r w:rsidR="005E2170">
        <w:rPr>
          <w:rFonts w:ascii="Arial" w:hAnsi="Arial"/>
          <w:spacing w:val="-3"/>
          <w:sz w:val="20"/>
        </w:rPr>
        <w:tab/>
      </w:r>
    </w:p>
    <w:p w:rsidR="00FF3594" w:rsidRPr="00FF0380" w:rsidRDefault="00870590" w:rsidP="00FF3594">
      <w:pPr>
        <w:jc w:val="center"/>
        <w:rPr>
          <w:rFonts w:cs="Times New Roman"/>
          <w:b/>
          <w:sz w:val="22"/>
          <w:szCs w:val="22"/>
        </w:rPr>
      </w:pPr>
      <w:r>
        <w:rPr>
          <w:rFonts w:cs="Times New Roman"/>
          <w:b/>
          <w:sz w:val="22"/>
          <w:szCs w:val="22"/>
        </w:rPr>
        <w:t>[</w:t>
      </w:r>
      <w:r w:rsidR="001E75AB" w:rsidRPr="00870590">
        <w:rPr>
          <w:rFonts w:cs="Times New Roman"/>
          <w:b/>
          <w:sz w:val="22"/>
          <w:szCs w:val="22"/>
          <w:u w:val="single"/>
        </w:rPr>
        <w:t>COUNTRY</w:t>
      </w:r>
      <w:r>
        <w:rPr>
          <w:rFonts w:cs="Times New Roman"/>
          <w:b/>
          <w:sz w:val="22"/>
          <w:szCs w:val="22"/>
        </w:rPr>
        <w:t>]</w:t>
      </w:r>
    </w:p>
    <w:p w:rsidR="00FF3594" w:rsidRPr="00FF0380" w:rsidRDefault="00FF3594" w:rsidP="00FF3594">
      <w:pPr>
        <w:jc w:val="center"/>
        <w:rPr>
          <w:rFonts w:cs="Times New Roman"/>
          <w:b/>
          <w:sz w:val="22"/>
          <w:szCs w:val="22"/>
        </w:rPr>
      </w:pPr>
    </w:p>
    <w:p w:rsidR="00FF3594" w:rsidRPr="00FF0380" w:rsidRDefault="00FF3594" w:rsidP="00FF3594">
      <w:pPr>
        <w:jc w:val="center"/>
        <w:rPr>
          <w:rFonts w:cs="Times New Roman"/>
          <w:b/>
          <w:sz w:val="22"/>
          <w:szCs w:val="22"/>
        </w:rPr>
      </w:pPr>
      <w:r w:rsidRPr="00FF0380">
        <w:rPr>
          <w:rFonts w:cs="Times New Roman"/>
          <w:b/>
          <w:sz w:val="22"/>
          <w:szCs w:val="22"/>
        </w:rPr>
        <w:t xml:space="preserve">PROJECT </w:t>
      </w:r>
      <w:r w:rsidR="00D45676">
        <w:rPr>
          <w:rFonts w:cs="Times New Roman"/>
          <w:b/>
          <w:sz w:val="22"/>
          <w:szCs w:val="22"/>
        </w:rPr>
        <w:t>HALF YEARLY PROGRESS UPDATE</w:t>
      </w:r>
      <w:r w:rsidRPr="00FF0380">
        <w:rPr>
          <w:rFonts w:cs="Times New Roman"/>
          <w:b/>
          <w:sz w:val="22"/>
          <w:szCs w:val="22"/>
        </w:rPr>
        <w:t xml:space="preserve"> </w:t>
      </w:r>
    </w:p>
    <w:p w:rsidR="00870590" w:rsidRDefault="00870590" w:rsidP="00FF3594">
      <w:pPr>
        <w:jc w:val="center"/>
        <w:rPr>
          <w:rFonts w:cs="Times New Roman"/>
          <w:b/>
          <w:sz w:val="22"/>
          <w:szCs w:val="22"/>
        </w:rPr>
      </w:pPr>
    </w:p>
    <w:p w:rsidR="00BA50CC" w:rsidRDefault="00F05D7B" w:rsidP="00BD647A">
      <w:pPr>
        <w:jc w:val="center"/>
        <w:rPr>
          <w:rFonts w:cs="Times New Roman"/>
          <w:b/>
          <w:sz w:val="22"/>
          <w:szCs w:val="22"/>
        </w:rPr>
      </w:pPr>
      <w:r>
        <w:rPr>
          <w:rFonts w:cs="Times New Roman"/>
          <w:b/>
          <w:sz w:val="22"/>
          <w:szCs w:val="22"/>
        </w:rPr>
        <w:t>PERIOD COVERED:</w:t>
      </w:r>
      <w:r w:rsidR="00D45676">
        <w:rPr>
          <w:rFonts w:cs="Times New Roman"/>
          <w:b/>
          <w:sz w:val="22"/>
          <w:szCs w:val="22"/>
          <w:u w:val="single"/>
        </w:rPr>
        <w:t xml:space="preserve"> JANUARY – JUNE 20</w:t>
      </w:r>
      <w:r w:rsidR="00BD647A">
        <w:t>14</w:t>
      </w:r>
    </w:p>
    <w:p w:rsidR="00870590" w:rsidRPr="00FF0380" w:rsidRDefault="00870590" w:rsidP="00FF3594">
      <w:pPr>
        <w:jc w:val="center"/>
        <w:rPr>
          <w:rFonts w:cs="Times New Roman"/>
          <w:b/>
          <w:sz w:val="22"/>
          <w:szCs w:val="22"/>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700"/>
        <w:gridCol w:w="2700"/>
        <w:gridCol w:w="2340"/>
      </w:tblGrid>
      <w:tr w:rsidR="004D5527" w:rsidRPr="00FF0380" w:rsidTr="00BB2676">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Project No &amp; Title:</w:t>
            </w:r>
          </w:p>
        </w:tc>
        <w:tc>
          <w:tcPr>
            <w:tcW w:w="7740" w:type="dxa"/>
            <w:gridSpan w:val="3"/>
            <w:tcBorders>
              <w:top w:val="single" w:sz="4" w:space="0" w:color="auto"/>
              <w:left w:val="single" w:sz="4" w:space="0" w:color="auto"/>
              <w:bottom w:val="single" w:sz="4" w:space="0" w:color="auto"/>
              <w:right w:val="single" w:sz="4" w:space="0" w:color="auto"/>
            </w:tcBorders>
            <w:shd w:val="clear" w:color="auto" w:fill="FFFFFF"/>
          </w:tcPr>
          <w:p w:rsidR="004D5527" w:rsidRPr="00870590" w:rsidRDefault="004D5527" w:rsidP="00870590">
            <w:pPr>
              <w:rPr>
                <w:rFonts w:cs="Times New Roman"/>
                <w:sz w:val="22"/>
                <w:szCs w:val="22"/>
              </w:rPr>
            </w:pPr>
          </w:p>
          <w:p w:rsidR="004D5527" w:rsidRPr="00870590" w:rsidRDefault="004D5527" w:rsidP="00BD647A">
            <w:pPr>
              <w:rPr>
                <w:rFonts w:cs="Times New Roman"/>
                <w:sz w:val="22"/>
                <w:szCs w:val="22"/>
              </w:rPr>
            </w:pPr>
            <w:r w:rsidRPr="00870590">
              <w:rPr>
                <w:rFonts w:cs="Times New Roman"/>
                <w:sz w:val="22"/>
                <w:szCs w:val="22"/>
              </w:rPr>
              <w:t>PBF/</w:t>
            </w:r>
            <w:r w:rsidR="00BD647A">
              <w:t>IRF</w:t>
            </w:r>
            <w:r w:rsidRPr="00870590">
              <w:rPr>
                <w:rFonts w:cs="Times New Roman"/>
                <w:sz w:val="22"/>
                <w:szCs w:val="22"/>
              </w:rPr>
              <w:t>/</w:t>
            </w:r>
            <w:r w:rsidR="00BD647A">
              <w:t>29</w:t>
            </w:r>
            <w:r w:rsidR="00BD647A" w:rsidRPr="000256C0">
              <w:t xml:space="preserve"> Consolidating Peace through DDR in Southern </w:t>
            </w:r>
            <w:proofErr w:type="spellStart"/>
            <w:r w:rsidR="00BD647A" w:rsidRPr="000256C0">
              <w:t>Kordofan</w:t>
            </w:r>
            <w:proofErr w:type="spellEnd"/>
            <w:r w:rsidR="00BD647A" w:rsidRPr="000256C0">
              <w:t xml:space="preserve"> State and Central Sector State</w:t>
            </w:r>
          </w:p>
        </w:tc>
      </w:tr>
      <w:tr w:rsidR="00870590" w:rsidRPr="00FF0380" w:rsidTr="00BB2676">
        <w:trPr>
          <w:trHeight w:val="436"/>
        </w:trPr>
        <w:tc>
          <w:tcPr>
            <w:tcW w:w="2880" w:type="dxa"/>
            <w:tcBorders>
              <w:bottom w:val="single" w:sz="4" w:space="0" w:color="auto"/>
            </w:tcBorders>
            <w:shd w:val="clear" w:color="auto" w:fill="E6E6E6"/>
            <w:vAlign w:val="center"/>
          </w:tcPr>
          <w:p w:rsidR="00870590" w:rsidRPr="00FF0380" w:rsidRDefault="00870590" w:rsidP="00870590">
            <w:pPr>
              <w:rPr>
                <w:rFonts w:cs="Times New Roman"/>
                <w:sz w:val="22"/>
                <w:szCs w:val="22"/>
              </w:rPr>
            </w:pPr>
            <w:r w:rsidRPr="00FF0380">
              <w:rPr>
                <w:rFonts w:cs="Times New Roman"/>
                <w:b/>
                <w:sz w:val="22"/>
                <w:szCs w:val="22"/>
              </w:rPr>
              <w:t>Recipient Organization</w:t>
            </w:r>
            <w:r>
              <w:rPr>
                <w:rFonts w:cs="Times New Roman"/>
                <w:b/>
                <w:sz w:val="22"/>
                <w:szCs w:val="22"/>
              </w:rPr>
              <w:t>(s)</w:t>
            </w:r>
            <w:r w:rsidR="00BB2676">
              <w:rPr>
                <w:rStyle w:val="FootnoteReference"/>
                <w:rFonts w:cs="Times New Roman"/>
                <w:b/>
                <w:sz w:val="22"/>
                <w:szCs w:val="22"/>
              </w:rPr>
              <w:footnoteReference w:id="1"/>
            </w:r>
            <w:r w:rsidRPr="00FF0380">
              <w:rPr>
                <w:rFonts w:cs="Times New Roman"/>
                <w:b/>
                <w:sz w:val="22"/>
                <w:szCs w:val="22"/>
              </w:rPr>
              <w:t xml:space="preserve">:  </w:t>
            </w:r>
          </w:p>
        </w:tc>
        <w:tc>
          <w:tcPr>
            <w:tcW w:w="7740" w:type="dxa"/>
            <w:gridSpan w:val="3"/>
            <w:vAlign w:val="center"/>
          </w:tcPr>
          <w:p w:rsidR="00BD647A" w:rsidRDefault="00BD647A" w:rsidP="00BD647A">
            <w:pPr>
              <w:pStyle w:val="BodyText"/>
            </w:pPr>
          </w:p>
          <w:p w:rsidR="00BD647A" w:rsidRPr="00BD647A" w:rsidRDefault="00BD647A" w:rsidP="00BD647A">
            <w:pPr>
              <w:pStyle w:val="BodyText"/>
            </w:pPr>
            <w:r>
              <w:t>UNDP DDR</w:t>
            </w:r>
          </w:p>
          <w:p w:rsidR="00870590" w:rsidRPr="00FF0380" w:rsidRDefault="00870590" w:rsidP="004D5527">
            <w:pPr>
              <w:rPr>
                <w:rFonts w:cs="Times New Roman"/>
                <w:sz w:val="22"/>
                <w:szCs w:val="22"/>
              </w:rPr>
            </w:pPr>
          </w:p>
        </w:tc>
      </w:tr>
      <w:tr w:rsidR="004D5527" w:rsidRPr="00FF0380" w:rsidTr="00BB2676">
        <w:trPr>
          <w:trHeight w:val="375"/>
        </w:trPr>
        <w:tc>
          <w:tcPr>
            <w:tcW w:w="2880" w:type="dxa"/>
            <w:shd w:val="clear" w:color="auto" w:fill="E6E6E6"/>
            <w:vAlign w:val="center"/>
          </w:tcPr>
          <w:p w:rsidR="004D5527" w:rsidRPr="00FF0380" w:rsidRDefault="00D45676" w:rsidP="00870590">
            <w:pPr>
              <w:rPr>
                <w:rFonts w:cs="Times New Roman"/>
                <w:bCs/>
                <w:sz w:val="22"/>
                <w:szCs w:val="22"/>
              </w:rPr>
            </w:pPr>
            <w:r>
              <w:rPr>
                <w:rFonts w:cs="Times New Roman"/>
                <w:b/>
                <w:sz w:val="22"/>
                <w:szCs w:val="22"/>
              </w:rPr>
              <w:t xml:space="preserve">Implementing Partners (Government, UN agencies, NGOs </w:t>
            </w:r>
            <w:proofErr w:type="spellStart"/>
            <w:r>
              <w:rPr>
                <w:rFonts w:cs="Times New Roman"/>
                <w:b/>
                <w:sz w:val="22"/>
                <w:szCs w:val="22"/>
              </w:rPr>
              <w:t>etc</w:t>
            </w:r>
            <w:proofErr w:type="spellEnd"/>
            <w:r>
              <w:rPr>
                <w:rFonts w:cs="Times New Roman"/>
                <w:b/>
                <w:sz w:val="22"/>
                <w:szCs w:val="22"/>
              </w:rPr>
              <w:t>)</w:t>
            </w:r>
            <w:r w:rsidR="000A26AD">
              <w:rPr>
                <w:rFonts w:cs="Times New Roman"/>
                <w:b/>
                <w:sz w:val="22"/>
                <w:szCs w:val="22"/>
              </w:rPr>
              <w:t>:</w:t>
            </w:r>
          </w:p>
        </w:tc>
        <w:tc>
          <w:tcPr>
            <w:tcW w:w="7740" w:type="dxa"/>
            <w:gridSpan w:val="3"/>
            <w:vAlign w:val="center"/>
          </w:tcPr>
          <w:p w:rsidR="004D5527" w:rsidRPr="00BD647A" w:rsidRDefault="00BD647A" w:rsidP="00BD647A">
            <w:pPr>
              <w:pStyle w:val="BodyText"/>
            </w:pPr>
            <w:r>
              <w:t>S</w:t>
            </w:r>
            <w:r w:rsidRPr="005F608E">
              <w:t xml:space="preserve">udan DDR Commission (SDDRC), ISRA, NIMIAD, CORD, </w:t>
            </w:r>
            <w:proofErr w:type="spellStart"/>
            <w:r w:rsidRPr="005F608E">
              <w:t>Sibro</w:t>
            </w:r>
            <w:proofErr w:type="spellEnd"/>
            <w:r w:rsidRPr="005F608E">
              <w:t xml:space="preserve">, SHO, </w:t>
            </w:r>
            <w:proofErr w:type="spellStart"/>
            <w:r w:rsidRPr="005F608E">
              <w:t>Abrar</w:t>
            </w:r>
            <w:proofErr w:type="spellEnd"/>
            <w:r w:rsidRPr="005F608E">
              <w:t xml:space="preserve">, SOLO, MAMAN, GHF, SUDIA, IRD, JASMAR, Al </w:t>
            </w:r>
            <w:proofErr w:type="spellStart"/>
            <w:r w:rsidRPr="005F608E">
              <w:t>Manar</w:t>
            </w:r>
            <w:proofErr w:type="spellEnd"/>
            <w:r w:rsidRPr="005F608E">
              <w:t xml:space="preserve">, SDA, </w:t>
            </w:r>
            <w:proofErr w:type="spellStart"/>
            <w:r w:rsidRPr="005F608E">
              <w:t>Twasol-Alamal</w:t>
            </w:r>
            <w:proofErr w:type="spellEnd"/>
            <w:r w:rsidRPr="005F608E">
              <w:t xml:space="preserve">, </w:t>
            </w:r>
            <w:proofErr w:type="spellStart"/>
            <w:r w:rsidRPr="005F608E">
              <w:t>Vetcare</w:t>
            </w:r>
            <w:proofErr w:type="spellEnd"/>
            <w:r w:rsidRPr="005F608E">
              <w:t xml:space="preserve">, </w:t>
            </w:r>
            <w:proofErr w:type="spellStart"/>
            <w:r w:rsidRPr="005F608E">
              <w:t>Zenab</w:t>
            </w:r>
            <w:proofErr w:type="spellEnd"/>
            <w:r w:rsidRPr="005F608E">
              <w:t xml:space="preserve">, NEF and  NCFM  </w:t>
            </w:r>
          </w:p>
        </w:tc>
      </w:tr>
      <w:tr w:rsidR="004D5527" w:rsidRPr="00FF0380" w:rsidTr="00BB2676">
        <w:trPr>
          <w:trHeight w:val="375"/>
        </w:trPr>
        <w:tc>
          <w:tcPr>
            <w:tcW w:w="2880" w:type="dxa"/>
            <w:shd w:val="clear" w:color="auto" w:fill="E6E6E6"/>
            <w:vAlign w:val="center"/>
          </w:tcPr>
          <w:p w:rsidR="004D5527" w:rsidRPr="00FF0380" w:rsidRDefault="004D5527" w:rsidP="00870590">
            <w:pPr>
              <w:rPr>
                <w:rFonts w:cs="Times New Roman"/>
                <w:b/>
                <w:sz w:val="22"/>
                <w:szCs w:val="22"/>
              </w:rPr>
            </w:pPr>
            <w:r w:rsidRPr="00FF0380">
              <w:rPr>
                <w:rFonts w:cs="Times New Roman"/>
                <w:b/>
                <w:sz w:val="22"/>
                <w:szCs w:val="22"/>
              </w:rPr>
              <w:t>Location:</w:t>
            </w:r>
          </w:p>
        </w:tc>
        <w:tc>
          <w:tcPr>
            <w:tcW w:w="7740" w:type="dxa"/>
            <w:gridSpan w:val="3"/>
            <w:shd w:val="clear" w:color="auto" w:fill="auto"/>
            <w:vAlign w:val="center"/>
          </w:tcPr>
          <w:p w:rsidR="004D5527" w:rsidRPr="00FF0380" w:rsidRDefault="008F66F0" w:rsidP="004D5527">
            <w:pPr>
              <w:rPr>
                <w:rFonts w:cs="Times New Roman"/>
                <w:sz w:val="22"/>
                <w:szCs w:val="22"/>
              </w:rPr>
            </w:pPr>
            <w:r>
              <w:t>Sudan</w:t>
            </w:r>
          </w:p>
        </w:tc>
      </w:tr>
      <w:tr w:rsidR="00132065" w:rsidRPr="00E71AFA" w:rsidTr="00BB2676">
        <w:trPr>
          <w:trHeight w:val="375"/>
        </w:trPr>
        <w:tc>
          <w:tcPr>
            <w:tcW w:w="2880" w:type="dxa"/>
            <w:shd w:val="clear" w:color="auto" w:fill="E6E6E6"/>
          </w:tcPr>
          <w:p w:rsidR="00132065" w:rsidRPr="00335D95" w:rsidRDefault="00132065" w:rsidP="006C1B11">
            <w:pPr>
              <w:rPr>
                <w:rFonts w:cs="Times New Roman"/>
                <w:b/>
                <w:sz w:val="22"/>
                <w:szCs w:val="22"/>
                <w:lang w:val="fr-FR"/>
              </w:rPr>
            </w:pPr>
            <w:r w:rsidRPr="00335D95">
              <w:rPr>
                <w:rFonts w:cs="Times New Roman"/>
                <w:b/>
                <w:sz w:val="22"/>
                <w:szCs w:val="22"/>
                <w:lang w:val="fr-FR"/>
              </w:rPr>
              <w:t xml:space="preserve">Total </w:t>
            </w:r>
            <w:proofErr w:type="spellStart"/>
            <w:r w:rsidRPr="00335D95">
              <w:rPr>
                <w:rFonts w:cs="Times New Roman"/>
                <w:b/>
                <w:sz w:val="22"/>
                <w:szCs w:val="22"/>
                <w:lang w:val="fr-FR"/>
              </w:rPr>
              <w:t>Approved</w:t>
            </w:r>
            <w:proofErr w:type="spellEnd"/>
            <w:r w:rsidRPr="00335D95">
              <w:rPr>
                <w:rFonts w:cs="Times New Roman"/>
                <w:b/>
                <w:sz w:val="22"/>
                <w:szCs w:val="22"/>
                <w:lang w:val="fr-FR"/>
              </w:rPr>
              <w:t xml:space="preserve"> Budget</w:t>
            </w:r>
            <w:r w:rsidR="000A26AD">
              <w:rPr>
                <w:rFonts w:cs="Times New Roman"/>
                <w:b/>
                <w:sz w:val="22"/>
                <w:szCs w:val="22"/>
                <w:lang w:val="fr-FR"/>
              </w:rPr>
              <w:t> :</w:t>
            </w:r>
            <w:r w:rsidR="00BB2676">
              <w:rPr>
                <w:rStyle w:val="FootnoteReference"/>
                <w:rFonts w:cs="Times New Roman"/>
                <w:b/>
                <w:sz w:val="22"/>
                <w:szCs w:val="22"/>
                <w:lang w:val="fr-FR"/>
              </w:rPr>
              <w:footnoteReference w:id="2"/>
            </w:r>
          </w:p>
        </w:tc>
        <w:tc>
          <w:tcPr>
            <w:tcW w:w="7740" w:type="dxa"/>
            <w:gridSpan w:val="3"/>
            <w:shd w:val="clear" w:color="auto" w:fill="auto"/>
            <w:vAlign w:val="center"/>
          </w:tcPr>
          <w:p w:rsidR="00132065" w:rsidRPr="00A12504" w:rsidRDefault="00BD647A" w:rsidP="008F66F0">
            <w:pPr>
              <w:rPr>
                <w:rFonts w:cs="Times New Roman"/>
                <w:sz w:val="22"/>
                <w:szCs w:val="22"/>
              </w:rPr>
            </w:pPr>
            <w:r w:rsidRPr="00DD57A4">
              <w:t>US</w:t>
            </w:r>
            <w:r>
              <w:t>$</w:t>
            </w:r>
            <w:r w:rsidRPr="00DD57A4">
              <w:t xml:space="preserve"> 4,</w:t>
            </w:r>
            <w:r>
              <w:t>680,0</w:t>
            </w:r>
            <w:r w:rsidR="008F66F0">
              <w:t>1</w:t>
            </w:r>
            <w:r>
              <w:t>0</w:t>
            </w:r>
            <w:r w:rsidR="000C5305">
              <w:t xml:space="preserve"> </w:t>
            </w:r>
            <w:r w:rsidR="000C5305" w:rsidRPr="000C5305">
              <w:t>(approved budget for 201</w:t>
            </w:r>
            <w:r w:rsidR="000C5305">
              <w:t>4</w:t>
            </w:r>
            <w:r w:rsidR="000C5305" w:rsidRPr="000C5305">
              <w:t xml:space="preserve"> – USD </w:t>
            </w:r>
            <w:r w:rsidR="00AE018A" w:rsidRPr="00AE018A">
              <w:rPr>
                <w:rStyle w:val="pseditboxdisponly"/>
              </w:rPr>
              <w:t>244,240.88</w:t>
            </w:r>
            <w:r w:rsidR="000C5305" w:rsidRPr="000C5305">
              <w:t>)</w:t>
            </w:r>
          </w:p>
        </w:tc>
      </w:tr>
      <w:tr w:rsidR="00E71AFA" w:rsidRPr="00132065" w:rsidTr="0097322F">
        <w:trPr>
          <w:trHeight w:val="375"/>
        </w:trPr>
        <w:tc>
          <w:tcPr>
            <w:tcW w:w="2880" w:type="dxa"/>
            <w:shd w:val="clear" w:color="auto" w:fill="E6E6E6"/>
          </w:tcPr>
          <w:p w:rsidR="00E71AFA" w:rsidRPr="000A26AD" w:rsidRDefault="000A26AD" w:rsidP="000A26AD">
            <w:pPr>
              <w:rPr>
                <w:rFonts w:cs="Times New Roman"/>
                <w:b/>
                <w:sz w:val="22"/>
                <w:szCs w:val="22"/>
                <w:lang w:val="en-GB"/>
              </w:rPr>
            </w:pPr>
            <w:r w:rsidRPr="000A26AD">
              <w:rPr>
                <w:rFonts w:cs="Times New Roman"/>
                <w:b/>
                <w:sz w:val="22"/>
                <w:szCs w:val="22"/>
                <w:lang w:val="en-GB"/>
              </w:rPr>
              <w:t>Preliminary data on funds c</w:t>
            </w:r>
            <w:r w:rsidR="00132065" w:rsidRPr="000A26AD">
              <w:rPr>
                <w:rFonts w:cs="Times New Roman"/>
                <w:b/>
                <w:sz w:val="22"/>
                <w:szCs w:val="22"/>
                <w:lang w:val="en-GB"/>
              </w:rPr>
              <w:t>ommitted</w:t>
            </w:r>
            <w:r w:rsidRPr="000A26AD">
              <w:rPr>
                <w:rFonts w:cs="Times New Roman"/>
                <w:b/>
                <w:sz w:val="22"/>
                <w:szCs w:val="22"/>
                <w:lang w:val="en-GB"/>
              </w:rPr>
              <w:t xml:space="preserve"> : </w:t>
            </w:r>
            <w:r w:rsidR="00E71AFA" w:rsidRPr="00335D95">
              <w:rPr>
                <w:rStyle w:val="FootnoteReference"/>
                <w:rFonts w:cs="Times New Roman"/>
                <w:b/>
                <w:sz w:val="22"/>
                <w:szCs w:val="22"/>
              </w:rPr>
              <w:footnoteReference w:id="3"/>
            </w:r>
            <w:r w:rsidR="00E71AFA" w:rsidRPr="000A26AD">
              <w:rPr>
                <w:rFonts w:cs="Times New Roman"/>
                <w:b/>
                <w:sz w:val="22"/>
                <w:szCs w:val="22"/>
                <w:lang w:val="en-GB"/>
              </w:rPr>
              <w:t xml:space="preserve"> </w:t>
            </w:r>
          </w:p>
        </w:tc>
        <w:tc>
          <w:tcPr>
            <w:tcW w:w="2700" w:type="dxa"/>
            <w:shd w:val="clear" w:color="auto" w:fill="auto"/>
            <w:vAlign w:val="center"/>
          </w:tcPr>
          <w:p w:rsidR="0097322F" w:rsidRPr="000A26AD" w:rsidRDefault="00E71AFA" w:rsidP="004D5527">
            <w:pPr>
              <w:rPr>
                <w:rFonts w:cs="Times New Roman"/>
                <w:sz w:val="22"/>
                <w:szCs w:val="22"/>
                <w:lang w:val="en-GB"/>
              </w:rPr>
            </w:pPr>
            <w:r w:rsidRPr="000A26AD">
              <w:rPr>
                <w:rFonts w:cs="Times New Roman"/>
                <w:sz w:val="22"/>
                <w:szCs w:val="22"/>
                <w:lang w:val="en-GB" w:eastAsia="ja-JP"/>
              </w:rPr>
              <w:t xml:space="preserve"> </w:t>
            </w:r>
          </w:p>
          <w:p w:rsidR="0097322F" w:rsidRPr="0097322F" w:rsidRDefault="0097322F" w:rsidP="0097322F">
            <w:r w:rsidRPr="0097322F">
              <w:t xml:space="preserve">                  3,670.80 </w:t>
            </w:r>
          </w:p>
          <w:p w:rsidR="00E71AFA" w:rsidRPr="000A26AD" w:rsidRDefault="00E71AFA" w:rsidP="004D5527">
            <w:pPr>
              <w:rPr>
                <w:rFonts w:cs="Times New Roman"/>
                <w:sz w:val="22"/>
                <w:szCs w:val="22"/>
                <w:lang w:val="en-GB"/>
              </w:rPr>
            </w:pPr>
          </w:p>
        </w:tc>
        <w:tc>
          <w:tcPr>
            <w:tcW w:w="2700" w:type="dxa"/>
            <w:shd w:val="pct15" w:color="auto" w:fill="auto"/>
            <w:vAlign w:val="center"/>
          </w:tcPr>
          <w:p w:rsidR="00E71AFA" w:rsidRPr="00C531CB" w:rsidRDefault="00E71AFA" w:rsidP="00132065">
            <w:pPr>
              <w:rPr>
                <w:rFonts w:cs="Times New Roman"/>
                <w:b/>
                <w:sz w:val="22"/>
                <w:szCs w:val="22"/>
              </w:rPr>
            </w:pPr>
            <w:r w:rsidRPr="00C531CB">
              <w:rPr>
                <w:rFonts w:cs="Times New Roman"/>
                <w:b/>
                <w:sz w:val="22"/>
                <w:szCs w:val="22"/>
              </w:rPr>
              <w:t xml:space="preserve">% </w:t>
            </w:r>
            <w:r w:rsidR="00132065" w:rsidRPr="00C531CB">
              <w:rPr>
                <w:rFonts w:cs="Times New Roman"/>
                <w:b/>
                <w:sz w:val="22"/>
                <w:szCs w:val="22"/>
              </w:rPr>
              <w:t xml:space="preserve">of funds committed </w:t>
            </w:r>
            <w:r w:rsidRPr="00C531CB">
              <w:rPr>
                <w:rFonts w:cs="Times New Roman"/>
                <w:b/>
                <w:sz w:val="22"/>
                <w:szCs w:val="22"/>
              </w:rPr>
              <w:t xml:space="preserve"> / </w:t>
            </w:r>
            <w:r w:rsidR="00132065" w:rsidRPr="00C531CB">
              <w:rPr>
                <w:rFonts w:cs="Times New Roman"/>
                <w:b/>
                <w:sz w:val="22"/>
                <w:szCs w:val="22"/>
              </w:rPr>
              <w:t xml:space="preserve">total approved </w:t>
            </w:r>
            <w:r w:rsidRPr="00C531CB">
              <w:rPr>
                <w:rFonts w:cs="Times New Roman"/>
                <w:b/>
                <w:sz w:val="22"/>
                <w:szCs w:val="22"/>
              </w:rPr>
              <w:t>budget:</w:t>
            </w:r>
          </w:p>
        </w:tc>
        <w:tc>
          <w:tcPr>
            <w:tcW w:w="2340" w:type="dxa"/>
            <w:shd w:val="clear" w:color="auto" w:fill="auto"/>
            <w:vAlign w:val="center"/>
          </w:tcPr>
          <w:p w:rsidR="00E71AFA" w:rsidRPr="00132065" w:rsidRDefault="0097322F" w:rsidP="004D5527">
            <w:pPr>
              <w:rPr>
                <w:rFonts w:cs="Times New Roman"/>
                <w:sz w:val="22"/>
                <w:szCs w:val="22"/>
              </w:rPr>
            </w:pPr>
            <w:r>
              <w:t>2%</w:t>
            </w:r>
          </w:p>
        </w:tc>
      </w:tr>
      <w:tr w:rsidR="00E71AFA" w:rsidRPr="00132065" w:rsidTr="0097322F">
        <w:trPr>
          <w:trHeight w:val="375"/>
        </w:trPr>
        <w:tc>
          <w:tcPr>
            <w:tcW w:w="2880" w:type="dxa"/>
            <w:shd w:val="clear" w:color="auto" w:fill="E6E6E6"/>
          </w:tcPr>
          <w:p w:rsidR="00E71AFA" w:rsidRPr="00335D95" w:rsidRDefault="00132065" w:rsidP="00132065">
            <w:pPr>
              <w:rPr>
                <w:rFonts w:cs="Times New Roman"/>
                <w:b/>
                <w:sz w:val="22"/>
                <w:szCs w:val="22"/>
                <w:lang w:val="fr-FR"/>
              </w:rPr>
            </w:pPr>
            <w:proofErr w:type="spellStart"/>
            <w:r w:rsidRPr="00335D95">
              <w:rPr>
                <w:rFonts w:cs="Times New Roman"/>
                <w:b/>
                <w:sz w:val="22"/>
                <w:szCs w:val="22"/>
                <w:lang w:val="fr-FR"/>
              </w:rPr>
              <w:t>Expenditure</w:t>
            </w:r>
            <w:proofErr w:type="spellEnd"/>
            <w:r w:rsidR="00E71AFA" w:rsidRPr="00335D95">
              <w:rPr>
                <w:rStyle w:val="FootnoteReference"/>
                <w:rFonts w:cs="Times New Roman"/>
                <w:b/>
                <w:sz w:val="22"/>
                <w:szCs w:val="22"/>
              </w:rPr>
              <w:footnoteReference w:id="4"/>
            </w:r>
            <w:r w:rsidR="00E71AFA" w:rsidRPr="00335D95">
              <w:rPr>
                <w:rFonts w:cs="Times New Roman"/>
                <w:b/>
                <w:sz w:val="22"/>
                <w:szCs w:val="22"/>
                <w:lang w:val="fr-FR"/>
              </w:rPr>
              <w:t>:</w:t>
            </w:r>
          </w:p>
        </w:tc>
        <w:tc>
          <w:tcPr>
            <w:tcW w:w="2700" w:type="dxa"/>
            <w:shd w:val="clear" w:color="auto" w:fill="auto"/>
            <w:vAlign w:val="center"/>
          </w:tcPr>
          <w:p w:rsidR="0097322F" w:rsidRPr="0097322F" w:rsidRDefault="0097322F" w:rsidP="0097322F">
            <w:r w:rsidRPr="0097322F">
              <w:t xml:space="preserve">                                 </w:t>
            </w:r>
            <w:r>
              <w:t xml:space="preserve">  </w:t>
            </w:r>
            <w:r w:rsidRPr="0097322F">
              <w:t xml:space="preserve"> </w:t>
            </w:r>
            <w:r>
              <w:t xml:space="preserve">  223,473.11(provisional) </w:t>
            </w:r>
          </w:p>
          <w:p w:rsidR="00E71AFA" w:rsidRPr="00E71AFA" w:rsidRDefault="00E71AFA" w:rsidP="004D5527">
            <w:pPr>
              <w:rPr>
                <w:rFonts w:cs="Times New Roman"/>
                <w:sz w:val="22"/>
                <w:szCs w:val="22"/>
                <w:lang w:val="fr-FR" w:eastAsia="ja-JP"/>
              </w:rPr>
            </w:pPr>
          </w:p>
        </w:tc>
        <w:tc>
          <w:tcPr>
            <w:tcW w:w="2700" w:type="dxa"/>
            <w:tcBorders>
              <w:bottom w:val="single" w:sz="4" w:space="0" w:color="auto"/>
            </w:tcBorders>
            <w:shd w:val="pct15" w:color="auto" w:fill="auto"/>
            <w:vAlign w:val="center"/>
          </w:tcPr>
          <w:p w:rsidR="00E71AFA" w:rsidRPr="00C531CB" w:rsidRDefault="00E71AFA" w:rsidP="00132065">
            <w:pPr>
              <w:rPr>
                <w:rFonts w:cs="Times New Roman"/>
                <w:sz w:val="22"/>
                <w:szCs w:val="22"/>
              </w:rPr>
            </w:pPr>
            <w:r w:rsidRPr="00C531CB">
              <w:rPr>
                <w:rFonts w:cs="Times New Roman"/>
                <w:b/>
                <w:sz w:val="22"/>
                <w:szCs w:val="22"/>
              </w:rPr>
              <w:t xml:space="preserve">% </w:t>
            </w:r>
            <w:r w:rsidR="00132065" w:rsidRPr="00C531CB">
              <w:rPr>
                <w:rFonts w:cs="Times New Roman"/>
                <w:b/>
                <w:sz w:val="22"/>
                <w:szCs w:val="22"/>
              </w:rPr>
              <w:t xml:space="preserve">of expenditure </w:t>
            </w:r>
            <w:r w:rsidRPr="00C531CB">
              <w:rPr>
                <w:rFonts w:cs="Times New Roman"/>
                <w:b/>
                <w:sz w:val="22"/>
                <w:szCs w:val="22"/>
              </w:rPr>
              <w:t xml:space="preserve">/ </w:t>
            </w:r>
            <w:r w:rsidR="00132065" w:rsidRPr="00C531CB">
              <w:rPr>
                <w:rFonts w:cs="Times New Roman"/>
                <w:b/>
                <w:sz w:val="22"/>
                <w:szCs w:val="22"/>
              </w:rPr>
              <w:t xml:space="preserve">total </w:t>
            </w:r>
            <w:r w:rsidRPr="00C531CB">
              <w:rPr>
                <w:rFonts w:cs="Times New Roman"/>
                <w:b/>
                <w:sz w:val="22"/>
                <w:szCs w:val="22"/>
              </w:rPr>
              <w:t>budget:</w:t>
            </w:r>
            <w:r w:rsidR="00D45676" w:rsidRPr="00C531CB">
              <w:rPr>
                <w:rFonts w:cs="Times New Roman"/>
                <w:b/>
                <w:sz w:val="22"/>
                <w:szCs w:val="22"/>
              </w:rPr>
              <w:t xml:space="preserve"> (Delivery rate)</w:t>
            </w:r>
          </w:p>
        </w:tc>
        <w:tc>
          <w:tcPr>
            <w:tcW w:w="2340" w:type="dxa"/>
            <w:shd w:val="clear" w:color="auto" w:fill="auto"/>
            <w:vAlign w:val="center"/>
          </w:tcPr>
          <w:p w:rsidR="00E71AFA" w:rsidRPr="00132065" w:rsidRDefault="0097322F" w:rsidP="004D5527">
            <w:pPr>
              <w:rPr>
                <w:rFonts w:cs="Times New Roman"/>
                <w:sz w:val="22"/>
                <w:szCs w:val="22"/>
                <w:lang w:eastAsia="ja-JP"/>
              </w:rPr>
            </w:pPr>
            <w:r>
              <w:t>91%</w:t>
            </w:r>
          </w:p>
        </w:tc>
      </w:tr>
      <w:tr w:rsidR="00937667" w:rsidRPr="00FF0380" w:rsidTr="0097322F">
        <w:trPr>
          <w:trHeight w:val="420"/>
        </w:trPr>
        <w:tc>
          <w:tcPr>
            <w:tcW w:w="2880" w:type="dxa"/>
            <w:shd w:val="clear" w:color="auto" w:fill="E6E6E6"/>
            <w:vAlign w:val="center"/>
          </w:tcPr>
          <w:p w:rsidR="00937667" w:rsidRDefault="00132065" w:rsidP="00870590">
            <w:pPr>
              <w:rPr>
                <w:rFonts w:cs="Times New Roman"/>
                <w:b/>
                <w:sz w:val="22"/>
                <w:szCs w:val="22"/>
              </w:rPr>
            </w:pPr>
            <w:r>
              <w:rPr>
                <w:rFonts w:cs="Times New Roman"/>
                <w:b/>
                <w:sz w:val="22"/>
                <w:szCs w:val="22"/>
              </w:rPr>
              <w:t xml:space="preserve">Project </w:t>
            </w:r>
            <w:r w:rsidR="00937667" w:rsidRPr="00FF0380">
              <w:rPr>
                <w:rFonts w:cs="Times New Roman"/>
                <w:b/>
                <w:sz w:val="22"/>
                <w:szCs w:val="22"/>
              </w:rPr>
              <w:t>Approval Date:</w:t>
            </w:r>
          </w:p>
          <w:p w:rsidR="00937667" w:rsidRPr="00FF0380" w:rsidRDefault="00937667" w:rsidP="00870590">
            <w:pPr>
              <w:rPr>
                <w:rFonts w:cs="Times New Roman"/>
                <w:b/>
                <w:sz w:val="22"/>
                <w:szCs w:val="22"/>
              </w:rPr>
            </w:pPr>
          </w:p>
        </w:tc>
        <w:tc>
          <w:tcPr>
            <w:tcW w:w="2700" w:type="dxa"/>
            <w:shd w:val="clear" w:color="auto" w:fill="auto"/>
            <w:vAlign w:val="center"/>
          </w:tcPr>
          <w:p w:rsidR="00937667" w:rsidRDefault="008F66F0" w:rsidP="008E7AB9">
            <w:pPr>
              <w:jc w:val="center"/>
              <w:rPr>
                <w:rFonts w:cs="Times New Roman"/>
                <w:b/>
                <w:sz w:val="22"/>
                <w:szCs w:val="22"/>
              </w:rPr>
            </w:pPr>
            <w:r>
              <w:t>2 June 2011</w:t>
            </w:r>
          </w:p>
        </w:tc>
        <w:tc>
          <w:tcPr>
            <w:tcW w:w="2700" w:type="dxa"/>
            <w:vMerge w:val="restart"/>
            <w:shd w:val="pct15" w:color="auto" w:fill="auto"/>
            <w:vAlign w:val="center"/>
          </w:tcPr>
          <w:p w:rsidR="00937667" w:rsidRPr="00132065" w:rsidRDefault="00937667" w:rsidP="008E7AB9">
            <w:pPr>
              <w:jc w:val="center"/>
              <w:rPr>
                <w:rFonts w:cs="Times New Roman"/>
                <w:b/>
                <w:bCs/>
                <w:sz w:val="22"/>
                <w:szCs w:val="22"/>
              </w:rPr>
            </w:pPr>
            <w:r w:rsidRPr="00132065">
              <w:rPr>
                <w:rFonts w:cs="Times New Roman"/>
                <w:b/>
                <w:bCs/>
                <w:sz w:val="22"/>
                <w:szCs w:val="22"/>
              </w:rPr>
              <w:t>Possible delay in operational closure date (Number of months)</w:t>
            </w:r>
          </w:p>
        </w:tc>
        <w:tc>
          <w:tcPr>
            <w:tcW w:w="2340" w:type="dxa"/>
            <w:vMerge w:val="restart"/>
            <w:shd w:val="clear" w:color="auto" w:fill="auto"/>
            <w:vAlign w:val="center"/>
          </w:tcPr>
          <w:p w:rsidR="00937667" w:rsidRPr="00FF0380" w:rsidRDefault="00937667" w:rsidP="008E7AB9">
            <w:pPr>
              <w:jc w:val="center"/>
              <w:rPr>
                <w:rFonts w:cs="Times New Roman"/>
                <w:bCs/>
                <w:sz w:val="22"/>
                <w:szCs w:val="22"/>
              </w:rPr>
            </w:pPr>
          </w:p>
        </w:tc>
      </w:tr>
      <w:tr w:rsidR="00937667" w:rsidRPr="00FF0380" w:rsidTr="0097322F">
        <w:trPr>
          <w:trHeight w:val="420"/>
        </w:trPr>
        <w:tc>
          <w:tcPr>
            <w:tcW w:w="2880" w:type="dxa"/>
            <w:shd w:val="clear" w:color="auto" w:fill="E6E6E6"/>
            <w:vAlign w:val="center"/>
          </w:tcPr>
          <w:p w:rsidR="00937667" w:rsidRDefault="00132065" w:rsidP="00937667">
            <w:pPr>
              <w:rPr>
                <w:rFonts w:cs="Times New Roman"/>
                <w:b/>
                <w:sz w:val="22"/>
                <w:szCs w:val="22"/>
              </w:rPr>
            </w:pPr>
            <w:r>
              <w:rPr>
                <w:rFonts w:cs="Times New Roman"/>
                <w:b/>
                <w:sz w:val="22"/>
                <w:szCs w:val="22"/>
              </w:rPr>
              <w:t xml:space="preserve">Project </w:t>
            </w:r>
            <w:r w:rsidR="00937667">
              <w:rPr>
                <w:rFonts w:cs="Times New Roman"/>
                <w:b/>
                <w:sz w:val="22"/>
                <w:szCs w:val="22"/>
              </w:rPr>
              <w:t>Start Date:</w:t>
            </w:r>
          </w:p>
          <w:p w:rsidR="00937667" w:rsidRPr="00FF0380" w:rsidRDefault="00937667" w:rsidP="00870590">
            <w:pPr>
              <w:rPr>
                <w:rFonts w:cs="Times New Roman"/>
                <w:b/>
                <w:sz w:val="22"/>
                <w:szCs w:val="22"/>
              </w:rPr>
            </w:pPr>
          </w:p>
        </w:tc>
        <w:tc>
          <w:tcPr>
            <w:tcW w:w="2700" w:type="dxa"/>
            <w:shd w:val="clear" w:color="auto" w:fill="auto"/>
            <w:vAlign w:val="center"/>
          </w:tcPr>
          <w:p w:rsidR="00937667" w:rsidRDefault="000C5305" w:rsidP="008E7AB9">
            <w:pPr>
              <w:jc w:val="center"/>
              <w:rPr>
                <w:rFonts w:cs="Times New Roman"/>
                <w:b/>
                <w:sz w:val="22"/>
                <w:szCs w:val="22"/>
              </w:rPr>
            </w:pPr>
            <w:r>
              <w:t>01.03.2011</w:t>
            </w:r>
          </w:p>
        </w:tc>
        <w:tc>
          <w:tcPr>
            <w:tcW w:w="270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937667" w:rsidRPr="00FF0380" w:rsidTr="0097322F">
        <w:trPr>
          <w:trHeight w:val="420"/>
        </w:trPr>
        <w:tc>
          <w:tcPr>
            <w:tcW w:w="2880" w:type="dxa"/>
            <w:tcBorders>
              <w:bottom w:val="single" w:sz="4" w:space="0" w:color="auto"/>
            </w:tcBorders>
            <w:shd w:val="clear" w:color="auto" w:fill="E6E6E6"/>
            <w:vAlign w:val="center"/>
          </w:tcPr>
          <w:p w:rsidR="00937667" w:rsidRPr="00FF0380" w:rsidRDefault="00937667" w:rsidP="00870590">
            <w:pPr>
              <w:rPr>
                <w:rFonts w:cs="Times New Roman"/>
                <w:b/>
                <w:sz w:val="22"/>
                <w:szCs w:val="22"/>
              </w:rPr>
            </w:pPr>
            <w:r>
              <w:rPr>
                <w:rFonts w:cs="Times New Roman"/>
                <w:b/>
                <w:sz w:val="22"/>
                <w:szCs w:val="22"/>
              </w:rPr>
              <w:t>Expected Operational</w:t>
            </w:r>
            <w:r w:rsidR="00132065">
              <w:rPr>
                <w:rFonts w:cs="Times New Roman"/>
                <w:b/>
                <w:sz w:val="22"/>
                <w:szCs w:val="22"/>
              </w:rPr>
              <w:t xml:space="preserve"> Project </w:t>
            </w:r>
            <w:r>
              <w:rPr>
                <w:rFonts w:cs="Times New Roman"/>
                <w:b/>
                <w:sz w:val="22"/>
                <w:szCs w:val="22"/>
              </w:rPr>
              <w:t xml:space="preserve"> Closure Date:</w:t>
            </w:r>
          </w:p>
        </w:tc>
        <w:tc>
          <w:tcPr>
            <w:tcW w:w="2700" w:type="dxa"/>
            <w:shd w:val="clear" w:color="auto" w:fill="auto"/>
            <w:vAlign w:val="center"/>
          </w:tcPr>
          <w:p w:rsidR="00937667" w:rsidRDefault="000C5305" w:rsidP="008E7AB9">
            <w:pPr>
              <w:jc w:val="center"/>
              <w:rPr>
                <w:rFonts w:cs="Times New Roman"/>
                <w:b/>
                <w:sz w:val="22"/>
                <w:szCs w:val="22"/>
              </w:rPr>
            </w:pPr>
            <w:r>
              <w:t>31.07.2014</w:t>
            </w:r>
          </w:p>
        </w:tc>
        <w:tc>
          <w:tcPr>
            <w:tcW w:w="270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F05D7B" w:rsidRPr="00FF0380" w:rsidTr="00BB2676">
        <w:trPr>
          <w:trHeight w:val="778"/>
        </w:trPr>
        <w:tc>
          <w:tcPr>
            <w:tcW w:w="2880" w:type="dxa"/>
            <w:shd w:val="clear" w:color="auto" w:fill="E6E6E6"/>
            <w:vAlign w:val="center"/>
          </w:tcPr>
          <w:p w:rsidR="00F05D7B" w:rsidRPr="00FF0380" w:rsidRDefault="00F05D7B" w:rsidP="00870590">
            <w:pPr>
              <w:rPr>
                <w:rFonts w:cs="Times New Roman"/>
                <w:b/>
                <w:sz w:val="22"/>
                <w:szCs w:val="22"/>
              </w:rPr>
            </w:pPr>
            <w:r>
              <w:rPr>
                <w:rFonts w:cs="Times New Roman"/>
                <w:b/>
                <w:sz w:val="22"/>
                <w:szCs w:val="22"/>
              </w:rPr>
              <w:lastRenderedPageBreak/>
              <w:t>Project Outcomes:</w:t>
            </w:r>
          </w:p>
        </w:tc>
        <w:tc>
          <w:tcPr>
            <w:tcW w:w="7740" w:type="dxa"/>
            <w:gridSpan w:val="3"/>
            <w:shd w:val="clear" w:color="auto" w:fill="auto"/>
            <w:vAlign w:val="center"/>
          </w:tcPr>
          <w:p w:rsidR="00BD647A" w:rsidRDefault="00BD647A" w:rsidP="00BD647A">
            <w:r>
              <w:t xml:space="preserve">Outcome 1: </w:t>
            </w:r>
            <w:r w:rsidRPr="00DD44FB">
              <w:t>Respond to imminent threats to the peace process and initiatives that support peace agreements and political dialogue</w:t>
            </w:r>
            <w:r>
              <w:t xml:space="preserve"> </w:t>
            </w:r>
          </w:p>
          <w:p w:rsidR="00BD647A" w:rsidRDefault="00BD647A" w:rsidP="00BD647A">
            <w:r>
              <w:t xml:space="preserve">Outcome 2: </w:t>
            </w:r>
            <w:r w:rsidRPr="00D104DD">
              <w:t>Build or strengthen national capacities to promote coexistence and peaceful resolution of conflict.</w:t>
            </w:r>
          </w:p>
          <w:p w:rsidR="00F05D7B" w:rsidRDefault="00BD647A" w:rsidP="00870590">
            <w:pPr>
              <w:rPr>
                <w:rFonts w:cs="Times New Roman"/>
                <w:bCs/>
                <w:sz w:val="22"/>
                <w:szCs w:val="22"/>
              </w:rPr>
            </w:pPr>
            <w:r w:rsidRPr="00DD44FB">
              <w:t>Outcome 3: Stimulate economic revitalization to general peace dividends.</w:t>
            </w:r>
          </w:p>
        </w:tc>
      </w:tr>
      <w:tr w:rsidR="00E71AFA" w:rsidRPr="00FF0380" w:rsidTr="00BB2676">
        <w:trPr>
          <w:trHeight w:val="778"/>
        </w:trPr>
        <w:tc>
          <w:tcPr>
            <w:tcW w:w="2880" w:type="dxa"/>
            <w:shd w:val="clear" w:color="auto" w:fill="E6E6E6"/>
            <w:vAlign w:val="center"/>
          </w:tcPr>
          <w:p w:rsidR="00E71AFA" w:rsidRPr="00FF0380" w:rsidRDefault="00E71AFA" w:rsidP="00CC0EED">
            <w:pPr>
              <w:rPr>
                <w:rFonts w:cs="Times New Roman"/>
                <w:b/>
                <w:sz w:val="22"/>
                <w:szCs w:val="22"/>
              </w:rPr>
            </w:pPr>
            <w:r w:rsidRPr="00FF0380">
              <w:rPr>
                <w:rFonts w:cs="Times New Roman"/>
                <w:b/>
                <w:sz w:val="22"/>
                <w:szCs w:val="22"/>
              </w:rPr>
              <w:t xml:space="preserve">PBF </w:t>
            </w:r>
            <w:r w:rsidR="00CC0EED">
              <w:rPr>
                <w:rFonts w:cs="Times New Roman"/>
                <w:b/>
                <w:sz w:val="22"/>
                <w:szCs w:val="22"/>
              </w:rPr>
              <w:t>Focus</w:t>
            </w:r>
            <w:r w:rsidR="00CC0EED" w:rsidRPr="00FF0380">
              <w:rPr>
                <w:rFonts w:cs="Times New Roman"/>
                <w:b/>
                <w:sz w:val="22"/>
                <w:szCs w:val="22"/>
              </w:rPr>
              <w:t xml:space="preserve"> </w:t>
            </w:r>
            <w:r>
              <w:rPr>
                <w:rFonts w:cs="Times New Roman"/>
                <w:b/>
                <w:sz w:val="22"/>
                <w:szCs w:val="22"/>
              </w:rPr>
              <w:t>A</w:t>
            </w:r>
            <w:r w:rsidRPr="00FF0380">
              <w:rPr>
                <w:rFonts w:cs="Times New Roman"/>
                <w:b/>
                <w:sz w:val="22"/>
                <w:szCs w:val="22"/>
              </w:rPr>
              <w:t>rea</w:t>
            </w:r>
            <w:r w:rsidR="00190A73">
              <w:rPr>
                <w:rStyle w:val="FootnoteReference"/>
                <w:rFonts w:cs="Times New Roman"/>
                <w:b/>
                <w:sz w:val="22"/>
                <w:szCs w:val="22"/>
              </w:rPr>
              <w:footnoteReference w:id="5"/>
            </w:r>
          </w:p>
        </w:tc>
        <w:tc>
          <w:tcPr>
            <w:tcW w:w="7740" w:type="dxa"/>
            <w:gridSpan w:val="3"/>
            <w:shd w:val="clear" w:color="auto" w:fill="auto"/>
            <w:vAlign w:val="center"/>
          </w:tcPr>
          <w:p w:rsidR="000C5305" w:rsidRPr="000C5305" w:rsidRDefault="000C5305" w:rsidP="00C63FBD">
            <w:r w:rsidRPr="000C5305">
              <w:t xml:space="preserve">Priority Area: 1, 2 and 3 (1. </w:t>
            </w:r>
            <w:r w:rsidR="00C63FBD">
              <w:t>Support the implementation of peace agreements and political dialogue (1.3) DDR;</w:t>
            </w:r>
            <w:r w:rsidRPr="000C5305">
              <w:t xml:space="preserve"> 2. </w:t>
            </w:r>
            <w:r>
              <w:t>Support co-existence and peaceful resolution of conflict</w:t>
            </w:r>
            <w:r w:rsidR="00C63FBD">
              <w:t>;</w:t>
            </w:r>
            <w:r w:rsidRPr="000C5305">
              <w:t xml:space="preserve"> 3. </w:t>
            </w:r>
            <w:r>
              <w:t>Revitalize the economy and generate immediate peace dividends</w:t>
            </w:r>
            <w:r w:rsidR="00C63FBD">
              <w:t>)</w:t>
            </w:r>
            <w:r>
              <w:t>.</w:t>
            </w:r>
          </w:p>
          <w:p w:rsidR="000C5305" w:rsidRPr="00FF0380" w:rsidRDefault="000C5305" w:rsidP="00837D7F">
            <w:pPr>
              <w:rPr>
                <w:rFonts w:cs="Times New Roman"/>
                <w:sz w:val="22"/>
                <w:szCs w:val="22"/>
              </w:rPr>
            </w:pPr>
          </w:p>
        </w:tc>
      </w:tr>
    </w:tbl>
    <w:p w:rsidR="00B127F2" w:rsidRDefault="00B127F2" w:rsidP="001D7143">
      <w:pPr>
        <w:outlineLvl w:val="0"/>
        <w:rPr>
          <w:rFonts w:cs="Times New Roman"/>
          <w:sz w:val="22"/>
          <w:szCs w:val="22"/>
        </w:rPr>
        <w:sectPr w:rsidR="00B127F2" w:rsidSect="00CC0EED">
          <w:footerReference w:type="even" r:id="rId11"/>
          <w:footerReference w:type="default" r:id="rId12"/>
          <w:pgSz w:w="12240" w:h="15840"/>
          <w:pgMar w:top="562" w:right="1530" w:bottom="562" w:left="1800" w:header="720" w:footer="720" w:gutter="0"/>
          <w:pgNumType w:start="1"/>
          <w:cols w:space="720"/>
          <w:formProt w:val="0"/>
          <w:docGrid w:linePitch="360"/>
        </w:sectPr>
      </w:pPr>
    </w:p>
    <w:p w:rsidR="00BB2676" w:rsidRDefault="00BB2676" w:rsidP="001D7143">
      <w:pPr>
        <w:outlineLvl w:val="0"/>
        <w:rPr>
          <w:rFonts w:cs="Times New Roman"/>
          <w:sz w:val="22"/>
          <w:szCs w:val="22"/>
        </w:rPr>
      </w:pPr>
    </w:p>
    <w:p w:rsidR="00A10B86" w:rsidRDefault="00A10B86" w:rsidP="001D7143">
      <w:pPr>
        <w:outlineLvl w:val="0"/>
        <w:rPr>
          <w:rFonts w:cs="Times New Roman"/>
          <w:sz w:val="22"/>
          <w:szCs w:val="22"/>
        </w:rPr>
      </w:pPr>
    </w:p>
    <w:p w:rsidR="00CC0EED" w:rsidRDefault="00CC0EED" w:rsidP="001D7143">
      <w:pPr>
        <w:outlineLvl w:val="0"/>
        <w:rPr>
          <w:rFonts w:cs="Times New Roman"/>
          <w:b/>
          <w:sz w:val="22"/>
          <w:szCs w:val="22"/>
        </w:rPr>
      </w:pPr>
      <w:r>
        <w:rPr>
          <w:rFonts w:cs="Times New Roman"/>
          <w:b/>
          <w:sz w:val="22"/>
          <w:szCs w:val="22"/>
        </w:rPr>
        <w:t>Quali</w:t>
      </w:r>
      <w:r w:rsidR="00DF782D">
        <w:rPr>
          <w:rFonts w:cs="Times New Roman"/>
          <w:b/>
          <w:sz w:val="22"/>
          <w:szCs w:val="22"/>
        </w:rPr>
        <w:t xml:space="preserve">tative assessment of progress </w:t>
      </w:r>
    </w:p>
    <w:p w:rsidR="00CC0EED" w:rsidRDefault="00CC0EED" w:rsidP="001D7143">
      <w:pPr>
        <w:outlineLvl w:val="0"/>
        <w:rPr>
          <w:rFonts w:cs="Times New Roman"/>
          <w:b/>
          <w:sz w:val="22"/>
          <w:szCs w:val="22"/>
        </w:rPr>
      </w:pPr>
    </w:p>
    <w:tbl>
      <w:tblPr>
        <w:tblW w:w="13068"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0080"/>
      </w:tblGrid>
      <w:tr w:rsidR="00B127F2" w:rsidRPr="000D4837" w:rsidTr="00DF782D">
        <w:tc>
          <w:tcPr>
            <w:tcW w:w="2988" w:type="dxa"/>
            <w:shd w:val="clear" w:color="auto" w:fill="auto"/>
          </w:tcPr>
          <w:p w:rsidR="00DF782D" w:rsidRDefault="00DF782D" w:rsidP="00DF782D">
            <w:pPr>
              <w:outlineLvl w:val="0"/>
              <w:rPr>
                <w:rFonts w:cs="Times New Roman"/>
                <w:i/>
                <w:color w:val="000000"/>
                <w:sz w:val="22"/>
                <w:szCs w:val="22"/>
              </w:rPr>
            </w:pPr>
            <w:r>
              <w:rPr>
                <w:rFonts w:cs="Times New Roman"/>
                <w:i/>
                <w:color w:val="000000"/>
                <w:sz w:val="22"/>
                <w:szCs w:val="22"/>
              </w:rPr>
              <w:t>For each intended</w:t>
            </w:r>
            <w:r w:rsidR="00B127F2" w:rsidRPr="000D4837">
              <w:rPr>
                <w:rFonts w:cs="Times New Roman"/>
                <w:i/>
                <w:color w:val="000000"/>
                <w:sz w:val="22"/>
                <w:szCs w:val="22"/>
              </w:rPr>
              <w:t xml:space="preserve"> outcome</w:t>
            </w:r>
            <w:r>
              <w:rPr>
                <w:rFonts w:cs="Times New Roman"/>
                <w:i/>
                <w:color w:val="000000"/>
                <w:sz w:val="22"/>
                <w:szCs w:val="22"/>
              </w:rPr>
              <w:t xml:space="preserve">, provide evidence of progress during the reporting period. </w:t>
            </w:r>
          </w:p>
          <w:p w:rsidR="00DF782D" w:rsidRDefault="00DF782D" w:rsidP="00DF782D">
            <w:pPr>
              <w:outlineLvl w:val="0"/>
              <w:rPr>
                <w:rFonts w:cs="Times New Roman"/>
                <w:i/>
                <w:color w:val="000000"/>
                <w:sz w:val="22"/>
                <w:szCs w:val="22"/>
              </w:rPr>
            </w:pPr>
          </w:p>
          <w:p w:rsidR="00B127F2" w:rsidRDefault="00DF782D" w:rsidP="00DF782D">
            <w:pPr>
              <w:outlineLvl w:val="0"/>
              <w:rPr>
                <w:rFonts w:cs="Times New Roman"/>
                <w:i/>
                <w:color w:val="000000"/>
                <w:sz w:val="22"/>
                <w:szCs w:val="22"/>
              </w:rPr>
            </w:pPr>
            <w:r>
              <w:rPr>
                <w:rFonts w:cs="Times New Roman"/>
                <w:i/>
                <w:color w:val="000000"/>
                <w:sz w:val="22"/>
                <w:szCs w:val="22"/>
              </w:rPr>
              <w:t xml:space="preserve">In addition, for each outcome include </w:t>
            </w:r>
            <w:r w:rsidR="00B127F2" w:rsidRPr="000D4837">
              <w:rPr>
                <w:rFonts w:cs="Times New Roman"/>
                <w:i/>
                <w:color w:val="000000"/>
                <w:sz w:val="22"/>
                <w:szCs w:val="22"/>
              </w:rPr>
              <w:t xml:space="preserve">the </w:t>
            </w:r>
            <w:r w:rsidR="00B127F2">
              <w:rPr>
                <w:rFonts w:cs="Times New Roman"/>
                <w:i/>
                <w:color w:val="000000"/>
                <w:sz w:val="22"/>
                <w:szCs w:val="22"/>
              </w:rPr>
              <w:t>outputs achieved</w:t>
            </w:r>
            <w:r>
              <w:rPr>
                <w:rFonts w:cs="Times New Roman"/>
                <w:i/>
                <w:color w:val="000000"/>
                <w:sz w:val="22"/>
                <w:szCs w:val="22"/>
              </w:rPr>
              <w:t>.</w:t>
            </w:r>
          </w:p>
          <w:p w:rsidR="00030833" w:rsidRPr="000D4837" w:rsidRDefault="00030833" w:rsidP="00DF782D">
            <w:pPr>
              <w:outlineLvl w:val="0"/>
              <w:rPr>
                <w:rFonts w:cs="Times New Roman"/>
                <w:b/>
                <w:sz w:val="22"/>
                <w:szCs w:val="22"/>
              </w:rPr>
            </w:pPr>
            <w:r>
              <w:rPr>
                <w:rFonts w:cs="Times New Roman"/>
                <w:i/>
                <w:color w:val="000000"/>
                <w:sz w:val="22"/>
                <w:szCs w:val="22"/>
              </w:rPr>
              <w:t>(500 words max.)</w:t>
            </w:r>
          </w:p>
        </w:tc>
        <w:tc>
          <w:tcPr>
            <w:tcW w:w="10080" w:type="dxa"/>
            <w:shd w:val="clear" w:color="auto" w:fill="auto"/>
          </w:tcPr>
          <w:p w:rsidR="0085068E" w:rsidRPr="0085068E" w:rsidRDefault="0085068E" w:rsidP="0085068E">
            <w:r>
              <w:t xml:space="preserve">Outcome 1: Respond to imminent threats to the peace process and </w:t>
            </w:r>
            <w:r w:rsidR="00446BD6">
              <w:t>initiatives</w:t>
            </w:r>
            <w:r>
              <w:t xml:space="preserve"> that support peace agreements and political dialogue.</w:t>
            </w:r>
            <w:r w:rsidRPr="00940D55">
              <w:rPr>
                <w:rFonts w:cs="Times New Roman"/>
                <w:sz w:val="22"/>
                <w:szCs w:val="22"/>
                <w:lang w:val="en-GB"/>
              </w:rPr>
              <w:t xml:space="preserve"> </w:t>
            </w:r>
            <w:r>
              <w:t xml:space="preserve">Outcome 2: </w:t>
            </w:r>
            <w:r w:rsidRPr="0085068E">
              <w:t>Build or strengthen national capacities to promote coexistence and peaceful resolution of conflict.</w:t>
            </w:r>
            <w:r>
              <w:t xml:space="preserve"> Outcome 3: Stimulate economic revitalization to general peace dividends.</w:t>
            </w:r>
            <w:r w:rsidRPr="0085068E">
              <w:t xml:space="preserve"> </w:t>
            </w:r>
          </w:p>
          <w:p w:rsidR="00B127F2" w:rsidRDefault="00B127F2" w:rsidP="00D76427">
            <w:pPr>
              <w:outlineLvl w:val="0"/>
            </w:pPr>
          </w:p>
          <w:p w:rsidR="00446BD6" w:rsidRDefault="00446BD6" w:rsidP="00D76427">
            <w:pPr>
              <w:outlineLvl w:val="0"/>
            </w:pPr>
          </w:p>
          <w:p w:rsidR="00446BD6" w:rsidRDefault="00446BD6" w:rsidP="00AA0F1C">
            <w:pPr>
              <w:outlineLvl w:val="0"/>
            </w:pPr>
            <w:r>
              <w:t>A</w:t>
            </w:r>
            <w:r w:rsidRPr="00A41FE7">
              <w:t xml:space="preserve">ll of the reintegration activities to be supported by PBF </w:t>
            </w:r>
            <w:r w:rsidR="00AA0F1C">
              <w:t>were</w:t>
            </w:r>
            <w:r w:rsidRPr="00A41FE7">
              <w:t xml:space="preserve"> completed in the Central Sector and South </w:t>
            </w:r>
            <w:proofErr w:type="spellStart"/>
            <w:r w:rsidRPr="00A41FE7">
              <w:t>Kordofan</w:t>
            </w:r>
            <w:proofErr w:type="spellEnd"/>
            <w:r w:rsidRPr="00A41FE7">
              <w:t xml:space="preserve"> </w:t>
            </w:r>
            <w:r w:rsidR="00AA0F1C" w:rsidRPr="00A41FE7">
              <w:t>(</w:t>
            </w:r>
            <w:r w:rsidR="00AA0F1C">
              <w:t>please</w:t>
            </w:r>
            <w:r w:rsidR="00296FA9">
              <w:t xml:space="preserve"> refer to </w:t>
            </w:r>
            <w:r w:rsidRPr="00A41FE7">
              <w:t>annual report</w:t>
            </w:r>
            <w:r w:rsidR="00296FA9">
              <w:t>s</w:t>
            </w:r>
            <w:r w:rsidRPr="00A41FE7">
              <w:t xml:space="preserve"> </w:t>
            </w:r>
            <w:r w:rsidR="004C7ACB">
              <w:t xml:space="preserve">of </w:t>
            </w:r>
            <w:r w:rsidRPr="00A41FE7">
              <w:t>2012</w:t>
            </w:r>
            <w:r>
              <w:t xml:space="preserve"> and 2013</w:t>
            </w:r>
            <w:r w:rsidRPr="00A41FE7">
              <w:t xml:space="preserve">). </w:t>
            </w:r>
            <w:r w:rsidRPr="00446BD6">
              <w:t>The key remaining activit</w:t>
            </w:r>
            <w:r>
              <w:t>y</w:t>
            </w:r>
            <w:r w:rsidRPr="00446BD6">
              <w:t xml:space="preserve"> </w:t>
            </w:r>
            <w:r>
              <w:t>was</w:t>
            </w:r>
            <w:r w:rsidRPr="00446BD6">
              <w:t xml:space="preserve"> the client satisfaction survey, in Central Sector States which was pending due to security</w:t>
            </w:r>
            <w:r w:rsidR="00296FA9">
              <w:t xml:space="preserve"> challenges</w:t>
            </w:r>
            <w:r w:rsidRPr="00446BD6">
              <w:t>, i.e. surprise joint attack in</w:t>
            </w:r>
            <w:r w:rsidR="00AA0F1C" w:rsidRPr="00446BD6">
              <w:t xml:space="preserve"> Um </w:t>
            </w:r>
            <w:proofErr w:type="spellStart"/>
            <w:r w:rsidR="00AA0F1C" w:rsidRPr="00446BD6">
              <w:t>Ruwaba</w:t>
            </w:r>
            <w:proofErr w:type="spellEnd"/>
            <w:r w:rsidR="00AA0F1C">
              <w:t xml:space="preserve">, North </w:t>
            </w:r>
            <w:proofErr w:type="spellStart"/>
            <w:r w:rsidR="00AA0F1C">
              <w:t>Kordofan</w:t>
            </w:r>
            <w:proofErr w:type="spellEnd"/>
            <w:r w:rsidR="00AA0F1C">
              <w:t xml:space="preserve">, in </w:t>
            </w:r>
            <w:r w:rsidRPr="00446BD6">
              <w:t>April 2013</w:t>
            </w:r>
            <w:r w:rsidR="00296FA9">
              <w:t>.</w:t>
            </w:r>
          </w:p>
          <w:p w:rsidR="00BB1387" w:rsidRDefault="00BB1387" w:rsidP="00AA0F1C">
            <w:pPr>
              <w:outlineLvl w:val="0"/>
            </w:pPr>
          </w:p>
          <w:p w:rsidR="00ED2E57" w:rsidRDefault="00BB1387" w:rsidP="00690301">
            <w:r>
              <w:t xml:space="preserve">In June 2014, the Participants/Client Satisfaction Survey was carried out in the </w:t>
            </w:r>
            <w:r w:rsidR="00ED2E57">
              <w:t xml:space="preserve">Central Sector in the states of White Nile, North </w:t>
            </w:r>
            <w:proofErr w:type="spellStart"/>
            <w:r w:rsidR="00ED2E57">
              <w:t>Kordofan</w:t>
            </w:r>
            <w:proofErr w:type="spellEnd"/>
            <w:r w:rsidR="00ED2E57">
              <w:t xml:space="preserve">, and </w:t>
            </w:r>
            <w:proofErr w:type="spellStart"/>
            <w:r w:rsidR="00ED2E57">
              <w:t>Sennar</w:t>
            </w:r>
            <w:proofErr w:type="spellEnd"/>
            <w:r w:rsidR="00ED2E57">
              <w:t>.</w:t>
            </w:r>
            <w:r>
              <w:t xml:space="preserve"> </w:t>
            </w:r>
          </w:p>
          <w:p w:rsidR="00ED2E57" w:rsidRDefault="00ED2E57" w:rsidP="005B7B06"/>
          <w:p w:rsidR="00BB1387" w:rsidRDefault="00BB1387" w:rsidP="005B7B06">
            <w:r>
              <w:t xml:space="preserve">The survey interviewed 96 participants who've received reintegration packages with an aim to assess their satisfaction with the services provided. The services were provided </w:t>
            </w:r>
            <w:r w:rsidR="005B7B06">
              <w:t>by</w:t>
            </w:r>
            <w:r>
              <w:t xml:space="preserve"> 5 implementing partners namely, </w:t>
            </w:r>
            <w:r w:rsidRPr="00BB1387">
              <w:t xml:space="preserve">ISAR, SDA, in White Nile and Vet-care and NEF in North </w:t>
            </w:r>
            <w:proofErr w:type="spellStart"/>
            <w:r w:rsidRPr="00BB1387">
              <w:t>Kordofan</w:t>
            </w:r>
            <w:proofErr w:type="spellEnd"/>
            <w:r w:rsidRPr="00BB1387">
              <w:t xml:space="preserve">. </w:t>
            </w:r>
          </w:p>
          <w:p w:rsidR="005B7B06" w:rsidRDefault="005B7B06" w:rsidP="005B7B06"/>
          <w:p w:rsidR="005B7B06" w:rsidRPr="00BB1387" w:rsidRDefault="005B7B06" w:rsidP="005B7B06">
            <w:r>
              <w:t xml:space="preserve">While a complete analysis of the survey is still underway, preliminary findings were positive. </w:t>
            </w:r>
            <w:r w:rsidRPr="005B7B06">
              <w:t xml:space="preserve">More than 90% of the respondents reported </w:t>
            </w:r>
            <w:r>
              <w:t xml:space="preserve">that </w:t>
            </w:r>
            <w:r w:rsidRPr="005B7B06">
              <w:t>they were fully satisfied with training received</w:t>
            </w:r>
            <w:r>
              <w:t xml:space="preserve"> and a</w:t>
            </w:r>
            <w:r w:rsidRPr="005B7B06">
              <w:t>bout 80% of the respondents reported that their business</w:t>
            </w:r>
            <w:r>
              <w:t>es are</w:t>
            </w:r>
            <w:r w:rsidRPr="005B7B06">
              <w:t xml:space="preserve"> </w:t>
            </w:r>
            <w:r>
              <w:t xml:space="preserve">progressing </w:t>
            </w:r>
            <w:r w:rsidRPr="005B7B06">
              <w:t>successfully.</w:t>
            </w:r>
          </w:p>
          <w:p w:rsidR="00BB1387" w:rsidRPr="000D4837" w:rsidRDefault="00BB1387" w:rsidP="00BB1387">
            <w:pPr>
              <w:outlineLvl w:val="0"/>
              <w:rPr>
                <w:rFonts w:cs="Times New Roman"/>
                <w:b/>
                <w:sz w:val="22"/>
                <w:szCs w:val="22"/>
              </w:rPr>
            </w:pPr>
          </w:p>
        </w:tc>
      </w:tr>
      <w:tr w:rsidR="00B127F2" w:rsidRPr="000D4837" w:rsidTr="00DF782D">
        <w:tc>
          <w:tcPr>
            <w:tcW w:w="2988" w:type="dxa"/>
            <w:shd w:val="clear" w:color="auto" w:fill="auto"/>
          </w:tcPr>
          <w:p w:rsidR="00B127F2" w:rsidRDefault="00B127F2" w:rsidP="00B127F2">
            <w:pPr>
              <w:outlineLvl w:val="0"/>
              <w:rPr>
                <w:rFonts w:cs="Times New Roman"/>
                <w:i/>
                <w:color w:val="000000"/>
                <w:sz w:val="22"/>
                <w:szCs w:val="22"/>
              </w:rPr>
            </w:pPr>
            <w:r>
              <w:rPr>
                <w:rFonts w:cs="Times New Roman"/>
                <w:i/>
                <w:color w:val="000000"/>
                <w:sz w:val="22"/>
                <w:szCs w:val="22"/>
              </w:rPr>
              <w:t xml:space="preserve">Do you see evidence that the project is having a positive impact on </w:t>
            </w:r>
            <w:r w:rsidRPr="000D4837">
              <w:rPr>
                <w:rFonts w:cs="Times New Roman"/>
                <w:i/>
                <w:color w:val="000000"/>
                <w:sz w:val="22"/>
                <w:szCs w:val="22"/>
              </w:rPr>
              <w:t>peacebuilding</w:t>
            </w:r>
            <w:r>
              <w:rPr>
                <w:rFonts w:cs="Times New Roman"/>
                <w:i/>
                <w:color w:val="000000"/>
                <w:sz w:val="22"/>
                <w:szCs w:val="22"/>
              </w:rPr>
              <w:t>?</w:t>
            </w:r>
          </w:p>
          <w:p w:rsidR="00030833" w:rsidRPr="000D4837" w:rsidRDefault="00096385" w:rsidP="00B127F2">
            <w:pPr>
              <w:outlineLvl w:val="0"/>
              <w:rPr>
                <w:bCs/>
                <w:i/>
                <w:sz w:val="22"/>
                <w:szCs w:val="22"/>
              </w:rPr>
            </w:pPr>
            <w:r>
              <w:rPr>
                <w:rFonts w:cs="Times New Roman"/>
                <w:i/>
                <w:color w:val="000000"/>
                <w:sz w:val="22"/>
                <w:szCs w:val="22"/>
              </w:rPr>
              <w:t>(250 words max.)</w:t>
            </w:r>
          </w:p>
        </w:tc>
        <w:tc>
          <w:tcPr>
            <w:tcW w:w="10080" w:type="dxa"/>
            <w:shd w:val="clear" w:color="auto" w:fill="auto"/>
          </w:tcPr>
          <w:p w:rsidR="004C6697" w:rsidRPr="000D4837" w:rsidRDefault="004C6697" w:rsidP="00E044FE">
            <w:pPr>
              <w:outlineLvl w:val="0"/>
              <w:rPr>
                <w:rFonts w:cs="Times New Roman"/>
                <w:b/>
                <w:sz w:val="22"/>
                <w:szCs w:val="22"/>
              </w:rPr>
            </w:pPr>
            <w:r>
              <w:t xml:space="preserve">The livestock interventions in the form of veterinary </w:t>
            </w:r>
            <w:r w:rsidR="00E044FE">
              <w:t>services</w:t>
            </w:r>
            <w:r>
              <w:t xml:space="preserve"> fall within the </w:t>
            </w:r>
            <w:r w:rsidR="00E044FE">
              <w:t>framework</w:t>
            </w:r>
            <w:r>
              <w:t xml:space="preserve"> of environmental </w:t>
            </w:r>
            <w:r w:rsidR="00E044FE">
              <w:t>peace building. It strengthens the capacities of those who opted for livestock and thus allows them sustains their livelihood. It can also be used as a tool to advance peace since it brings together people from diverse communities who have a common and shared interest.</w:t>
            </w:r>
            <w:r w:rsidR="00E044FE">
              <w:rPr>
                <w:rFonts w:ascii="Calibri" w:hAnsi="Calibri" w:cs="Calibri"/>
                <w:szCs w:val="24"/>
              </w:rPr>
              <w:t xml:space="preserve"> </w:t>
            </w:r>
            <w:r w:rsidR="00E044FE">
              <w:t>Beneficiaries of livestock training have in fact m</w:t>
            </w:r>
            <w:r w:rsidR="00E044FE" w:rsidRPr="00E044FE">
              <w:t>entioned that they transferred veterinary extension messages to benefit relatives particularly nomads and pastoralists.</w:t>
            </w:r>
            <w:r w:rsidR="00E044FE">
              <w:t xml:space="preserve"> Sudan is a country where a majority of its </w:t>
            </w:r>
            <w:r w:rsidR="00E044FE">
              <w:lastRenderedPageBreak/>
              <w:t xml:space="preserve">conflict is resource based, such initiatives will reduce the likelihood of </w:t>
            </w:r>
            <w:r w:rsidR="00977781">
              <w:t>such clashes.</w:t>
            </w:r>
          </w:p>
        </w:tc>
      </w:tr>
      <w:tr w:rsidR="00B127F2" w:rsidRPr="000D4837" w:rsidTr="00DF782D">
        <w:tc>
          <w:tcPr>
            <w:tcW w:w="2988" w:type="dxa"/>
            <w:shd w:val="clear" w:color="auto" w:fill="auto"/>
          </w:tcPr>
          <w:p w:rsidR="00B127F2" w:rsidRDefault="00B127F2" w:rsidP="00D76427">
            <w:pPr>
              <w:outlineLvl w:val="0"/>
              <w:rPr>
                <w:rFonts w:cs="Times New Roman"/>
                <w:i/>
                <w:color w:val="000000"/>
                <w:sz w:val="22"/>
                <w:szCs w:val="22"/>
              </w:rPr>
            </w:pPr>
            <w:r w:rsidRPr="000D4837">
              <w:rPr>
                <w:rFonts w:cs="Times New Roman"/>
                <w:i/>
                <w:color w:val="000000"/>
                <w:sz w:val="22"/>
                <w:szCs w:val="22"/>
              </w:rPr>
              <w:lastRenderedPageBreak/>
              <w:t>Were there catalytic effects from the project in the period reported, including additional funding commitments or unleashing/ unblocking of any peace relevant processes?</w:t>
            </w:r>
          </w:p>
          <w:p w:rsidR="00096385" w:rsidRPr="000D4837" w:rsidRDefault="00096385" w:rsidP="00D76427">
            <w:pPr>
              <w:outlineLvl w:val="0"/>
              <w:rPr>
                <w:rFonts w:cs="Times New Roman"/>
                <w:b/>
                <w:sz w:val="22"/>
                <w:szCs w:val="22"/>
              </w:rPr>
            </w:pPr>
            <w:r>
              <w:rPr>
                <w:rFonts w:cs="Times New Roman"/>
                <w:i/>
                <w:color w:val="000000"/>
                <w:sz w:val="22"/>
                <w:szCs w:val="22"/>
              </w:rPr>
              <w:t>(250 words max.)</w:t>
            </w:r>
          </w:p>
        </w:tc>
        <w:tc>
          <w:tcPr>
            <w:tcW w:w="10080" w:type="dxa"/>
            <w:shd w:val="clear" w:color="auto" w:fill="auto"/>
          </w:tcPr>
          <w:p w:rsidR="00B127F2" w:rsidRPr="000D4837" w:rsidRDefault="00F3365B" w:rsidP="00D76427">
            <w:pPr>
              <w:outlineLvl w:val="0"/>
              <w:rPr>
                <w:rFonts w:cs="Times New Roman"/>
                <w:b/>
                <w:sz w:val="22"/>
                <w:szCs w:val="22"/>
              </w:rPr>
            </w:pPr>
            <w:r>
              <w:t>Please refer to Annual report 2013 for catalytic effects of the project. Any additional information that may arise from the survey analysis will be reported in the end of year report.</w:t>
            </w:r>
          </w:p>
        </w:tc>
      </w:tr>
      <w:tr w:rsidR="00CC0EED"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If progress has been slow or inadequate, provide main reasons and what is being done to address them</w:t>
            </w:r>
            <w:r w:rsidR="005E2170">
              <w:rPr>
                <w:rFonts w:cs="Times New Roman"/>
                <w:i/>
                <w:color w:val="000000"/>
                <w:sz w:val="22"/>
                <w:szCs w:val="22"/>
              </w:rPr>
              <w:t>.</w:t>
            </w:r>
          </w:p>
          <w:p w:rsidR="00096385" w:rsidRPr="000D4837" w:rsidRDefault="00096385" w:rsidP="000D4837">
            <w:pPr>
              <w:outlineLvl w:val="0"/>
              <w:rPr>
                <w:rFonts w:cs="Times New Roman"/>
                <w:b/>
                <w:sz w:val="22"/>
                <w:szCs w:val="22"/>
              </w:rPr>
            </w:pPr>
            <w:r>
              <w:rPr>
                <w:rFonts w:cs="Times New Roman"/>
                <w:i/>
                <w:color w:val="000000"/>
                <w:sz w:val="22"/>
                <w:szCs w:val="22"/>
              </w:rPr>
              <w:t>(250 words max.)</w:t>
            </w:r>
          </w:p>
        </w:tc>
        <w:tc>
          <w:tcPr>
            <w:tcW w:w="10080" w:type="dxa"/>
            <w:shd w:val="clear" w:color="auto" w:fill="auto"/>
          </w:tcPr>
          <w:p w:rsidR="00CC0EED" w:rsidRPr="000D4837" w:rsidRDefault="00690301" w:rsidP="00690301">
            <w:pPr>
              <w:outlineLvl w:val="0"/>
              <w:rPr>
                <w:rFonts w:cs="Times New Roman"/>
                <w:b/>
                <w:sz w:val="22"/>
                <w:szCs w:val="22"/>
              </w:rPr>
            </w:pPr>
            <w:r>
              <w:t xml:space="preserve">Remaining activities include the Survey, monitoring and evaluation, and Lessons learned from the current project. </w:t>
            </w:r>
            <w:r w:rsidR="00F3365B">
              <w:t>The Central Sector survey was delayed due to insecurity in the central sector in 2013.</w:t>
            </w:r>
          </w:p>
        </w:tc>
      </w:tr>
      <w:tr w:rsidR="00CC0EED"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What are the main activities/expected results for the rest of the year?</w:t>
            </w:r>
          </w:p>
          <w:p w:rsidR="00096385" w:rsidRPr="000D4837" w:rsidRDefault="00096385" w:rsidP="000D4837">
            <w:pPr>
              <w:outlineLvl w:val="0"/>
              <w:rPr>
                <w:rFonts w:cs="Times New Roman"/>
                <w:b/>
                <w:sz w:val="22"/>
                <w:szCs w:val="22"/>
              </w:rPr>
            </w:pPr>
            <w:r>
              <w:rPr>
                <w:rFonts w:cs="Times New Roman"/>
                <w:i/>
                <w:color w:val="000000"/>
                <w:sz w:val="22"/>
                <w:szCs w:val="22"/>
              </w:rPr>
              <w:t>(250 words max.)</w:t>
            </w:r>
          </w:p>
        </w:tc>
        <w:tc>
          <w:tcPr>
            <w:tcW w:w="10080" w:type="dxa"/>
            <w:shd w:val="clear" w:color="auto" w:fill="auto"/>
          </w:tcPr>
          <w:p w:rsidR="00CC0EED" w:rsidRPr="000D4837" w:rsidRDefault="00977781" w:rsidP="00690301">
            <w:pPr>
              <w:outlineLvl w:val="0"/>
              <w:rPr>
                <w:rFonts w:cs="Times New Roman"/>
                <w:b/>
                <w:sz w:val="22"/>
                <w:szCs w:val="22"/>
              </w:rPr>
            </w:pPr>
            <w:r>
              <w:t>Comprehensive analysis of the Central sector survey</w:t>
            </w:r>
            <w:r w:rsidR="00690301">
              <w:t xml:space="preserve">, </w:t>
            </w:r>
            <w:r w:rsidR="00690301" w:rsidRPr="00690301">
              <w:t>monitoring and evaluation, and Lessons learned from the current project</w:t>
            </w:r>
          </w:p>
        </w:tc>
      </w:tr>
      <w:tr w:rsidR="00CC0EED"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Is there any need to adjust project strategies/ duration/budget etc</w:t>
            </w:r>
            <w:r w:rsidR="00DF782D">
              <w:rPr>
                <w:rFonts w:cs="Times New Roman"/>
                <w:i/>
                <w:color w:val="000000"/>
                <w:sz w:val="22"/>
                <w:szCs w:val="22"/>
              </w:rPr>
              <w:t>.</w:t>
            </w:r>
            <w:r w:rsidRPr="000D4837">
              <w:rPr>
                <w:rFonts w:cs="Times New Roman"/>
                <w:i/>
                <w:color w:val="000000"/>
                <w:sz w:val="22"/>
                <w:szCs w:val="22"/>
              </w:rPr>
              <w:t>?</w:t>
            </w:r>
          </w:p>
          <w:p w:rsidR="00096385" w:rsidRPr="000D4837" w:rsidRDefault="00096385" w:rsidP="000D4837">
            <w:pPr>
              <w:outlineLvl w:val="0"/>
              <w:rPr>
                <w:rFonts w:cs="Times New Roman"/>
                <w:b/>
                <w:sz w:val="22"/>
                <w:szCs w:val="22"/>
              </w:rPr>
            </w:pPr>
            <w:r>
              <w:rPr>
                <w:rFonts w:cs="Times New Roman"/>
                <w:i/>
                <w:color w:val="000000"/>
                <w:sz w:val="22"/>
                <w:szCs w:val="22"/>
              </w:rPr>
              <w:t>(500 words max.)</w:t>
            </w:r>
          </w:p>
        </w:tc>
        <w:tc>
          <w:tcPr>
            <w:tcW w:w="10080" w:type="dxa"/>
            <w:shd w:val="clear" w:color="auto" w:fill="auto"/>
          </w:tcPr>
          <w:p w:rsidR="00CC0EED" w:rsidRPr="000D4837" w:rsidRDefault="00424D27" w:rsidP="000D4837">
            <w:pPr>
              <w:outlineLvl w:val="0"/>
              <w:rPr>
                <w:rFonts w:cs="Times New Roman"/>
                <w:b/>
                <w:sz w:val="22"/>
                <w:szCs w:val="22"/>
              </w:rPr>
            </w:pPr>
            <w:r>
              <w:t>N/A</w:t>
            </w:r>
          </w:p>
        </w:tc>
      </w:tr>
      <w:tr w:rsidR="00CC0EED"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Are there any lessons learned from the project in the period reported?</w:t>
            </w:r>
          </w:p>
          <w:p w:rsidR="00096385" w:rsidRPr="000D4837" w:rsidRDefault="00096385" w:rsidP="000D4837">
            <w:pPr>
              <w:outlineLvl w:val="0"/>
              <w:rPr>
                <w:rFonts w:cs="Times New Roman"/>
                <w:b/>
                <w:sz w:val="22"/>
                <w:szCs w:val="22"/>
              </w:rPr>
            </w:pPr>
            <w:r>
              <w:rPr>
                <w:rFonts w:cs="Times New Roman"/>
                <w:i/>
                <w:color w:val="000000"/>
                <w:sz w:val="22"/>
                <w:szCs w:val="22"/>
              </w:rPr>
              <w:t>(500 words max.)</w:t>
            </w:r>
          </w:p>
        </w:tc>
        <w:tc>
          <w:tcPr>
            <w:tcW w:w="10080" w:type="dxa"/>
            <w:shd w:val="clear" w:color="auto" w:fill="auto"/>
          </w:tcPr>
          <w:p w:rsidR="00CC0EED" w:rsidRPr="000D4837" w:rsidRDefault="00424D27" w:rsidP="000D4837">
            <w:pPr>
              <w:outlineLvl w:val="0"/>
              <w:rPr>
                <w:rFonts w:cs="Times New Roman"/>
                <w:b/>
                <w:sz w:val="22"/>
                <w:szCs w:val="22"/>
              </w:rPr>
            </w:pPr>
            <w:r>
              <w:t>Please refer to annual report 2013. Any additional information that may arise from the survey analysis will be reported in the end of year report.</w:t>
            </w:r>
          </w:p>
        </w:tc>
      </w:tr>
      <w:tr w:rsidR="00CC0EED" w:rsidRPr="000D4837" w:rsidTr="00DF782D">
        <w:tc>
          <w:tcPr>
            <w:tcW w:w="2988" w:type="dxa"/>
            <w:shd w:val="clear" w:color="auto" w:fill="auto"/>
          </w:tcPr>
          <w:p w:rsidR="00CC0EED" w:rsidRDefault="00CC0EED" w:rsidP="000A26AD">
            <w:pPr>
              <w:outlineLvl w:val="0"/>
              <w:rPr>
                <w:rFonts w:cs="Times New Roman"/>
                <w:i/>
                <w:color w:val="000000"/>
                <w:sz w:val="22"/>
                <w:szCs w:val="22"/>
              </w:rPr>
            </w:pPr>
            <w:bookmarkStart w:id="2" w:name="OLE_LINK1"/>
            <w:bookmarkStart w:id="3" w:name="OLE_LINK2"/>
            <w:r w:rsidRPr="000D4837">
              <w:rPr>
                <w:rFonts w:cs="Times New Roman"/>
                <w:i/>
                <w:color w:val="000000"/>
                <w:sz w:val="22"/>
                <w:szCs w:val="22"/>
              </w:rPr>
              <w:t xml:space="preserve">What is the </w:t>
            </w:r>
            <w:r w:rsidR="000A26AD">
              <w:rPr>
                <w:rFonts w:cs="Times New Roman"/>
                <w:i/>
                <w:color w:val="000000"/>
                <w:sz w:val="22"/>
                <w:szCs w:val="22"/>
              </w:rPr>
              <w:t>project budget expenditure to date</w:t>
            </w:r>
            <w:r w:rsidRPr="000D4837">
              <w:rPr>
                <w:rFonts w:cs="Times New Roman"/>
                <w:i/>
                <w:color w:val="000000"/>
                <w:sz w:val="22"/>
                <w:szCs w:val="22"/>
              </w:rPr>
              <w:t xml:space="preserve"> (percentage of allocated project budget expensed by the date of the report)</w:t>
            </w:r>
            <w:r w:rsidR="000A26AD">
              <w:rPr>
                <w:rFonts w:cs="Times New Roman"/>
                <w:i/>
                <w:color w:val="000000"/>
                <w:sz w:val="22"/>
                <w:szCs w:val="22"/>
              </w:rPr>
              <w:t xml:space="preserve"> – preliminary figures only</w:t>
            </w:r>
            <w:r w:rsidRPr="000D4837">
              <w:rPr>
                <w:rFonts w:cs="Times New Roman"/>
                <w:i/>
                <w:color w:val="000000"/>
                <w:sz w:val="22"/>
                <w:szCs w:val="22"/>
              </w:rPr>
              <w:t>?</w:t>
            </w:r>
          </w:p>
          <w:bookmarkEnd w:id="2"/>
          <w:bookmarkEnd w:id="3"/>
          <w:p w:rsidR="00096385" w:rsidRPr="000D4837" w:rsidRDefault="00096385" w:rsidP="000A26AD">
            <w:pPr>
              <w:outlineLvl w:val="0"/>
              <w:rPr>
                <w:rFonts w:cs="Times New Roman"/>
                <w:b/>
                <w:sz w:val="22"/>
                <w:szCs w:val="22"/>
              </w:rPr>
            </w:pPr>
            <w:r>
              <w:rPr>
                <w:rFonts w:cs="Times New Roman"/>
                <w:i/>
                <w:color w:val="000000"/>
                <w:sz w:val="22"/>
                <w:szCs w:val="22"/>
              </w:rPr>
              <w:t>(250 words max.)</w:t>
            </w:r>
          </w:p>
        </w:tc>
        <w:tc>
          <w:tcPr>
            <w:tcW w:w="10080" w:type="dxa"/>
            <w:shd w:val="clear" w:color="auto" w:fill="auto"/>
          </w:tcPr>
          <w:p w:rsidR="00CC0EED" w:rsidRPr="000D4837" w:rsidRDefault="00877139" w:rsidP="000D4837">
            <w:pPr>
              <w:outlineLvl w:val="0"/>
              <w:rPr>
                <w:rFonts w:cs="Times New Roman"/>
                <w:b/>
                <w:sz w:val="22"/>
                <w:szCs w:val="22"/>
              </w:rPr>
            </w:pPr>
            <w:r>
              <w:t>To date the project has expended 91% of its allocated budget.</w:t>
            </w:r>
          </w:p>
        </w:tc>
      </w:tr>
      <w:tr w:rsidR="00CC0EED"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 xml:space="preserve">Any other information that the project needs to </w:t>
            </w:r>
            <w:proofErr w:type="gramStart"/>
            <w:r w:rsidRPr="000D4837">
              <w:rPr>
                <w:rFonts w:cs="Times New Roman"/>
                <w:i/>
                <w:color w:val="000000"/>
                <w:sz w:val="22"/>
                <w:szCs w:val="22"/>
              </w:rPr>
              <w:t>convey  to</w:t>
            </w:r>
            <w:proofErr w:type="gramEnd"/>
            <w:r w:rsidRPr="000D4837">
              <w:rPr>
                <w:rFonts w:cs="Times New Roman"/>
                <w:i/>
                <w:color w:val="000000"/>
                <w:sz w:val="22"/>
                <w:szCs w:val="22"/>
              </w:rPr>
              <w:t xml:space="preserve"> </w:t>
            </w:r>
            <w:r w:rsidRPr="000D4837">
              <w:rPr>
                <w:rFonts w:cs="Times New Roman"/>
                <w:i/>
                <w:color w:val="000000"/>
                <w:sz w:val="22"/>
                <w:szCs w:val="22"/>
              </w:rPr>
              <w:lastRenderedPageBreak/>
              <w:t>PBSO (and JSC) at this stage?</w:t>
            </w:r>
          </w:p>
          <w:p w:rsidR="00096385" w:rsidRPr="000D4837" w:rsidRDefault="00096385" w:rsidP="000D4837">
            <w:pPr>
              <w:outlineLvl w:val="0"/>
              <w:rPr>
                <w:rFonts w:cs="Times New Roman"/>
                <w:b/>
                <w:sz w:val="22"/>
                <w:szCs w:val="22"/>
              </w:rPr>
            </w:pPr>
            <w:r>
              <w:rPr>
                <w:rFonts w:cs="Times New Roman"/>
                <w:i/>
                <w:color w:val="000000"/>
                <w:sz w:val="22"/>
                <w:szCs w:val="22"/>
              </w:rPr>
              <w:t>(250 words max.)</w:t>
            </w:r>
          </w:p>
        </w:tc>
        <w:tc>
          <w:tcPr>
            <w:tcW w:w="10080" w:type="dxa"/>
            <w:shd w:val="clear" w:color="auto" w:fill="auto"/>
          </w:tcPr>
          <w:p w:rsidR="00CC0EED" w:rsidRPr="000D4837" w:rsidRDefault="00877139" w:rsidP="00877139">
            <w:pPr>
              <w:outlineLvl w:val="0"/>
              <w:rPr>
                <w:rFonts w:cs="Times New Roman"/>
                <w:b/>
                <w:sz w:val="22"/>
                <w:szCs w:val="22"/>
              </w:rPr>
            </w:pPr>
            <w:r>
              <w:lastRenderedPageBreak/>
              <w:t xml:space="preserve">Once a complete analysis of the central sector survey is out. Preparations will take </w:t>
            </w:r>
            <w:proofErr w:type="spellStart"/>
            <w:r>
              <w:t>plcae</w:t>
            </w:r>
            <w:proofErr w:type="spellEnd"/>
            <w:r>
              <w:t xml:space="preserve"> to produce an end of project report.</w:t>
            </w:r>
          </w:p>
        </w:tc>
      </w:tr>
    </w:tbl>
    <w:p w:rsidR="00CC0EED" w:rsidRDefault="00CC0EED" w:rsidP="001D7143">
      <w:pPr>
        <w:outlineLvl w:val="0"/>
        <w:rPr>
          <w:rFonts w:cs="Times New Roman"/>
          <w:b/>
          <w:sz w:val="22"/>
          <w:szCs w:val="22"/>
        </w:rPr>
      </w:pPr>
    </w:p>
    <w:p w:rsidR="00CC0EED" w:rsidRDefault="00CC0EED" w:rsidP="001D7143">
      <w:pPr>
        <w:outlineLvl w:val="0"/>
        <w:rPr>
          <w:rFonts w:cs="Times New Roman"/>
          <w:sz w:val="22"/>
          <w:szCs w:val="22"/>
        </w:rPr>
      </w:pPr>
    </w:p>
    <w:p w:rsidR="00CC0EED" w:rsidRDefault="00CC0EED" w:rsidP="001D7143">
      <w:pPr>
        <w:outlineLvl w:val="0"/>
        <w:rPr>
          <w:rFonts w:cs="Times New Roman"/>
          <w:sz w:val="22"/>
          <w:szCs w:val="22"/>
        </w:rPr>
        <w:sectPr w:rsidR="00CC0EED" w:rsidSect="00B127F2">
          <w:pgSz w:w="15840" w:h="12240" w:orient="landscape"/>
          <w:pgMar w:top="1800" w:right="562" w:bottom="1530" w:left="562" w:header="720" w:footer="720" w:gutter="0"/>
          <w:pgNumType w:start="1"/>
          <w:cols w:space="720"/>
          <w:formProt w:val="0"/>
          <w:docGrid w:linePitch="360"/>
        </w:sectPr>
      </w:pPr>
    </w:p>
    <w:p w:rsidR="00132065" w:rsidRDefault="00BB2676" w:rsidP="00F3365B">
      <w:pPr>
        <w:pStyle w:val="BodyText"/>
        <w:jc w:val="both"/>
      </w:pPr>
      <w:r w:rsidRPr="00C531CB">
        <w:rPr>
          <w:b/>
        </w:rPr>
        <w:lastRenderedPageBreak/>
        <w:t>I</w:t>
      </w:r>
      <w:r w:rsidR="00335D95" w:rsidRPr="00C531CB">
        <w:rPr>
          <w:b/>
        </w:rPr>
        <w:t>NDICATOR BASED PERFORMANCE ASSESSMENT</w:t>
      </w:r>
      <w:r w:rsidR="00A10B86" w:rsidRPr="00D33A6D">
        <w:rPr>
          <w:b/>
          <w:i/>
          <w:sz w:val="22"/>
          <w:szCs w:val="22"/>
        </w:rPr>
        <w:t xml:space="preserve">: </w:t>
      </w:r>
      <w:r w:rsidR="00A10B86" w:rsidRPr="00D33A6D">
        <w:rPr>
          <w:bCs/>
          <w:i/>
          <w:sz w:val="22"/>
          <w:szCs w:val="22"/>
        </w:rPr>
        <w:t xml:space="preserve">Using the </w:t>
      </w:r>
      <w:r w:rsidR="00D95E36">
        <w:rPr>
          <w:b/>
          <w:bCs/>
          <w:i/>
          <w:sz w:val="22"/>
          <w:szCs w:val="22"/>
        </w:rPr>
        <w:t>Project</w:t>
      </w:r>
      <w:r w:rsidR="00D95E36" w:rsidRPr="00D33A6D">
        <w:rPr>
          <w:b/>
          <w:bCs/>
          <w:i/>
          <w:sz w:val="22"/>
          <w:szCs w:val="22"/>
        </w:rPr>
        <w:t xml:space="preserve"> </w:t>
      </w:r>
      <w:r w:rsidR="00A10B86" w:rsidRPr="00D33A6D">
        <w:rPr>
          <w:b/>
          <w:bCs/>
          <w:i/>
          <w:sz w:val="22"/>
          <w:szCs w:val="22"/>
        </w:rPr>
        <w:t xml:space="preserve">Results Framework </w:t>
      </w:r>
      <w:r w:rsidR="000A26AD">
        <w:rPr>
          <w:b/>
          <w:bCs/>
          <w:i/>
          <w:sz w:val="22"/>
          <w:szCs w:val="22"/>
        </w:rPr>
        <w:t>as per the approved project document</w:t>
      </w:r>
      <w:r w:rsidR="00A10B86" w:rsidRPr="00D33A6D">
        <w:rPr>
          <w:bCs/>
          <w:i/>
          <w:sz w:val="22"/>
          <w:szCs w:val="22"/>
        </w:rPr>
        <w:t xml:space="preserve">- provide an update on the achievement of </w:t>
      </w:r>
      <w:r w:rsidR="000A26AD">
        <w:rPr>
          <w:bCs/>
          <w:i/>
          <w:sz w:val="22"/>
          <w:szCs w:val="22"/>
        </w:rPr>
        <w:t xml:space="preserve">key </w:t>
      </w:r>
      <w:r w:rsidR="00A10B86" w:rsidRPr="00D33A6D">
        <w:rPr>
          <w:bCs/>
          <w:i/>
          <w:sz w:val="22"/>
          <w:szCs w:val="22"/>
        </w:rPr>
        <w:t xml:space="preserve">indicators at both the outcome and output level in the table below. Where it has not been possible to collect data on indicators, </w:t>
      </w:r>
      <w:r w:rsidR="00D95E36">
        <w:rPr>
          <w:bCs/>
          <w:i/>
          <w:sz w:val="22"/>
          <w:szCs w:val="22"/>
        </w:rPr>
        <w:t>state this and provide any explanation in the qualitative text above</w:t>
      </w:r>
      <w:r w:rsidR="00A10B86" w:rsidRPr="00D33A6D">
        <w:rPr>
          <w:bCs/>
          <w:i/>
          <w:sz w:val="22"/>
          <w:szCs w:val="22"/>
        </w:rPr>
        <w:t>.</w:t>
      </w:r>
      <w:r w:rsidR="00A10B86">
        <w:rPr>
          <w:bCs/>
        </w:rPr>
        <w:t xml:space="preserve"> </w:t>
      </w:r>
    </w:p>
    <w:p w:rsidR="00F3365B" w:rsidRPr="00F3365B" w:rsidRDefault="00424D27" w:rsidP="00F3365B">
      <w:pPr>
        <w:pStyle w:val="BodyText"/>
        <w:jc w:val="both"/>
        <w:rPr>
          <w:bCs/>
        </w:rPr>
      </w:pPr>
      <w:r>
        <w:t>*With the exception of output 1.22 please note that all activities were completed and reported on in the Annual report 2013.</w:t>
      </w: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062"/>
        <w:gridCol w:w="2160"/>
        <w:gridCol w:w="2430"/>
        <w:gridCol w:w="2888"/>
        <w:gridCol w:w="2078"/>
      </w:tblGrid>
      <w:tr w:rsidR="00132065" w:rsidRPr="007D00E3" w:rsidTr="00123B4F">
        <w:tc>
          <w:tcPr>
            <w:tcW w:w="1530" w:type="dxa"/>
          </w:tcPr>
          <w:p w:rsidR="00132065" w:rsidRPr="00DF4C99" w:rsidRDefault="00132065" w:rsidP="006C1B11">
            <w:pPr>
              <w:jc w:val="center"/>
              <w:rPr>
                <w:b/>
              </w:rPr>
            </w:pPr>
          </w:p>
        </w:tc>
        <w:tc>
          <w:tcPr>
            <w:tcW w:w="1980" w:type="dxa"/>
            <w:shd w:val="clear" w:color="auto" w:fill="EEECE1"/>
          </w:tcPr>
          <w:p w:rsidR="00132065" w:rsidRPr="00F3492E" w:rsidRDefault="00132065" w:rsidP="006C1B11">
            <w:pPr>
              <w:jc w:val="center"/>
              <w:rPr>
                <w:b/>
              </w:rPr>
            </w:pPr>
            <w:r w:rsidRPr="00F3492E">
              <w:rPr>
                <w:b/>
              </w:rPr>
              <w:t>Performance Indicators</w:t>
            </w:r>
          </w:p>
        </w:tc>
        <w:tc>
          <w:tcPr>
            <w:tcW w:w="2062" w:type="dxa"/>
            <w:shd w:val="clear" w:color="auto" w:fill="EEECE1"/>
          </w:tcPr>
          <w:p w:rsidR="00132065" w:rsidRPr="00F3492E" w:rsidRDefault="00132065" w:rsidP="006C1B11">
            <w:pPr>
              <w:jc w:val="center"/>
              <w:rPr>
                <w:b/>
              </w:rPr>
            </w:pPr>
            <w:r w:rsidRPr="00F3492E">
              <w:rPr>
                <w:b/>
              </w:rPr>
              <w:t>Indicator Baseline</w:t>
            </w:r>
          </w:p>
        </w:tc>
        <w:tc>
          <w:tcPr>
            <w:tcW w:w="2160" w:type="dxa"/>
            <w:shd w:val="clear" w:color="auto" w:fill="EEECE1"/>
          </w:tcPr>
          <w:p w:rsidR="00132065" w:rsidRPr="00F3492E" w:rsidRDefault="00837D7F" w:rsidP="006C1B11">
            <w:pPr>
              <w:jc w:val="center"/>
              <w:rPr>
                <w:b/>
              </w:rPr>
            </w:pPr>
            <w:r>
              <w:rPr>
                <w:b/>
              </w:rPr>
              <w:t xml:space="preserve">End of project </w:t>
            </w:r>
            <w:r w:rsidR="00132065" w:rsidRPr="00F3492E">
              <w:rPr>
                <w:b/>
              </w:rPr>
              <w:t>Indicator Target</w:t>
            </w:r>
          </w:p>
        </w:tc>
        <w:tc>
          <w:tcPr>
            <w:tcW w:w="2430" w:type="dxa"/>
          </w:tcPr>
          <w:p w:rsidR="00132065" w:rsidRPr="00F3492E" w:rsidRDefault="006A57FB" w:rsidP="006A57FB">
            <w:pPr>
              <w:jc w:val="center"/>
              <w:rPr>
                <w:b/>
              </w:rPr>
            </w:pPr>
            <w:r>
              <w:rPr>
                <w:b/>
              </w:rPr>
              <w:t>Current i</w:t>
            </w:r>
            <w:r w:rsidR="00837D7F">
              <w:rPr>
                <w:b/>
              </w:rPr>
              <w:t>ndicator progress</w:t>
            </w:r>
          </w:p>
        </w:tc>
        <w:tc>
          <w:tcPr>
            <w:tcW w:w="2888" w:type="dxa"/>
          </w:tcPr>
          <w:p w:rsidR="00132065" w:rsidRPr="00F3492E" w:rsidRDefault="00132065" w:rsidP="006C1B11">
            <w:pPr>
              <w:jc w:val="center"/>
              <w:rPr>
                <w:b/>
              </w:rPr>
            </w:pPr>
            <w:r w:rsidRPr="00F3492E">
              <w:rPr>
                <w:b/>
              </w:rPr>
              <w:t>Reasons for Variance</w:t>
            </w:r>
            <w:r w:rsidR="00837D7F">
              <w:rPr>
                <w:b/>
              </w:rPr>
              <w:t>/ Delay</w:t>
            </w:r>
          </w:p>
          <w:p w:rsidR="00132065" w:rsidRPr="00F3492E" w:rsidRDefault="00132065" w:rsidP="006C1B11">
            <w:pPr>
              <w:jc w:val="center"/>
              <w:rPr>
                <w:b/>
              </w:rPr>
            </w:pPr>
            <w:r w:rsidRPr="00F3492E">
              <w:rPr>
                <w:b/>
              </w:rPr>
              <w:t>(if any)</w:t>
            </w:r>
          </w:p>
        </w:tc>
        <w:tc>
          <w:tcPr>
            <w:tcW w:w="2078" w:type="dxa"/>
          </w:tcPr>
          <w:p w:rsidR="00132065" w:rsidRPr="00F3492E" w:rsidRDefault="00837D7F" w:rsidP="006C1B11">
            <w:pPr>
              <w:jc w:val="center"/>
              <w:rPr>
                <w:b/>
              </w:rPr>
            </w:pPr>
            <w:r>
              <w:rPr>
                <w:b/>
              </w:rPr>
              <w:t>Adjustment of target (if any)</w:t>
            </w:r>
          </w:p>
        </w:tc>
      </w:tr>
      <w:tr w:rsidR="0085068E" w:rsidRPr="007D00E3" w:rsidTr="00123B4F">
        <w:trPr>
          <w:trHeight w:val="548"/>
        </w:trPr>
        <w:tc>
          <w:tcPr>
            <w:tcW w:w="1530" w:type="dxa"/>
            <w:vMerge w:val="restart"/>
          </w:tcPr>
          <w:p w:rsidR="000C5305" w:rsidRDefault="0085068E" w:rsidP="000C5305">
            <w:r w:rsidRPr="00BD647A">
              <w:t>Outcome 1</w:t>
            </w:r>
            <w:r w:rsidR="000C5305">
              <w:t xml:space="preserve"> </w:t>
            </w:r>
          </w:p>
          <w:p w:rsidR="0085068E" w:rsidRPr="00BD647A" w:rsidRDefault="000C5305" w:rsidP="000C5305">
            <w:r>
              <w:t>&amp; Outcome 3</w:t>
            </w:r>
            <w:r w:rsidR="0085068E">
              <w:t xml:space="preserve"> </w:t>
            </w:r>
          </w:p>
        </w:tc>
        <w:tc>
          <w:tcPr>
            <w:tcW w:w="1980" w:type="dxa"/>
            <w:shd w:val="clear" w:color="auto" w:fill="EEECE1"/>
          </w:tcPr>
          <w:p w:rsidR="0085068E" w:rsidRPr="00BD647A" w:rsidRDefault="0085068E" w:rsidP="005224A1">
            <w:r>
              <w:t>Indicator 1.1</w:t>
            </w:r>
          </w:p>
        </w:tc>
        <w:tc>
          <w:tcPr>
            <w:tcW w:w="2062" w:type="dxa"/>
            <w:shd w:val="clear" w:color="auto" w:fill="EEECE1"/>
          </w:tcPr>
          <w:p w:rsidR="0085068E" w:rsidRPr="005224A1" w:rsidRDefault="0085068E" w:rsidP="005224A1"/>
        </w:tc>
        <w:tc>
          <w:tcPr>
            <w:tcW w:w="2160" w:type="dxa"/>
            <w:shd w:val="clear" w:color="auto" w:fill="EEECE1"/>
          </w:tcPr>
          <w:p w:rsidR="0085068E" w:rsidRPr="005224A1" w:rsidRDefault="0085068E" w:rsidP="00B10628">
            <w:r w:rsidRPr="00626A41">
              <w:t># of XCs who completed reintegration training and received support</w:t>
            </w:r>
            <w:r w:rsidRPr="005224A1">
              <w:t xml:space="preserve"> </w:t>
            </w:r>
          </w:p>
        </w:tc>
        <w:tc>
          <w:tcPr>
            <w:tcW w:w="2430" w:type="dxa"/>
          </w:tcPr>
          <w:p w:rsidR="0085068E" w:rsidRPr="007D00E3" w:rsidRDefault="0085068E" w:rsidP="005224A1">
            <w:r w:rsidRPr="00BD647A">
              <w:fldChar w:fldCharType="begin">
                <w:ffData>
                  <w:name w:val=""/>
                  <w:enabled/>
                  <w:calcOnExit w:val="0"/>
                  <w:textInput>
                    <w:maxLength w:val="100"/>
                  </w:textInput>
                </w:ffData>
              </w:fldChar>
            </w:r>
            <w:r w:rsidRPr="00BD647A">
              <w:instrText xml:space="preserve"> FORMTEXT </w:instrText>
            </w:r>
            <w:r w:rsidRPr="00BD647A">
              <w:fldChar w:fldCharType="separate"/>
            </w:r>
            <w:r w:rsidRPr="00BD647A">
              <w:t> </w:t>
            </w:r>
            <w:r w:rsidRPr="00BD647A">
              <w:t> </w:t>
            </w:r>
            <w:r w:rsidRPr="00BD647A">
              <w:t> </w:t>
            </w:r>
            <w:r w:rsidRPr="00BD647A">
              <w:t> </w:t>
            </w:r>
            <w:r w:rsidRPr="00BD647A">
              <w:t> </w:t>
            </w:r>
            <w:r w:rsidRPr="00BD647A">
              <w:fldChar w:fldCharType="end"/>
            </w:r>
          </w:p>
        </w:tc>
        <w:tc>
          <w:tcPr>
            <w:tcW w:w="2888" w:type="dxa"/>
          </w:tcPr>
          <w:p w:rsidR="0085068E" w:rsidRPr="007D00E3" w:rsidRDefault="0085068E" w:rsidP="005224A1">
            <w:r w:rsidRPr="00BD647A">
              <w:fldChar w:fldCharType="begin">
                <w:ffData>
                  <w:name w:val=""/>
                  <w:enabled/>
                  <w:calcOnExit w:val="0"/>
                  <w:textInput>
                    <w:maxLength w:val="100"/>
                  </w:textInput>
                </w:ffData>
              </w:fldChar>
            </w:r>
            <w:r w:rsidRPr="00BD647A">
              <w:instrText xml:space="preserve"> FORMTEXT </w:instrText>
            </w:r>
            <w:r w:rsidRPr="00BD647A">
              <w:fldChar w:fldCharType="separate"/>
            </w:r>
            <w:r w:rsidRPr="00BD647A">
              <w:t> </w:t>
            </w:r>
            <w:r w:rsidRPr="00BD647A">
              <w:t> </w:t>
            </w:r>
            <w:r w:rsidRPr="00BD647A">
              <w:t> </w:t>
            </w:r>
            <w:r w:rsidRPr="00BD647A">
              <w:t> </w:t>
            </w:r>
            <w:r w:rsidRPr="00BD647A">
              <w:t> </w:t>
            </w:r>
            <w:r w:rsidRPr="00BD647A">
              <w:fldChar w:fldCharType="end"/>
            </w:r>
          </w:p>
        </w:tc>
        <w:tc>
          <w:tcPr>
            <w:tcW w:w="2078" w:type="dxa"/>
          </w:tcPr>
          <w:p w:rsidR="0085068E" w:rsidRDefault="0085068E" w:rsidP="005224A1">
            <w:r w:rsidRPr="00BD647A">
              <w:fldChar w:fldCharType="begin">
                <w:ffData>
                  <w:name w:val=""/>
                  <w:enabled/>
                  <w:calcOnExit w:val="0"/>
                  <w:textInput>
                    <w:maxLength w:val="100"/>
                  </w:textInput>
                </w:ffData>
              </w:fldChar>
            </w:r>
            <w:r w:rsidRPr="00BD647A">
              <w:instrText xml:space="preserve"> FORMTEXT </w:instrText>
            </w:r>
            <w:r w:rsidRPr="00BD647A">
              <w:fldChar w:fldCharType="separate"/>
            </w:r>
            <w:r w:rsidRPr="00BD647A">
              <w:t> </w:t>
            </w:r>
            <w:r w:rsidRPr="00BD647A">
              <w:t> </w:t>
            </w:r>
            <w:r w:rsidRPr="00BD647A">
              <w:t> </w:t>
            </w:r>
            <w:r w:rsidRPr="00BD647A">
              <w:t> </w:t>
            </w:r>
            <w:r w:rsidRPr="00BD647A">
              <w:t> </w:t>
            </w:r>
            <w:r w:rsidRPr="00BD647A">
              <w:fldChar w:fldCharType="end"/>
            </w:r>
          </w:p>
        </w:tc>
      </w:tr>
      <w:tr w:rsidR="0085068E" w:rsidRPr="007D00E3" w:rsidTr="00123B4F">
        <w:trPr>
          <w:trHeight w:val="548"/>
        </w:trPr>
        <w:tc>
          <w:tcPr>
            <w:tcW w:w="1530" w:type="dxa"/>
            <w:vMerge/>
          </w:tcPr>
          <w:p w:rsidR="0085068E" w:rsidRPr="00D33A6D" w:rsidRDefault="0085068E" w:rsidP="005224A1"/>
        </w:tc>
        <w:tc>
          <w:tcPr>
            <w:tcW w:w="1980" w:type="dxa"/>
            <w:shd w:val="clear" w:color="auto" w:fill="EEECE1"/>
          </w:tcPr>
          <w:p w:rsidR="0085068E" w:rsidRPr="00BD647A" w:rsidRDefault="0085068E" w:rsidP="005224A1">
            <w:r>
              <w:t>Indicator 1.2</w:t>
            </w:r>
          </w:p>
        </w:tc>
        <w:tc>
          <w:tcPr>
            <w:tcW w:w="2062" w:type="dxa"/>
            <w:shd w:val="clear" w:color="auto" w:fill="EEECE1"/>
          </w:tcPr>
          <w:p w:rsidR="0085068E" w:rsidRPr="00626A41" w:rsidRDefault="0085068E" w:rsidP="005224A1"/>
        </w:tc>
        <w:tc>
          <w:tcPr>
            <w:tcW w:w="2160" w:type="dxa"/>
            <w:shd w:val="clear" w:color="auto" w:fill="EEECE1"/>
          </w:tcPr>
          <w:p w:rsidR="0085068E" w:rsidRPr="00626A41" w:rsidRDefault="0085068E" w:rsidP="00B10628">
            <w:r w:rsidRPr="00EB2D56">
              <w:t>% of XCs who report sustainable income (or successful individual reintegration</w:t>
            </w:r>
            <w:r w:rsidRPr="005224A1">
              <w:t xml:space="preserve"> support) </w:t>
            </w:r>
          </w:p>
        </w:tc>
        <w:tc>
          <w:tcPr>
            <w:tcW w:w="2430" w:type="dxa"/>
          </w:tcPr>
          <w:p w:rsidR="0085068E" w:rsidRDefault="0085068E" w:rsidP="005224A1">
            <w:r w:rsidRPr="00BD647A">
              <w:fldChar w:fldCharType="begin">
                <w:ffData>
                  <w:name w:val=""/>
                  <w:enabled/>
                  <w:calcOnExit w:val="0"/>
                  <w:textInput>
                    <w:maxLength w:val="100"/>
                  </w:textInput>
                </w:ffData>
              </w:fldChar>
            </w:r>
            <w:r w:rsidRPr="00BD647A">
              <w:instrText xml:space="preserve"> FORMTEXT </w:instrText>
            </w:r>
            <w:r w:rsidRPr="00BD647A">
              <w:fldChar w:fldCharType="separate"/>
            </w:r>
            <w:r w:rsidRPr="00BD647A">
              <w:t> </w:t>
            </w:r>
            <w:r w:rsidRPr="00BD647A">
              <w:t> </w:t>
            </w:r>
            <w:r w:rsidRPr="00BD647A">
              <w:t> </w:t>
            </w:r>
            <w:r w:rsidRPr="00BD647A">
              <w:t> </w:t>
            </w:r>
            <w:r w:rsidRPr="00BD647A">
              <w:t> </w:t>
            </w:r>
            <w:r w:rsidRPr="00BD647A">
              <w:fldChar w:fldCharType="end"/>
            </w:r>
          </w:p>
        </w:tc>
        <w:tc>
          <w:tcPr>
            <w:tcW w:w="2888" w:type="dxa"/>
          </w:tcPr>
          <w:p w:rsidR="0085068E" w:rsidRDefault="0085068E" w:rsidP="005224A1">
            <w:r w:rsidRPr="00BD647A">
              <w:fldChar w:fldCharType="begin">
                <w:ffData>
                  <w:name w:val=""/>
                  <w:enabled/>
                  <w:calcOnExit w:val="0"/>
                  <w:textInput>
                    <w:maxLength w:val="100"/>
                  </w:textInput>
                </w:ffData>
              </w:fldChar>
            </w:r>
            <w:r w:rsidRPr="00BD647A">
              <w:instrText xml:space="preserve"> FORMTEXT </w:instrText>
            </w:r>
            <w:r w:rsidRPr="00BD647A">
              <w:fldChar w:fldCharType="separate"/>
            </w:r>
            <w:r w:rsidRPr="00BD647A">
              <w:t> </w:t>
            </w:r>
            <w:r w:rsidRPr="00BD647A">
              <w:t> </w:t>
            </w:r>
            <w:r w:rsidRPr="00BD647A">
              <w:t> </w:t>
            </w:r>
            <w:r w:rsidRPr="00BD647A">
              <w:t> </w:t>
            </w:r>
            <w:r w:rsidRPr="00BD647A">
              <w:t> </w:t>
            </w:r>
            <w:r w:rsidRPr="00BD647A">
              <w:fldChar w:fldCharType="end"/>
            </w:r>
          </w:p>
        </w:tc>
        <w:tc>
          <w:tcPr>
            <w:tcW w:w="2078" w:type="dxa"/>
          </w:tcPr>
          <w:p w:rsidR="0085068E" w:rsidRDefault="0085068E" w:rsidP="005224A1">
            <w:r w:rsidRPr="00BD647A">
              <w:fldChar w:fldCharType="begin">
                <w:ffData>
                  <w:name w:val=""/>
                  <w:enabled/>
                  <w:calcOnExit w:val="0"/>
                  <w:textInput>
                    <w:maxLength w:val="100"/>
                  </w:textInput>
                </w:ffData>
              </w:fldChar>
            </w:r>
            <w:r w:rsidRPr="00BD647A">
              <w:instrText xml:space="preserve"> FORMTEXT </w:instrText>
            </w:r>
            <w:r w:rsidRPr="00BD647A">
              <w:fldChar w:fldCharType="separate"/>
            </w:r>
            <w:r w:rsidRPr="00BD647A">
              <w:t> </w:t>
            </w:r>
            <w:r w:rsidRPr="00BD647A">
              <w:t> </w:t>
            </w:r>
            <w:r w:rsidRPr="00BD647A">
              <w:t> </w:t>
            </w:r>
            <w:r w:rsidRPr="00BD647A">
              <w:t> </w:t>
            </w:r>
            <w:r w:rsidRPr="00BD647A">
              <w:t> </w:t>
            </w:r>
            <w:r w:rsidRPr="00BD647A">
              <w:fldChar w:fldCharType="end"/>
            </w:r>
          </w:p>
        </w:tc>
      </w:tr>
      <w:tr w:rsidR="005224A1" w:rsidRPr="007D00E3" w:rsidTr="00123B4F">
        <w:trPr>
          <w:trHeight w:val="548"/>
        </w:trPr>
        <w:tc>
          <w:tcPr>
            <w:tcW w:w="1530" w:type="dxa"/>
            <w:vMerge w:val="restart"/>
          </w:tcPr>
          <w:p w:rsidR="005224A1" w:rsidRPr="00D33A6D" w:rsidRDefault="005224A1" w:rsidP="005224A1">
            <w:r w:rsidRPr="00D33A6D">
              <w:t>Output 1.1</w:t>
            </w:r>
          </w:p>
          <w:p w:rsidR="005224A1" w:rsidRPr="005224A1" w:rsidRDefault="005224A1" w:rsidP="005224A1"/>
        </w:tc>
        <w:tc>
          <w:tcPr>
            <w:tcW w:w="1980" w:type="dxa"/>
            <w:shd w:val="clear" w:color="auto" w:fill="EEECE1"/>
          </w:tcPr>
          <w:p w:rsidR="005224A1" w:rsidRPr="00F3492E" w:rsidRDefault="005224A1" w:rsidP="005224A1">
            <w:r w:rsidRPr="00F3492E">
              <w:t>Indicator  1.1.1</w:t>
            </w:r>
          </w:p>
        </w:tc>
        <w:tc>
          <w:tcPr>
            <w:tcW w:w="2062" w:type="dxa"/>
            <w:shd w:val="clear" w:color="auto" w:fill="EEECE1"/>
          </w:tcPr>
          <w:p w:rsidR="005224A1" w:rsidRPr="005224A1" w:rsidRDefault="005224A1" w:rsidP="005224A1">
            <w:r w:rsidRPr="008632C4">
              <w:t xml:space="preserve"> </w:t>
            </w:r>
            <w:r w:rsidRPr="005224A1">
              <w:t xml:space="preserve">By end of 2011, 24,309 combatants were demobilized in South </w:t>
            </w:r>
            <w:proofErr w:type="spellStart"/>
            <w:r w:rsidRPr="005224A1">
              <w:t>Kordofan</w:t>
            </w:r>
            <w:proofErr w:type="spellEnd"/>
            <w:r w:rsidRPr="005224A1">
              <w:t>.</w:t>
            </w:r>
          </w:p>
        </w:tc>
        <w:tc>
          <w:tcPr>
            <w:tcW w:w="2160" w:type="dxa"/>
            <w:shd w:val="clear" w:color="auto" w:fill="EEECE1"/>
          </w:tcPr>
          <w:p w:rsidR="005224A1" w:rsidRPr="00BD647A" w:rsidRDefault="005224A1" w:rsidP="005224A1">
            <w:r w:rsidRPr="00186E06">
              <w:t>1,400</w:t>
            </w:r>
            <w:r w:rsidRPr="00BD647A">
              <w:t xml:space="preserve"> supported under PBF contribution</w:t>
            </w:r>
          </w:p>
        </w:tc>
        <w:tc>
          <w:tcPr>
            <w:tcW w:w="2430" w:type="dxa"/>
          </w:tcPr>
          <w:p w:rsidR="005224A1" w:rsidRPr="007D00E3" w:rsidRDefault="00424D27" w:rsidP="005224A1">
            <w:r>
              <w:t>*</w:t>
            </w:r>
            <w:r w:rsidR="0085068E">
              <w:t>Achieved</w:t>
            </w:r>
            <w:r w:rsidR="005224A1">
              <w:t>- Refer to Annual report 2013</w:t>
            </w:r>
          </w:p>
        </w:tc>
        <w:tc>
          <w:tcPr>
            <w:tcW w:w="2888" w:type="dxa"/>
          </w:tcPr>
          <w:p w:rsidR="005224A1" w:rsidRPr="007D00E3" w:rsidRDefault="005224A1" w:rsidP="005224A1">
            <w:r w:rsidRPr="005224A1">
              <w:fldChar w:fldCharType="begin">
                <w:ffData>
                  <w:name w:val=""/>
                  <w:enabled/>
                  <w:calcOnExit w:val="0"/>
                  <w:textInput>
                    <w:maxLength w:val="100"/>
                  </w:textInput>
                </w:ffData>
              </w:fldChar>
            </w:r>
            <w:r w:rsidRPr="005224A1">
              <w:instrText xml:space="preserve"> FORMTEXT </w:instrText>
            </w:r>
            <w:r w:rsidRPr="005224A1">
              <w:fldChar w:fldCharType="separate"/>
            </w:r>
            <w:r w:rsidRPr="005224A1">
              <w:t> </w:t>
            </w:r>
            <w:r w:rsidRPr="005224A1">
              <w:t> </w:t>
            </w:r>
            <w:r w:rsidRPr="005224A1">
              <w:t> </w:t>
            </w:r>
            <w:r w:rsidRPr="005224A1">
              <w:t> </w:t>
            </w:r>
            <w:r w:rsidRPr="005224A1">
              <w:t> </w:t>
            </w:r>
            <w:r w:rsidRPr="005224A1">
              <w:fldChar w:fldCharType="end"/>
            </w:r>
          </w:p>
        </w:tc>
        <w:tc>
          <w:tcPr>
            <w:tcW w:w="2078" w:type="dxa"/>
          </w:tcPr>
          <w:p w:rsidR="005224A1" w:rsidRDefault="005224A1" w:rsidP="005224A1">
            <w:r w:rsidRPr="005224A1">
              <w:fldChar w:fldCharType="begin">
                <w:ffData>
                  <w:name w:val=""/>
                  <w:enabled/>
                  <w:calcOnExit w:val="0"/>
                  <w:textInput>
                    <w:maxLength w:val="100"/>
                  </w:textInput>
                </w:ffData>
              </w:fldChar>
            </w:r>
            <w:r w:rsidRPr="005224A1">
              <w:instrText xml:space="preserve"> FORMTEXT </w:instrText>
            </w:r>
            <w:r w:rsidRPr="005224A1">
              <w:fldChar w:fldCharType="separate"/>
            </w:r>
            <w:r w:rsidRPr="005224A1">
              <w:t> </w:t>
            </w:r>
            <w:r w:rsidRPr="005224A1">
              <w:t> </w:t>
            </w:r>
            <w:r w:rsidRPr="005224A1">
              <w:t> </w:t>
            </w:r>
            <w:r w:rsidRPr="005224A1">
              <w:t> </w:t>
            </w:r>
            <w:r w:rsidRPr="005224A1">
              <w:t> </w:t>
            </w:r>
            <w:r w:rsidRPr="005224A1">
              <w:fldChar w:fldCharType="end"/>
            </w:r>
          </w:p>
        </w:tc>
      </w:tr>
      <w:tr w:rsidR="005224A1" w:rsidRPr="007D00E3" w:rsidTr="00123B4F">
        <w:trPr>
          <w:trHeight w:val="512"/>
        </w:trPr>
        <w:tc>
          <w:tcPr>
            <w:tcW w:w="1530" w:type="dxa"/>
            <w:vMerge/>
          </w:tcPr>
          <w:p w:rsidR="005224A1" w:rsidRPr="005224A1" w:rsidRDefault="005224A1" w:rsidP="005224A1"/>
        </w:tc>
        <w:tc>
          <w:tcPr>
            <w:tcW w:w="1980" w:type="dxa"/>
            <w:shd w:val="clear" w:color="auto" w:fill="EEECE1"/>
          </w:tcPr>
          <w:p w:rsidR="005224A1" w:rsidRPr="00F3492E" w:rsidRDefault="005224A1" w:rsidP="005224A1">
            <w:r w:rsidRPr="00F3492E">
              <w:t>Indicator 1.1.2</w:t>
            </w:r>
          </w:p>
        </w:tc>
        <w:tc>
          <w:tcPr>
            <w:tcW w:w="2062" w:type="dxa"/>
            <w:shd w:val="clear" w:color="auto" w:fill="EEECE1"/>
          </w:tcPr>
          <w:p w:rsidR="005224A1" w:rsidRPr="005224A1" w:rsidRDefault="005224A1" w:rsidP="005224A1">
            <w:r w:rsidRPr="008B5FD6">
              <w:t>XCs with no or very little income opportunities</w:t>
            </w:r>
            <w:r w:rsidRPr="005224A1">
              <w:t>.</w:t>
            </w:r>
          </w:p>
          <w:p w:rsidR="005224A1" w:rsidRPr="008632C4" w:rsidRDefault="005224A1" w:rsidP="005224A1"/>
        </w:tc>
        <w:tc>
          <w:tcPr>
            <w:tcW w:w="2160" w:type="dxa"/>
            <w:shd w:val="clear" w:color="auto" w:fill="EEECE1"/>
          </w:tcPr>
          <w:p w:rsidR="005224A1" w:rsidRPr="00BD647A" w:rsidRDefault="005224A1" w:rsidP="005224A1">
            <w:r w:rsidRPr="00186E06">
              <w:t>70%</w:t>
            </w:r>
            <w:r w:rsidRPr="00BD647A">
              <w:t xml:space="preserve"> report </w:t>
            </w:r>
            <w:r>
              <w:t>successful reintegration support</w:t>
            </w:r>
          </w:p>
        </w:tc>
        <w:tc>
          <w:tcPr>
            <w:tcW w:w="2430" w:type="dxa"/>
          </w:tcPr>
          <w:p w:rsidR="005224A1" w:rsidRPr="007D00E3" w:rsidRDefault="00424D27" w:rsidP="0085068E">
            <w:r>
              <w:t>*</w:t>
            </w:r>
            <w:r w:rsidR="0085068E">
              <w:t>Achieved</w:t>
            </w:r>
            <w:r w:rsidR="005224A1">
              <w:t>- Refer to Annual report 2013</w:t>
            </w:r>
          </w:p>
        </w:tc>
        <w:tc>
          <w:tcPr>
            <w:tcW w:w="2888" w:type="dxa"/>
          </w:tcPr>
          <w:p w:rsidR="005224A1" w:rsidRPr="007D00E3" w:rsidRDefault="005224A1" w:rsidP="005224A1">
            <w:r w:rsidRPr="005224A1">
              <w:fldChar w:fldCharType="begin">
                <w:ffData>
                  <w:name w:val=""/>
                  <w:enabled/>
                  <w:calcOnExit w:val="0"/>
                  <w:textInput>
                    <w:maxLength w:val="100"/>
                  </w:textInput>
                </w:ffData>
              </w:fldChar>
            </w:r>
            <w:r w:rsidRPr="005224A1">
              <w:instrText xml:space="preserve"> FORMTEXT </w:instrText>
            </w:r>
            <w:r w:rsidRPr="005224A1">
              <w:fldChar w:fldCharType="separate"/>
            </w:r>
            <w:r w:rsidRPr="005224A1">
              <w:t> </w:t>
            </w:r>
            <w:r w:rsidRPr="005224A1">
              <w:t> </w:t>
            </w:r>
            <w:r w:rsidRPr="005224A1">
              <w:t> </w:t>
            </w:r>
            <w:r w:rsidRPr="005224A1">
              <w:t> </w:t>
            </w:r>
            <w:r w:rsidRPr="005224A1">
              <w:t> </w:t>
            </w:r>
            <w:r w:rsidRPr="005224A1">
              <w:fldChar w:fldCharType="end"/>
            </w:r>
          </w:p>
        </w:tc>
        <w:tc>
          <w:tcPr>
            <w:tcW w:w="2078" w:type="dxa"/>
          </w:tcPr>
          <w:p w:rsidR="005224A1" w:rsidRDefault="005224A1" w:rsidP="005224A1">
            <w:r w:rsidRPr="005224A1">
              <w:fldChar w:fldCharType="begin">
                <w:ffData>
                  <w:name w:val=""/>
                  <w:enabled/>
                  <w:calcOnExit w:val="0"/>
                  <w:textInput>
                    <w:maxLength w:val="100"/>
                  </w:textInput>
                </w:ffData>
              </w:fldChar>
            </w:r>
            <w:r w:rsidRPr="005224A1">
              <w:instrText xml:space="preserve"> FORMTEXT </w:instrText>
            </w:r>
            <w:r w:rsidRPr="005224A1">
              <w:fldChar w:fldCharType="separate"/>
            </w:r>
            <w:r w:rsidRPr="005224A1">
              <w:t> </w:t>
            </w:r>
            <w:r w:rsidRPr="005224A1">
              <w:t> </w:t>
            </w:r>
            <w:r w:rsidRPr="005224A1">
              <w:t> </w:t>
            </w:r>
            <w:r w:rsidRPr="005224A1">
              <w:t> </w:t>
            </w:r>
            <w:r w:rsidRPr="005224A1">
              <w:t> </w:t>
            </w:r>
            <w:r w:rsidRPr="005224A1">
              <w:fldChar w:fldCharType="end"/>
            </w:r>
          </w:p>
        </w:tc>
      </w:tr>
      <w:tr w:rsidR="005224A1" w:rsidRPr="007D00E3" w:rsidTr="00123B4F">
        <w:trPr>
          <w:trHeight w:val="440"/>
        </w:trPr>
        <w:tc>
          <w:tcPr>
            <w:tcW w:w="1530" w:type="dxa"/>
            <w:vMerge w:val="restart"/>
          </w:tcPr>
          <w:p w:rsidR="005224A1" w:rsidRPr="00D33A6D" w:rsidRDefault="005224A1" w:rsidP="005224A1">
            <w:r w:rsidRPr="00D33A6D">
              <w:t>Output 1.2</w:t>
            </w:r>
          </w:p>
        </w:tc>
        <w:tc>
          <w:tcPr>
            <w:tcW w:w="1980" w:type="dxa"/>
            <w:shd w:val="clear" w:color="auto" w:fill="EEECE1"/>
          </w:tcPr>
          <w:p w:rsidR="005224A1" w:rsidRPr="00F3492E" w:rsidRDefault="005224A1" w:rsidP="005224A1">
            <w:r w:rsidRPr="00F3492E">
              <w:t>Indicator  1.2.1</w:t>
            </w:r>
          </w:p>
        </w:tc>
        <w:tc>
          <w:tcPr>
            <w:tcW w:w="2062" w:type="dxa"/>
            <w:shd w:val="clear" w:color="auto" w:fill="EEECE1"/>
          </w:tcPr>
          <w:p w:rsidR="005224A1" w:rsidRPr="005224A1" w:rsidRDefault="005224A1" w:rsidP="005224A1">
            <w:r w:rsidRPr="00701280">
              <w:t xml:space="preserve">By end of 2011, </w:t>
            </w:r>
            <w:r w:rsidRPr="005224A1">
              <w:t xml:space="preserve">6,500 combatants </w:t>
            </w:r>
            <w:r w:rsidRPr="005224A1">
              <w:lastRenderedPageBreak/>
              <w:t>were demobilized in the Central Sector states.</w:t>
            </w:r>
          </w:p>
        </w:tc>
        <w:tc>
          <w:tcPr>
            <w:tcW w:w="2160" w:type="dxa"/>
            <w:shd w:val="clear" w:color="auto" w:fill="EEECE1"/>
          </w:tcPr>
          <w:p w:rsidR="005224A1" w:rsidRPr="005224A1" w:rsidRDefault="005224A1" w:rsidP="005224A1">
            <w:r w:rsidRPr="00221B1D">
              <w:lastRenderedPageBreak/>
              <w:t>700</w:t>
            </w:r>
            <w:r w:rsidRPr="005224A1">
              <w:t xml:space="preserve"> under PBF contribution</w:t>
            </w:r>
          </w:p>
        </w:tc>
        <w:tc>
          <w:tcPr>
            <w:tcW w:w="2430" w:type="dxa"/>
          </w:tcPr>
          <w:p w:rsidR="005224A1" w:rsidRPr="007D00E3" w:rsidRDefault="00424D27" w:rsidP="0085068E">
            <w:r>
              <w:t>*</w:t>
            </w:r>
            <w:r w:rsidR="0085068E">
              <w:t>Achieved</w:t>
            </w:r>
            <w:r w:rsidR="005224A1">
              <w:t>- Refer to Annual report 2013</w:t>
            </w:r>
          </w:p>
        </w:tc>
        <w:tc>
          <w:tcPr>
            <w:tcW w:w="2888" w:type="dxa"/>
          </w:tcPr>
          <w:p w:rsidR="005224A1" w:rsidRPr="007D00E3" w:rsidRDefault="005224A1" w:rsidP="005224A1">
            <w:r w:rsidRPr="005224A1">
              <w:fldChar w:fldCharType="begin">
                <w:ffData>
                  <w:name w:val=""/>
                  <w:enabled/>
                  <w:calcOnExit w:val="0"/>
                  <w:textInput>
                    <w:maxLength w:val="100"/>
                  </w:textInput>
                </w:ffData>
              </w:fldChar>
            </w:r>
            <w:r w:rsidRPr="005224A1">
              <w:instrText xml:space="preserve"> FORMTEXT </w:instrText>
            </w:r>
            <w:r w:rsidRPr="005224A1">
              <w:fldChar w:fldCharType="separate"/>
            </w:r>
            <w:r w:rsidRPr="005224A1">
              <w:t> </w:t>
            </w:r>
            <w:r w:rsidRPr="005224A1">
              <w:t> </w:t>
            </w:r>
            <w:r w:rsidRPr="005224A1">
              <w:t> </w:t>
            </w:r>
            <w:r w:rsidRPr="005224A1">
              <w:t> </w:t>
            </w:r>
            <w:r w:rsidRPr="005224A1">
              <w:t> </w:t>
            </w:r>
            <w:r w:rsidRPr="005224A1">
              <w:fldChar w:fldCharType="end"/>
            </w:r>
          </w:p>
        </w:tc>
        <w:tc>
          <w:tcPr>
            <w:tcW w:w="2078" w:type="dxa"/>
          </w:tcPr>
          <w:p w:rsidR="005224A1" w:rsidRDefault="005224A1" w:rsidP="005224A1">
            <w:r w:rsidRPr="005224A1">
              <w:fldChar w:fldCharType="begin">
                <w:ffData>
                  <w:name w:val=""/>
                  <w:enabled/>
                  <w:calcOnExit w:val="0"/>
                  <w:textInput>
                    <w:maxLength w:val="100"/>
                  </w:textInput>
                </w:ffData>
              </w:fldChar>
            </w:r>
            <w:r w:rsidRPr="005224A1">
              <w:instrText xml:space="preserve"> FORMTEXT </w:instrText>
            </w:r>
            <w:r w:rsidRPr="005224A1">
              <w:fldChar w:fldCharType="separate"/>
            </w:r>
            <w:r w:rsidRPr="005224A1">
              <w:t> </w:t>
            </w:r>
            <w:r w:rsidRPr="005224A1">
              <w:t> </w:t>
            </w:r>
            <w:r w:rsidRPr="005224A1">
              <w:t> </w:t>
            </w:r>
            <w:r w:rsidRPr="005224A1">
              <w:t> </w:t>
            </w:r>
            <w:r w:rsidRPr="005224A1">
              <w:t> </w:t>
            </w:r>
            <w:r w:rsidRPr="005224A1">
              <w:fldChar w:fldCharType="end"/>
            </w:r>
          </w:p>
        </w:tc>
      </w:tr>
      <w:tr w:rsidR="005224A1" w:rsidRPr="007D00E3" w:rsidTr="00123B4F">
        <w:trPr>
          <w:trHeight w:val="467"/>
        </w:trPr>
        <w:tc>
          <w:tcPr>
            <w:tcW w:w="1530" w:type="dxa"/>
            <w:vMerge/>
          </w:tcPr>
          <w:p w:rsidR="005224A1" w:rsidRPr="005224A1" w:rsidRDefault="005224A1" w:rsidP="005224A1"/>
        </w:tc>
        <w:tc>
          <w:tcPr>
            <w:tcW w:w="1980" w:type="dxa"/>
            <w:shd w:val="clear" w:color="auto" w:fill="EEECE1"/>
          </w:tcPr>
          <w:p w:rsidR="005224A1" w:rsidRPr="00F3492E" w:rsidRDefault="005224A1" w:rsidP="005224A1">
            <w:r w:rsidRPr="00F3492E">
              <w:t>Indicator 1.2.2</w:t>
            </w:r>
          </w:p>
        </w:tc>
        <w:tc>
          <w:tcPr>
            <w:tcW w:w="2062" w:type="dxa"/>
            <w:shd w:val="clear" w:color="auto" w:fill="EEECE1"/>
          </w:tcPr>
          <w:p w:rsidR="005224A1" w:rsidRPr="005224A1" w:rsidRDefault="005224A1" w:rsidP="005224A1">
            <w:r w:rsidRPr="008B5FD6">
              <w:t>XCs with no or very little income opportunities</w:t>
            </w:r>
          </w:p>
          <w:p w:rsidR="005224A1" w:rsidRPr="00701280" w:rsidRDefault="005224A1" w:rsidP="005224A1"/>
        </w:tc>
        <w:tc>
          <w:tcPr>
            <w:tcW w:w="2160" w:type="dxa"/>
            <w:shd w:val="clear" w:color="auto" w:fill="EEECE1"/>
          </w:tcPr>
          <w:p w:rsidR="005224A1" w:rsidRPr="005224A1" w:rsidRDefault="005224A1" w:rsidP="005224A1">
            <w:r w:rsidRPr="00221B1D">
              <w:t>70%</w:t>
            </w:r>
            <w:r w:rsidRPr="005224A1">
              <w:t xml:space="preserve"> report successful reintegration support</w:t>
            </w:r>
          </w:p>
        </w:tc>
        <w:tc>
          <w:tcPr>
            <w:tcW w:w="2430" w:type="dxa"/>
          </w:tcPr>
          <w:p w:rsidR="005224A1" w:rsidRPr="007D00E3" w:rsidRDefault="00424D27" w:rsidP="00424D27">
            <w:r w:rsidRPr="005B7B06">
              <w:t xml:space="preserve">90% of the respondents reported </w:t>
            </w:r>
            <w:r>
              <w:t xml:space="preserve">that </w:t>
            </w:r>
            <w:r w:rsidRPr="005B7B06">
              <w:t>they were fully satisfied with training received</w:t>
            </w:r>
            <w:r>
              <w:t xml:space="preserve"> while </w:t>
            </w:r>
            <w:r w:rsidRPr="005B7B06">
              <w:t>80% of the respondents reported that their business</w:t>
            </w:r>
            <w:r>
              <w:t>es are</w:t>
            </w:r>
            <w:r w:rsidRPr="005B7B06">
              <w:t xml:space="preserve"> </w:t>
            </w:r>
            <w:r>
              <w:t xml:space="preserve">progressing </w:t>
            </w:r>
            <w:r w:rsidRPr="005B7B06">
              <w:t>successfully</w:t>
            </w:r>
          </w:p>
        </w:tc>
        <w:tc>
          <w:tcPr>
            <w:tcW w:w="2888" w:type="dxa"/>
          </w:tcPr>
          <w:p w:rsidR="005224A1" w:rsidRPr="007D00E3" w:rsidRDefault="006D747F" w:rsidP="00977781">
            <w:r>
              <w:t>Due to insecurity in the central sector, the survey scheduled for 2013 was postponed to 2014</w:t>
            </w:r>
            <w:r w:rsidR="00977781">
              <w:t xml:space="preserve">. </w:t>
            </w:r>
          </w:p>
        </w:tc>
        <w:tc>
          <w:tcPr>
            <w:tcW w:w="2078" w:type="dxa"/>
          </w:tcPr>
          <w:p w:rsidR="005224A1" w:rsidRDefault="005224A1" w:rsidP="005224A1">
            <w:r w:rsidRPr="005224A1">
              <w:fldChar w:fldCharType="begin">
                <w:ffData>
                  <w:name w:val=""/>
                  <w:enabled/>
                  <w:calcOnExit w:val="0"/>
                  <w:textInput>
                    <w:maxLength w:val="100"/>
                  </w:textInput>
                </w:ffData>
              </w:fldChar>
            </w:r>
            <w:r w:rsidRPr="005224A1">
              <w:instrText xml:space="preserve"> FORMTEXT </w:instrText>
            </w:r>
            <w:r w:rsidRPr="005224A1">
              <w:fldChar w:fldCharType="separate"/>
            </w:r>
            <w:r w:rsidRPr="005224A1">
              <w:t> </w:t>
            </w:r>
            <w:r w:rsidRPr="005224A1">
              <w:t> </w:t>
            </w:r>
            <w:r w:rsidRPr="005224A1">
              <w:t> </w:t>
            </w:r>
            <w:r w:rsidRPr="005224A1">
              <w:t> </w:t>
            </w:r>
            <w:r w:rsidRPr="005224A1">
              <w:t> </w:t>
            </w:r>
            <w:r w:rsidRPr="005224A1">
              <w:fldChar w:fldCharType="end"/>
            </w:r>
          </w:p>
        </w:tc>
      </w:tr>
      <w:tr w:rsidR="00030833" w:rsidRPr="007D00E3" w:rsidTr="00123B4F">
        <w:trPr>
          <w:trHeight w:val="422"/>
        </w:trPr>
        <w:tc>
          <w:tcPr>
            <w:tcW w:w="1530" w:type="dxa"/>
            <w:vMerge w:val="restart"/>
          </w:tcPr>
          <w:p w:rsidR="00030833" w:rsidRPr="00CC0EED" w:rsidRDefault="00030833" w:rsidP="006C1B11">
            <w:r w:rsidRPr="00CC0EED">
              <w:t>Output 1.3</w:t>
            </w:r>
          </w:p>
        </w:tc>
        <w:tc>
          <w:tcPr>
            <w:tcW w:w="1980" w:type="dxa"/>
            <w:shd w:val="clear" w:color="auto" w:fill="EEECE1"/>
          </w:tcPr>
          <w:p w:rsidR="00030833" w:rsidRDefault="00030833" w:rsidP="006C1B11">
            <w:pPr>
              <w:jc w:val="both"/>
            </w:pPr>
            <w:r>
              <w:t>Indicator 1.3.1</w:t>
            </w:r>
          </w:p>
        </w:tc>
        <w:tc>
          <w:tcPr>
            <w:tcW w:w="2062" w:type="dxa"/>
            <w:shd w:val="clear" w:color="auto" w:fill="EEECE1"/>
          </w:tcPr>
          <w:p w:rsidR="00030833" w:rsidRDefault="00030833">
            <w:r w:rsidRPr="0064014E">
              <w:rPr>
                <w:rFonts w:cs="Times New Roman"/>
                <w:b/>
                <w:sz w:val="22"/>
                <w:szCs w:val="22"/>
              </w:rPr>
              <w:fldChar w:fldCharType="begin">
                <w:ffData>
                  <w:name w:val=""/>
                  <w:enabled/>
                  <w:calcOnExit w:val="0"/>
                  <w:textInput>
                    <w:maxLength w:val="100"/>
                  </w:textInput>
                </w:ffData>
              </w:fldChar>
            </w:r>
            <w:r w:rsidRPr="0064014E">
              <w:rPr>
                <w:rFonts w:cs="Times New Roman"/>
                <w:b/>
                <w:sz w:val="22"/>
                <w:szCs w:val="22"/>
              </w:rPr>
              <w:instrText xml:space="preserve"> FORMTEXT </w:instrText>
            </w:r>
            <w:r w:rsidRPr="0064014E">
              <w:rPr>
                <w:rFonts w:cs="Times New Roman"/>
                <w:b/>
                <w:sz w:val="22"/>
                <w:szCs w:val="22"/>
              </w:rPr>
            </w:r>
            <w:r w:rsidRPr="0064014E">
              <w:rPr>
                <w:rFonts w:cs="Times New Roman"/>
                <w:b/>
                <w:sz w:val="22"/>
                <w:szCs w:val="22"/>
              </w:rPr>
              <w:fldChar w:fldCharType="separate"/>
            </w:r>
            <w:r w:rsidRPr="0064014E">
              <w:rPr>
                <w:rFonts w:cs="Times New Roman"/>
                <w:b/>
                <w:noProof/>
                <w:sz w:val="22"/>
                <w:szCs w:val="22"/>
              </w:rPr>
              <w:t> </w:t>
            </w:r>
            <w:r w:rsidRPr="0064014E">
              <w:rPr>
                <w:rFonts w:cs="Times New Roman"/>
                <w:b/>
                <w:noProof/>
                <w:sz w:val="22"/>
                <w:szCs w:val="22"/>
              </w:rPr>
              <w:t> </w:t>
            </w:r>
            <w:r w:rsidRPr="0064014E">
              <w:rPr>
                <w:rFonts w:cs="Times New Roman"/>
                <w:b/>
                <w:noProof/>
                <w:sz w:val="22"/>
                <w:szCs w:val="22"/>
              </w:rPr>
              <w:t> </w:t>
            </w:r>
            <w:r w:rsidRPr="0064014E">
              <w:rPr>
                <w:rFonts w:cs="Times New Roman"/>
                <w:b/>
                <w:noProof/>
                <w:sz w:val="22"/>
                <w:szCs w:val="22"/>
              </w:rPr>
              <w:t> </w:t>
            </w:r>
            <w:r w:rsidRPr="0064014E">
              <w:rPr>
                <w:rFonts w:cs="Times New Roman"/>
                <w:b/>
                <w:noProof/>
                <w:sz w:val="22"/>
                <w:szCs w:val="22"/>
              </w:rPr>
              <w:t> </w:t>
            </w:r>
            <w:r w:rsidRPr="0064014E">
              <w:rPr>
                <w:rFonts w:cs="Times New Roman"/>
                <w:b/>
                <w:sz w:val="22"/>
                <w:szCs w:val="22"/>
              </w:rPr>
              <w:fldChar w:fldCharType="end"/>
            </w:r>
          </w:p>
        </w:tc>
        <w:tc>
          <w:tcPr>
            <w:tcW w:w="2160" w:type="dxa"/>
            <w:shd w:val="clear" w:color="auto" w:fill="EEECE1"/>
          </w:tcPr>
          <w:p w:rsidR="00030833" w:rsidRDefault="00030833">
            <w:r w:rsidRPr="00E3604A">
              <w:rPr>
                <w:rFonts w:cs="Times New Roman"/>
                <w:b/>
                <w:sz w:val="22"/>
                <w:szCs w:val="22"/>
              </w:rPr>
              <w:fldChar w:fldCharType="begin">
                <w:ffData>
                  <w:name w:val=""/>
                  <w:enabled/>
                  <w:calcOnExit w:val="0"/>
                  <w:textInput>
                    <w:maxLength w:val="100"/>
                  </w:textInput>
                </w:ffData>
              </w:fldChar>
            </w:r>
            <w:r w:rsidRPr="00E3604A">
              <w:rPr>
                <w:rFonts w:cs="Times New Roman"/>
                <w:b/>
                <w:sz w:val="22"/>
                <w:szCs w:val="22"/>
              </w:rPr>
              <w:instrText xml:space="preserve"> FORMTEXT </w:instrText>
            </w:r>
            <w:r w:rsidRPr="00E3604A">
              <w:rPr>
                <w:rFonts w:cs="Times New Roman"/>
                <w:b/>
                <w:sz w:val="22"/>
                <w:szCs w:val="22"/>
              </w:rPr>
            </w:r>
            <w:r w:rsidRPr="00E3604A">
              <w:rPr>
                <w:rFonts w:cs="Times New Roman"/>
                <w:b/>
                <w:sz w:val="22"/>
                <w:szCs w:val="22"/>
              </w:rPr>
              <w:fldChar w:fldCharType="separate"/>
            </w:r>
            <w:r w:rsidRPr="00E3604A">
              <w:rPr>
                <w:rFonts w:cs="Times New Roman"/>
                <w:b/>
                <w:noProof/>
                <w:sz w:val="22"/>
                <w:szCs w:val="22"/>
              </w:rPr>
              <w:t> </w:t>
            </w:r>
            <w:r w:rsidRPr="00E3604A">
              <w:rPr>
                <w:rFonts w:cs="Times New Roman"/>
                <w:b/>
                <w:noProof/>
                <w:sz w:val="22"/>
                <w:szCs w:val="22"/>
              </w:rPr>
              <w:t> </w:t>
            </w:r>
            <w:r w:rsidRPr="00E3604A">
              <w:rPr>
                <w:rFonts w:cs="Times New Roman"/>
                <w:b/>
                <w:noProof/>
                <w:sz w:val="22"/>
                <w:szCs w:val="22"/>
              </w:rPr>
              <w:t> </w:t>
            </w:r>
            <w:r w:rsidRPr="00E3604A">
              <w:rPr>
                <w:rFonts w:cs="Times New Roman"/>
                <w:b/>
                <w:noProof/>
                <w:sz w:val="22"/>
                <w:szCs w:val="22"/>
              </w:rPr>
              <w:t> </w:t>
            </w:r>
            <w:r w:rsidRPr="00E3604A">
              <w:rPr>
                <w:rFonts w:cs="Times New Roman"/>
                <w:b/>
                <w:noProof/>
                <w:sz w:val="22"/>
                <w:szCs w:val="22"/>
              </w:rPr>
              <w:t> </w:t>
            </w:r>
            <w:r w:rsidRPr="00E3604A">
              <w:rPr>
                <w:rFonts w:cs="Times New Roman"/>
                <w:b/>
                <w:sz w:val="22"/>
                <w:szCs w:val="22"/>
              </w:rPr>
              <w:fldChar w:fldCharType="end"/>
            </w:r>
          </w:p>
        </w:tc>
        <w:tc>
          <w:tcPr>
            <w:tcW w:w="2430" w:type="dxa"/>
          </w:tcPr>
          <w:p w:rsidR="00030833" w:rsidRPr="007D00E3" w:rsidRDefault="00030833" w:rsidP="006C1B11">
            <w:r>
              <w:rPr>
                <w:rFonts w:cs="Times New Roman"/>
                <w:b/>
                <w:sz w:val="22"/>
                <w:szCs w:val="22"/>
              </w:rPr>
              <w:fldChar w:fldCharType="begin">
                <w:ffData>
                  <w:name w:val=""/>
                  <w:enabled/>
                  <w:calcOnExit w:val="0"/>
                  <w:textInput>
                    <w:maxLength w:val="10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888" w:type="dxa"/>
          </w:tcPr>
          <w:p w:rsidR="00030833" w:rsidRPr="007D00E3" w:rsidRDefault="00030833" w:rsidP="006C1B11">
            <w:r>
              <w:rPr>
                <w:rFonts w:cs="Times New Roman"/>
                <w:b/>
                <w:sz w:val="22"/>
                <w:szCs w:val="22"/>
              </w:rPr>
              <w:fldChar w:fldCharType="begin">
                <w:ffData>
                  <w:name w:val=""/>
                  <w:enabled/>
                  <w:calcOnExit w:val="0"/>
                  <w:textInput>
                    <w:maxLength w:val="10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8" w:type="dxa"/>
          </w:tcPr>
          <w:p w:rsidR="00030833" w:rsidRDefault="00030833">
            <w:r w:rsidRPr="00E95457">
              <w:rPr>
                <w:rFonts w:cs="Times New Roman"/>
                <w:b/>
                <w:sz w:val="22"/>
                <w:szCs w:val="22"/>
              </w:rPr>
              <w:fldChar w:fldCharType="begin">
                <w:ffData>
                  <w:name w:val=""/>
                  <w:enabled/>
                  <w:calcOnExit w:val="0"/>
                  <w:textInput>
                    <w:maxLength w:val="100"/>
                  </w:textInput>
                </w:ffData>
              </w:fldChar>
            </w:r>
            <w:r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Pr="00E95457">
              <w:rPr>
                <w:rFonts w:cs="Times New Roman"/>
                <w:b/>
                <w:noProof/>
                <w:sz w:val="22"/>
                <w:szCs w:val="22"/>
              </w:rPr>
              <w:t> </w:t>
            </w:r>
            <w:r w:rsidRPr="00E95457">
              <w:rPr>
                <w:rFonts w:cs="Times New Roman"/>
                <w:b/>
                <w:noProof/>
                <w:sz w:val="22"/>
                <w:szCs w:val="22"/>
              </w:rPr>
              <w:t> </w:t>
            </w:r>
            <w:r w:rsidRPr="00E95457">
              <w:rPr>
                <w:rFonts w:cs="Times New Roman"/>
                <w:b/>
                <w:noProof/>
                <w:sz w:val="22"/>
                <w:szCs w:val="22"/>
              </w:rPr>
              <w:t> </w:t>
            </w:r>
            <w:r w:rsidRPr="00E95457">
              <w:rPr>
                <w:rFonts w:cs="Times New Roman"/>
                <w:b/>
                <w:noProof/>
                <w:sz w:val="22"/>
                <w:szCs w:val="22"/>
              </w:rPr>
              <w:t> </w:t>
            </w:r>
            <w:r w:rsidRPr="00E95457">
              <w:rPr>
                <w:rFonts w:cs="Times New Roman"/>
                <w:b/>
                <w:noProof/>
                <w:sz w:val="22"/>
                <w:szCs w:val="22"/>
              </w:rPr>
              <w:t> </w:t>
            </w:r>
            <w:r w:rsidRPr="00E95457">
              <w:rPr>
                <w:rFonts w:cs="Times New Roman"/>
                <w:b/>
                <w:sz w:val="22"/>
                <w:szCs w:val="22"/>
              </w:rPr>
              <w:fldChar w:fldCharType="end"/>
            </w:r>
          </w:p>
        </w:tc>
      </w:tr>
      <w:tr w:rsidR="00030833" w:rsidRPr="007D00E3" w:rsidTr="00123B4F">
        <w:trPr>
          <w:trHeight w:val="422"/>
        </w:trPr>
        <w:tc>
          <w:tcPr>
            <w:tcW w:w="1530" w:type="dxa"/>
            <w:vMerge/>
          </w:tcPr>
          <w:p w:rsidR="00030833" w:rsidRPr="00DF4C99" w:rsidRDefault="00030833" w:rsidP="006C1B11">
            <w:pPr>
              <w:rPr>
                <w:b/>
              </w:rPr>
            </w:pPr>
          </w:p>
        </w:tc>
        <w:tc>
          <w:tcPr>
            <w:tcW w:w="1980" w:type="dxa"/>
            <w:shd w:val="clear" w:color="auto" w:fill="EEECE1"/>
          </w:tcPr>
          <w:p w:rsidR="00030833" w:rsidRDefault="00030833" w:rsidP="006C1B11">
            <w:pPr>
              <w:jc w:val="both"/>
            </w:pPr>
            <w:r>
              <w:t>Indicator 1.3.2</w:t>
            </w:r>
          </w:p>
        </w:tc>
        <w:tc>
          <w:tcPr>
            <w:tcW w:w="2062" w:type="dxa"/>
            <w:shd w:val="clear" w:color="auto" w:fill="EEECE1"/>
          </w:tcPr>
          <w:p w:rsidR="00030833" w:rsidRDefault="00030833">
            <w:r w:rsidRPr="0064014E">
              <w:rPr>
                <w:rFonts w:cs="Times New Roman"/>
                <w:b/>
                <w:sz w:val="22"/>
                <w:szCs w:val="22"/>
              </w:rPr>
              <w:fldChar w:fldCharType="begin">
                <w:ffData>
                  <w:name w:val=""/>
                  <w:enabled/>
                  <w:calcOnExit w:val="0"/>
                  <w:textInput>
                    <w:maxLength w:val="100"/>
                  </w:textInput>
                </w:ffData>
              </w:fldChar>
            </w:r>
            <w:r w:rsidRPr="0064014E">
              <w:rPr>
                <w:rFonts w:cs="Times New Roman"/>
                <w:b/>
                <w:sz w:val="22"/>
                <w:szCs w:val="22"/>
              </w:rPr>
              <w:instrText xml:space="preserve"> FORMTEXT </w:instrText>
            </w:r>
            <w:r w:rsidRPr="0064014E">
              <w:rPr>
                <w:rFonts w:cs="Times New Roman"/>
                <w:b/>
                <w:sz w:val="22"/>
                <w:szCs w:val="22"/>
              </w:rPr>
            </w:r>
            <w:r w:rsidRPr="0064014E">
              <w:rPr>
                <w:rFonts w:cs="Times New Roman"/>
                <w:b/>
                <w:sz w:val="22"/>
                <w:szCs w:val="22"/>
              </w:rPr>
              <w:fldChar w:fldCharType="separate"/>
            </w:r>
            <w:r w:rsidRPr="0064014E">
              <w:rPr>
                <w:rFonts w:cs="Times New Roman"/>
                <w:b/>
                <w:noProof/>
                <w:sz w:val="22"/>
                <w:szCs w:val="22"/>
              </w:rPr>
              <w:t> </w:t>
            </w:r>
            <w:r w:rsidRPr="0064014E">
              <w:rPr>
                <w:rFonts w:cs="Times New Roman"/>
                <w:b/>
                <w:noProof/>
                <w:sz w:val="22"/>
                <w:szCs w:val="22"/>
              </w:rPr>
              <w:t> </w:t>
            </w:r>
            <w:r w:rsidRPr="0064014E">
              <w:rPr>
                <w:rFonts w:cs="Times New Roman"/>
                <w:b/>
                <w:noProof/>
                <w:sz w:val="22"/>
                <w:szCs w:val="22"/>
              </w:rPr>
              <w:t> </w:t>
            </w:r>
            <w:r w:rsidRPr="0064014E">
              <w:rPr>
                <w:rFonts w:cs="Times New Roman"/>
                <w:b/>
                <w:noProof/>
                <w:sz w:val="22"/>
                <w:szCs w:val="22"/>
              </w:rPr>
              <w:t> </w:t>
            </w:r>
            <w:r w:rsidRPr="0064014E">
              <w:rPr>
                <w:rFonts w:cs="Times New Roman"/>
                <w:b/>
                <w:noProof/>
                <w:sz w:val="22"/>
                <w:szCs w:val="22"/>
              </w:rPr>
              <w:t> </w:t>
            </w:r>
            <w:r w:rsidRPr="0064014E">
              <w:rPr>
                <w:rFonts w:cs="Times New Roman"/>
                <w:b/>
                <w:sz w:val="22"/>
                <w:szCs w:val="22"/>
              </w:rPr>
              <w:fldChar w:fldCharType="end"/>
            </w:r>
          </w:p>
        </w:tc>
        <w:tc>
          <w:tcPr>
            <w:tcW w:w="2160" w:type="dxa"/>
            <w:shd w:val="clear" w:color="auto" w:fill="EEECE1"/>
          </w:tcPr>
          <w:p w:rsidR="00030833" w:rsidRDefault="00030833">
            <w:r w:rsidRPr="00E3604A">
              <w:rPr>
                <w:rFonts w:cs="Times New Roman"/>
                <w:b/>
                <w:sz w:val="22"/>
                <w:szCs w:val="22"/>
              </w:rPr>
              <w:fldChar w:fldCharType="begin">
                <w:ffData>
                  <w:name w:val=""/>
                  <w:enabled/>
                  <w:calcOnExit w:val="0"/>
                  <w:textInput>
                    <w:maxLength w:val="100"/>
                  </w:textInput>
                </w:ffData>
              </w:fldChar>
            </w:r>
            <w:r w:rsidRPr="00E3604A">
              <w:rPr>
                <w:rFonts w:cs="Times New Roman"/>
                <w:b/>
                <w:sz w:val="22"/>
                <w:szCs w:val="22"/>
              </w:rPr>
              <w:instrText xml:space="preserve"> FORMTEXT </w:instrText>
            </w:r>
            <w:r w:rsidRPr="00E3604A">
              <w:rPr>
                <w:rFonts w:cs="Times New Roman"/>
                <w:b/>
                <w:sz w:val="22"/>
                <w:szCs w:val="22"/>
              </w:rPr>
            </w:r>
            <w:r w:rsidRPr="00E3604A">
              <w:rPr>
                <w:rFonts w:cs="Times New Roman"/>
                <w:b/>
                <w:sz w:val="22"/>
                <w:szCs w:val="22"/>
              </w:rPr>
              <w:fldChar w:fldCharType="separate"/>
            </w:r>
            <w:r w:rsidRPr="00E3604A">
              <w:rPr>
                <w:rFonts w:cs="Times New Roman"/>
                <w:b/>
                <w:noProof/>
                <w:sz w:val="22"/>
                <w:szCs w:val="22"/>
              </w:rPr>
              <w:t> </w:t>
            </w:r>
            <w:r w:rsidRPr="00E3604A">
              <w:rPr>
                <w:rFonts w:cs="Times New Roman"/>
                <w:b/>
                <w:noProof/>
                <w:sz w:val="22"/>
                <w:szCs w:val="22"/>
              </w:rPr>
              <w:t> </w:t>
            </w:r>
            <w:r w:rsidRPr="00E3604A">
              <w:rPr>
                <w:rFonts w:cs="Times New Roman"/>
                <w:b/>
                <w:noProof/>
                <w:sz w:val="22"/>
                <w:szCs w:val="22"/>
              </w:rPr>
              <w:t> </w:t>
            </w:r>
            <w:r w:rsidRPr="00E3604A">
              <w:rPr>
                <w:rFonts w:cs="Times New Roman"/>
                <w:b/>
                <w:noProof/>
                <w:sz w:val="22"/>
                <w:szCs w:val="22"/>
              </w:rPr>
              <w:t> </w:t>
            </w:r>
            <w:r w:rsidRPr="00E3604A">
              <w:rPr>
                <w:rFonts w:cs="Times New Roman"/>
                <w:b/>
                <w:noProof/>
                <w:sz w:val="22"/>
                <w:szCs w:val="22"/>
              </w:rPr>
              <w:t> </w:t>
            </w:r>
            <w:r w:rsidRPr="00E3604A">
              <w:rPr>
                <w:rFonts w:cs="Times New Roman"/>
                <w:b/>
                <w:sz w:val="22"/>
                <w:szCs w:val="22"/>
              </w:rPr>
              <w:fldChar w:fldCharType="end"/>
            </w:r>
          </w:p>
        </w:tc>
        <w:tc>
          <w:tcPr>
            <w:tcW w:w="2430" w:type="dxa"/>
          </w:tcPr>
          <w:p w:rsidR="00030833" w:rsidRPr="007D00E3" w:rsidRDefault="00030833" w:rsidP="006C1B11">
            <w:r>
              <w:rPr>
                <w:rFonts w:cs="Times New Roman"/>
                <w:b/>
                <w:sz w:val="22"/>
                <w:szCs w:val="22"/>
              </w:rPr>
              <w:fldChar w:fldCharType="begin">
                <w:ffData>
                  <w:name w:val=""/>
                  <w:enabled/>
                  <w:calcOnExit w:val="0"/>
                  <w:textInput>
                    <w:maxLength w:val="10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888" w:type="dxa"/>
          </w:tcPr>
          <w:p w:rsidR="00030833" w:rsidRPr="007D00E3" w:rsidRDefault="00030833" w:rsidP="006C1B11">
            <w:r>
              <w:rPr>
                <w:rFonts w:cs="Times New Roman"/>
                <w:b/>
                <w:sz w:val="22"/>
                <w:szCs w:val="22"/>
              </w:rPr>
              <w:fldChar w:fldCharType="begin">
                <w:ffData>
                  <w:name w:val=""/>
                  <w:enabled/>
                  <w:calcOnExit w:val="0"/>
                  <w:textInput>
                    <w:maxLength w:val="10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8" w:type="dxa"/>
          </w:tcPr>
          <w:p w:rsidR="00030833" w:rsidRDefault="00030833">
            <w:r w:rsidRPr="00E95457">
              <w:rPr>
                <w:rFonts w:cs="Times New Roman"/>
                <w:b/>
                <w:sz w:val="22"/>
                <w:szCs w:val="22"/>
              </w:rPr>
              <w:fldChar w:fldCharType="begin">
                <w:ffData>
                  <w:name w:val=""/>
                  <w:enabled/>
                  <w:calcOnExit w:val="0"/>
                  <w:textInput>
                    <w:maxLength w:val="100"/>
                  </w:textInput>
                </w:ffData>
              </w:fldChar>
            </w:r>
            <w:r w:rsidRPr="00E95457">
              <w:rPr>
                <w:rFonts w:cs="Times New Roman"/>
                <w:b/>
                <w:sz w:val="22"/>
                <w:szCs w:val="22"/>
              </w:rPr>
              <w:instrText xml:space="preserve"> FORMTEXT </w:instrText>
            </w:r>
            <w:r w:rsidRPr="00E95457">
              <w:rPr>
                <w:rFonts w:cs="Times New Roman"/>
                <w:b/>
                <w:sz w:val="22"/>
                <w:szCs w:val="22"/>
              </w:rPr>
            </w:r>
            <w:r w:rsidRPr="00E95457">
              <w:rPr>
                <w:rFonts w:cs="Times New Roman"/>
                <w:b/>
                <w:sz w:val="22"/>
                <w:szCs w:val="22"/>
              </w:rPr>
              <w:fldChar w:fldCharType="separate"/>
            </w:r>
            <w:r w:rsidRPr="00E95457">
              <w:rPr>
                <w:rFonts w:cs="Times New Roman"/>
                <w:b/>
                <w:noProof/>
                <w:sz w:val="22"/>
                <w:szCs w:val="22"/>
              </w:rPr>
              <w:t> </w:t>
            </w:r>
            <w:r w:rsidRPr="00E95457">
              <w:rPr>
                <w:rFonts w:cs="Times New Roman"/>
                <w:b/>
                <w:noProof/>
                <w:sz w:val="22"/>
                <w:szCs w:val="22"/>
              </w:rPr>
              <w:t> </w:t>
            </w:r>
            <w:r w:rsidRPr="00E95457">
              <w:rPr>
                <w:rFonts w:cs="Times New Roman"/>
                <w:b/>
                <w:noProof/>
                <w:sz w:val="22"/>
                <w:szCs w:val="22"/>
              </w:rPr>
              <w:t> </w:t>
            </w:r>
            <w:r w:rsidRPr="00E95457">
              <w:rPr>
                <w:rFonts w:cs="Times New Roman"/>
                <w:b/>
                <w:noProof/>
                <w:sz w:val="22"/>
                <w:szCs w:val="22"/>
              </w:rPr>
              <w:t> </w:t>
            </w:r>
            <w:r w:rsidRPr="00E95457">
              <w:rPr>
                <w:rFonts w:cs="Times New Roman"/>
                <w:b/>
                <w:noProof/>
                <w:sz w:val="22"/>
                <w:szCs w:val="22"/>
              </w:rPr>
              <w:t> </w:t>
            </w:r>
            <w:r w:rsidRPr="00E95457">
              <w:rPr>
                <w:rFonts w:cs="Times New Roman"/>
                <w:b/>
                <w:sz w:val="22"/>
                <w:szCs w:val="22"/>
              </w:rPr>
              <w:fldChar w:fldCharType="end"/>
            </w:r>
          </w:p>
        </w:tc>
      </w:tr>
      <w:tr w:rsidR="000C5305" w:rsidRPr="007D00E3" w:rsidTr="00811228">
        <w:trPr>
          <w:trHeight w:val="1187"/>
        </w:trPr>
        <w:tc>
          <w:tcPr>
            <w:tcW w:w="1530" w:type="dxa"/>
            <w:vMerge w:val="restart"/>
          </w:tcPr>
          <w:p w:rsidR="000C5305" w:rsidRPr="00296FA9" w:rsidRDefault="000C5305" w:rsidP="006C1B11">
            <w:r w:rsidRPr="00296FA9">
              <w:t>Outcome 2</w:t>
            </w:r>
          </w:p>
          <w:p w:rsidR="000C5305" w:rsidRPr="00296FA9" w:rsidRDefault="000C5305" w:rsidP="006C1B11"/>
        </w:tc>
        <w:tc>
          <w:tcPr>
            <w:tcW w:w="1980" w:type="dxa"/>
            <w:shd w:val="clear" w:color="auto" w:fill="EEECE1"/>
          </w:tcPr>
          <w:p w:rsidR="000C5305" w:rsidRPr="00296FA9" w:rsidRDefault="000C5305" w:rsidP="00296FA9">
            <w:r>
              <w:t>Indicator 2.1</w:t>
            </w:r>
          </w:p>
        </w:tc>
        <w:tc>
          <w:tcPr>
            <w:tcW w:w="2062" w:type="dxa"/>
            <w:shd w:val="clear" w:color="auto" w:fill="EEECE1"/>
          </w:tcPr>
          <w:p w:rsidR="000C5305" w:rsidRDefault="000C5305"/>
        </w:tc>
        <w:tc>
          <w:tcPr>
            <w:tcW w:w="2160" w:type="dxa"/>
            <w:shd w:val="clear" w:color="auto" w:fill="EEECE1"/>
          </w:tcPr>
          <w:p w:rsidR="000C5305" w:rsidRDefault="000C5305" w:rsidP="00B10628">
            <w:r w:rsidRPr="00296FA9">
              <w:t xml:space="preserve">SDDRC’s ability to implement </w:t>
            </w:r>
            <w:proofErr w:type="spellStart"/>
            <w:r w:rsidRPr="00296FA9">
              <w:t>programme</w:t>
            </w:r>
            <w:proofErr w:type="spellEnd"/>
            <w:r w:rsidRPr="00296FA9">
              <w:t xml:space="preserve"> in all states increased</w:t>
            </w:r>
          </w:p>
        </w:tc>
        <w:tc>
          <w:tcPr>
            <w:tcW w:w="2430" w:type="dxa"/>
          </w:tcPr>
          <w:p w:rsidR="000C5305" w:rsidRPr="007D00E3" w:rsidRDefault="00811228" w:rsidP="00B10628">
            <w:r>
              <w:t>*</w:t>
            </w:r>
            <w:r w:rsidR="000C5305">
              <w:t>Achieved- Refer to Annual report 2013</w:t>
            </w:r>
          </w:p>
        </w:tc>
        <w:tc>
          <w:tcPr>
            <w:tcW w:w="2888" w:type="dxa"/>
          </w:tcPr>
          <w:p w:rsidR="000C5305" w:rsidRPr="007D00E3" w:rsidRDefault="000C5305" w:rsidP="006C1B11">
            <w:r w:rsidRPr="00296FA9">
              <w:fldChar w:fldCharType="begin">
                <w:ffData>
                  <w:name w:val=""/>
                  <w:enabled/>
                  <w:calcOnExit w:val="0"/>
                  <w:textInput>
                    <w:maxLength w:val="100"/>
                  </w:textInput>
                </w:ffData>
              </w:fldChar>
            </w:r>
            <w:r w:rsidRPr="00296FA9">
              <w:instrText xml:space="preserve"> FORMTEXT </w:instrText>
            </w:r>
            <w:r w:rsidRPr="00296FA9">
              <w:fldChar w:fldCharType="separate"/>
            </w:r>
            <w:r w:rsidRPr="00296FA9">
              <w:t> </w:t>
            </w:r>
            <w:r w:rsidRPr="00296FA9">
              <w:t> </w:t>
            </w:r>
            <w:r w:rsidRPr="00296FA9">
              <w:t> </w:t>
            </w:r>
            <w:r w:rsidRPr="00296FA9">
              <w:t> </w:t>
            </w:r>
            <w:r w:rsidRPr="00296FA9">
              <w:t> </w:t>
            </w:r>
            <w:r w:rsidRPr="00296FA9">
              <w:fldChar w:fldCharType="end"/>
            </w:r>
          </w:p>
        </w:tc>
        <w:tc>
          <w:tcPr>
            <w:tcW w:w="2078" w:type="dxa"/>
          </w:tcPr>
          <w:p w:rsidR="000C5305" w:rsidRDefault="000C5305">
            <w:r w:rsidRPr="00296FA9">
              <w:fldChar w:fldCharType="begin">
                <w:ffData>
                  <w:name w:val=""/>
                  <w:enabled/>
                  <w:calcOnExit w:val="0"/>
                  <w:textInput>
                    <w:maxLength w:val="100"/>
                  </w:textInput>
                </w:ffData>
              </w:fldChar>
            </w:r>
            <w:r w:rsidRPr="00296FA9">
              <w:instrText xml:space="preserve"> FORMTEXT </w:instrText>
            </w:r>
            <w:r w:rsidRPr="00296FA9">
              <w:fldChar w:fldCharType="separate"/>
            </w:r>
            <w:r w:rsidRPr="00296FA9">
              <w:t> </w:t>
            </w:r>
            <w:r w:rsidRPr="00296FA9">
              <w:t> </w:t>
            </w:r>
            <w:r w:rsidRPr="00296FA9">
              <w:t> </w:t>
            </w:r>
            <w:r w:rsidRPr="00296FA9">
              <w:t> </w:t>
            </w:r>
            <w:r w:rsidRPr="00296FA9">
              <w:t> </w:t>
            </w:r>
            <w:r w:rsidRPr="00296FA9">
              <w:fldChar w:fldCharType="end"/>
            </w:r>
          </w:p>
        </w:tc>
      </w:tr>
      <w:tr w:rsidR="000C5305" w:rsidRPr="007D00E3" w:rsidTr="00123B4F">
        <w:trPr>
          <w:trHeight w:val="422"/>
        </w:trPr>
        <w:tc>
          <w:tcPr>
            <w:tcW w:w="1530" w:type="dxa"/>
            <w:vMerge/>
          </w:tcPr>
          <w:p w:rsidR="000C5305" w:rsidRPr="00D33A6D" w:rsidRDefault="000C5305" w:rsidP="006C1B11"/>
        </w:tc>
        <w:tc>
          <w:tcPr>
            <w:tcW w:w="1980" w:type="dxa"/>
            <w:shd w:val="clear" w:color="auto" w:fill="EEECE1"/>
          </w:tcPr>
          <w:p w:rsidR="000C5305" w:rsidRPr="00296FA9" w:rsidRDefault="000C5305" w:rsidP="00296FA9">
            <w:r>
              <w:t>Indicator 2.2</w:t>
            </w:r>
          </w:p>
        </w:tc>
        <w:tc>
          <w:tcPr>
            <w:tcW w:w="2062" w:type="dxa"/>
            <w:shd w:val="clear" w:color="auto" w:fill="EEECE1"/>
          </w:tcPr>
          <w:p w:rsidR="000C5305" w:rsidRDefault="000C5305" w:rsidP="00123B4F"/>
        </w:tc>
        <w:tc>
          <w:tcPr>
            <w:tcW w:w="2160" w:type="dxa"/>
            <w:shd w:val="clear" w:color="auto" w:fill="EEECE1"/>
          </w:tcPr>
          <w:p w:rsidR="000C5305" w:rsidRPr="00296FA9" w:rsidRDefault="000C5305" w:rsidP="00B10628">
            <w:r w:rsidRPr="00296FA9">
              <w:t># of workshops delivered to the DDR Commission</w:t>
            </w:r>
          </w:p>
          <w:p w:rsidR="000C5305" w:rsidRDefault="000C5305" w:rsidP="00B10628"/>
        </w:tc>
        <w:tc>
          <w:tcPr>
            <w:tcW w:w="2430" w:type="dxa"/>
          </w:tcPr>
          <w:p w:rsidR="000C5305" w:rsidRPr="007D00E3" w:rsidRDefault="00811228" w:rsidP="00B10628">
            <w:r>
              <w:t>*</w:t>
            </w:r>
            <w:r w:rsidR="000C5305">
              <w:t>Achieved- Refer to Annual report 2013</w:t>
            </w:r>
          </w:p>
        </w:tc>
        <w:tc>
          <w:tcPr>
            <w:tcW w:w="2888" w:type="dxa"/>
          </w:tcPr>
          <w:p w:rsidR="000C5305" w:rsidRPr="007D00E3" w:rsidRDefault="000C5305" w:rsidP="00123B4F">
            <w:r w:rsidRPr="00296FA9">
              <w:fldChar w:fldCharType="begin">
                <w:ffData>
                  <w:name w:val=""/>
                  <w:enabled/>
                  <w:calcOnExit w:val="0"/>
                  <w:textInput>
                    <w:maxLength w:val="100"/>
                  </w:textInput>
                </w:ffData>
              </w:fldChar>
            </w:r>
            <w:r w:rsidRPr="00296FA9">
              <w:instrText xml:space="preserve"> FORMTEXT </w:instrText>
            </w:r>
            <w:r w:rsidRPr="00296FA9">
              <w:fldChar w:fldCharType="separate"/>
            </w:r>
            <w:r w:rsidRPr="00296FA9">
              <w:t> </w:t>
            </w:r>
            <w:r w:rsidRPr="00296FA9">
              <w:t> </w:t>
            </w:r>
            <w:r w:rsidRPr="00296FA9">
              <w:t> </w:t>
            </w:r>
            <w:r w:rsidRPr="00296FA9">
              <w:t> </w:t>
            </w:r>
            <w:r w:rsidRPr="00296FA9">
              <w:t> </w:t>
            </w:r>
            <w:r w:rsidRPr="00296FA9">
              <w:fldChar w:fldCharType="end"/>
            </w:r>
          </w:p>
        </w:tc>
        <w:tc>
          <w:tcPr>
            <w:tcW w:w="2078" w:type="dxa"/>
          </w:tcPr>
          <w:p w:rsidR="000C5305" w:rsidRDefault="000C5305" w:rsidP="00123B4F">
            <w:r w:rsidRPr="00296FA9">
              <w:fldChar w:fldCharType="begin">
                <w:ffData>
                  <w:name w:val=""/>
                  <w:enabled/>
                  <w:calcOnExit w:val="0"/>
                  <w:textInput>
                    <w:maxLength w:val="100"/>
                  </w:textInput>
                </w:ffData>
              </w:fldChar>
            </w:r>
            <w:r w:rsidRPr="00296FA9">
              <w:instrText xml:space="preserve"> FORMTEXT </w:instrText>
            </w:r>
            <w:r w:rsidRPr="00296FA9">
              <w:fldChar w:fldCharType="separate"/>
            </w:r>
            <w:r w:rsidRPr="00296FA9">
              <w:t> </w:t>
            </w:r>
            <w:r w:rsidRPr="00296FA9">
              <w:t> </w:t>
            </w:r>
            <w:r w:rsidRPr="00296FA9">
              <w:t> </w:t>
            </w:r>
            <w:r w:rsidRPr="00296FA9">
              <w:t> </w:t>
            </w:r>
            <w:r w:rsidRPr="00296FA9">
              <w:t> </w:t>
            </w:r>
            <w:r w:rsidRPr="00296FA9">
              <w:fldChar w:fldCharType="end"/>
            </w:r>
          </w:p>
        </w:tc>
      </w:tr>
      <w:tr w:rsidR="000C5305" w:rsidRPr="007D00E3" w:rsidTr="00123B4F">
        <w:trPr>
          <w:trHeight w:val="422"/>
        </w:trPr>
        <w:tc>
          <w:tcPr>
            <w:tcW w:w="1530" w:type="dxa"/>
            <w:vMerge w:val="restart"/>
          </w:tcPr>
          <w:p w:rsidR="000C5305" w:rsidRPr="00D33A6D" w:rsidRDefault="000C5305" w:rsidP="006C1B11">
            <w:r w:rsidRPr="00D33A6D">
              <w:t>Output 2.1</w:t>
            </w:r>
          </w:p>
          <w:p w:rsidR="000C5305" w:rsidRPr="00296FA9" w:rsidRDefault="000C5305" w:rsidP="006C1B11"/>
        </w:tc>
        <w:tc>
          <w:tcPr>
            <w:tcW w:w="1980" w:type="dxa"/>
            <w:shd w:val="clear" w:color="auto" w:fill="EEECE1"/>
          </w:tcPr>
          <w:p w:rsidR="000C5305" w:rsidRPr="00F3492E" w:rsidRDefault="000C5305" w:rsidP="00296FA9">
            <w:r w:rsidRPr="00F3492E">
              <w:t>Indicator  2.1.1</w:t>
            </w:r>
          </w:p>
        </w:tc>
        <w:tc>
          <w:tcPr>
            <w:tcW w:w="2062" w:type="dxa"/>
            <w:shd w:val="clear" w:color="auto" w:fill="EEECE1"/>
          </w:tcPr>
          <w:p w:rsidR="000C5305" w:rsidRDefault="000C5305" w:rsidP="00B10628">
            <w:r w:rsidRPr="00296FA9">
              <w:t xml:space="preserve">Basic capacity (material and human resources) in place and limited sense of ownership and </w:t>
            </w:r>
            <w:r w:rsidRPr="00296FA9">
              <w:lastRenderedPageBreak/>
              <w:t>understanding on DDR.</w:t>
            </w:r>
          </w:p>
        </w:tc>
        <w:tc>
          <w:tcPr>
            <w:tcW w:w="2160" w:type="dxa"/>
            <w:shd w:val="clear" w:color="auto" w:fill="EEECE1"/>
          </w:tcPr>
          <w:p w:rsidR="000C5305" w:rsidRDefault="000C5305">
            <w:r w:rsidRPr="00296FA9">
              <w:lastRenderedPageBreak/>
              <w:t xml:space="preserve">Project being implemented by national partners with a sense of national ownership of the DDR </w:t>
            </w:r>
            <w:proofErr w:type="spellStart"/>
            <w:r w:rsidRPr="00296FA9">
              <w:lastRenderedPageBreak/>
              <w:t>programme</w:t>
            </w:r>
            <w:proofErr w:type="spellEnd"/>
            <w:r w:rsidRPr="00296FA9">
              <w:t>.</w:t>
            </w:r>
          </w:p>
        </w:tc>
        <w:tc>
          <w:tcPr>
            <w:tcW w:w="2430" w:type="dxa"/>
          </w:tcPr>
          <w:p w:rsidR="000C5305" w:rsidRPr="007D00E3" w:rsidRDefault="00811228" w:rsidP="00B10628">
            <w:r>
              <w:lastRenderedPageBreak/>
              <w:t>*</w:t>
            </w:r>
            <w:r w:rsidR="000C5305">
              <w:t>Achieved- Refer to Annual report 2013</w:t>
            </w:r>
          </w:p>
        </w:tc>
        <w:tc>
          <w:tcPr>
            <w:tcW w:w="2888" w:type="dxa"/>
          </w:tcPr>
          <w:p w:rsidR="000C5305" w:rsidRPr="007D00E3" w:rsidRDefault="000C5305" w:rsidP="006C1B11">
            <w:r w:rsidRPr="00296FA9">
              <w:fldChar w:fldCharType="begin">
                <w:ffData>
                  <w:name w:val=""/>
                  <w:enabled/>
                  <w:calcOnExit w:val="0"/>
                  <w:textInput>
                    <w:maxLength w:val="100"/>
                  </w:textInput>
                </w:ffData>
              </w:fldChar>
            </w:r>
            <w:r w:rsidRPr="00296FA9">
              <w:instrText xml:space="preserve"> FORMTEXT </w:instrText>
            </w:r>
            <w:r w:rsidRPr="00296FA9">
              <w:fldChar w:fldCharType="separate"/>
            </w:r>
            <w:r w:rsidRPr="00296FA9">
              <w:t> </w:t>
            </w:r>
            <w:r w:rsidRPr="00296FA9">
              <w:t> </w:t>
            </w:r>
            <w:r w:rsidRPr="00296FA9">
              <w:t> </w:t>
            </w:r>
            <w:r w:rsidRPr="00296FA9">
              <w:t> </w:t>
            </w:r>
            <w:r w:rsidRPr="00296FA9">
              <w:t> </w:t>
            </w:r>
            <w:r w:rsidRPr="00296FA9">
              <w:fldChar w:fldCharType="end"/>
            </w:r>
          </w:p>
        </w:tc>
        <w:tc>
          <w:tcPr>
            <w:tcW w:w="2078" w:type="dxa"/>
          </w:tcPr>
          <w:p w:rsidR="000C5305" w:rsidRDefault="000C5305">
            <w:r w:rsidRPr="00296FA9">
              <w:fldChar w:fldCharType="begin">
                <w:ffData>
                  <w:name w:val=""/>
                  <w:enabled/>
                  <w:calcOnExit w:val="0"/>
                  <w:textInput>
                    <w:maxLength w:val="100"/>
                  </w:textInput>
                </w:ffData>
              </w:fldChar>
            </w:r>
            <w:r w:rsidRPr="00296FA9">
              <w:instrText xml:space="preserve"> FORMTEXT </w:instrText>
            </w:r>
            <w:r w:rsidRPr="00296FA9">
              <w:fldChar w:fldCharType="separate"/>
            </w:r>
            <w:r w:rsidRPr="00296FA9">
              <w:t> </w:t>
            </w:r>
            <w:r w:rsidRPr="00296FA9">
              <w:t> </w:t>
            </w:r>
            <w:r w:rsidRPr="00296FA9">
              <w:t> </w:t>
            </w:r>
            <w:r w:rsidRPr="00296FA9">
              <w:t> </w:t>
            </w:r>
            <w:r w:rsidRPr="00296FA9">
              <w:t> </w:t>
            </w:r>
            <w:r w:rsidRPr="00296FA9">
              <w:fldChar w:fldCharType="end"/>
            </w:r>
          </w:p>
        </w:tc>
      </w:tr>
      <w:tr w:rsidR="000C5305" w:rsidRPr="007D00E3" w:rsidTr="00123B4F">
        <w:trPr>
          <w:trHeight w:val="458"/>
        </w:trPr>
        <w:tc>
          <w:tcPr>
            <w:tcW w:w="1530" w:type="dxa"/>
            <w:vMerge/>
          </w:tcPr>
          <w:p w:rsidR="000C5305" w:rsidRPr="00296FA9" w:rsidRDefault="000C5305" w:rsidP="006C1B11"/>
        </w:tc>
        <w:tc>
          <w:tcPr>
            <w:tcW w:w="1980" w:type="dxa"/>
            <w:shd w:val="clear" w:color="auto" w:fill="EEECE1"/>
          </w:tcPr>
          <w:p w:rsidR="000C5305" w:rsidRPr="00F3492E" w:rsidRDefault="000C5305" w:rsidP="00296FA9">
            <w:r w:rsidRPr="00F3492E">
              <w:t>Indicator  2.1.2</w:t>
            </w:r>
          </w:p>
        </w:tc>
        <w:tc>
          <w:tcPr>
            <w:tcW w:w="2062" w:type="dxa"/>
            <w:shd w:val="clear" w:color="auto" w:fill="EEECE1"/>
          </w:tcPr>
          <w:p w:rsidR="000C5305" w:rsidRDefault="000C5305" w:rsidP="00B10628">
            <w:r>
              <w:t>0</w:t>
            </w:r>
          </w:p>
        </w:tc>
        <w:tc>
          <w:tcPr>
            <w:tcW w:w="2160" w:type="dxa"/>
            <w:shd w:val="clear" w:color="auto" w:fill="EEECE1"/>
          </w:tcPr>
          <w:p w:rsidR="000C5305" w:rsidRDefault="000C5305">
            <w:r>
              <w:t>5</w:t>
            </w:r>
          </w:p>
        </w:tc>
        <w:tc>
          <w:tcPr>
            <w:tcW w:w="2430" w:type="dxa"/>
          </w:tcPr>
          <w:p w:rsidR="000C5305" w:rsidRPr="007D00E3" w:rsidRDefault="00811228" w:rsidP="00B10628">
            <w:r>
              <w:t>*</w:t>
            </w:r>
            <w:r w:rsidR="000C5305">
              <w:t>Achieved- Refer to Annual report 2013</w:t>
            </w:r>
          </w:p>
        </w:tc>
        <w:tc>
          <w:tcPr>
            <w:tcW w:w="2888" w:type="dxa"/>
          </w:tcPr>
          <w:p w:rsidR="000C5305" w:rsidRPr="007D00E3" w:rsidRDefault="000C5305" w:rsidP="006C1B11">
            <w:r w:rsidRPr="00296FA9">
              <w:fldChar w:fldCharType="begin">
                <w:ffData>
                  <w:name w:val=""/>
                  <w:enabled/>
                  <w:calcOnExit w:val="0"/>
                  <w:textInput>
                    <w:maxLength w:val="100"/>
                  </w:textInput>
                </w:ffData>
              </w:fldChar>
            </w:r>
            <w:r w:rsidRPr="00296FA9">
              <w:instrText xml:space="preserve"> FORMTEXT </w:instrText>
            </w:r>
            <w:r w:rsidRPr="00296FA9">
              <w:fldChar w:fldCharType="separate"/>
            </w:r>
            <w:r w:rsidRPr="00296FA9">
              <w:t> </w:t>
            </w:r>
            <w:r w:rsidRPr="00296FA9">
              <w:t> </w:t>
            </w:r>
            <w:r w:rsidRPr="00296FA9">
              <w:t> </w:t>
            </w:r>
            <w:r w:rsidRPr="00296FA9">
              <w:t> </w:t>
            </w:r>
            <w:r w:rsidRPr="00296FA9">
              <w:t> </w:t>
            </w:r>
            <w:r w:rsidRPr="00296FA9">
              <w:fldChar w:fldCharType="end"/>
            </w:r>
          </w:p>
        </w:tc>
        <w:tc>
          <w:tcPr>
            <w:tcW w:w="2078" w:type="dxa"/>
          </w:tcPr>
          <w:p w:rsidR="000C5305" w:rsidRDefault="000C5305">
            <w:r w:rsidRPr="00296FA9">
              <w:fldChar w:fldCharType="begin">
                <w:ffData>
                  <w:name w:val=""/>
                  <w:enabled/>
                  <w:calcOnExit w:val="0"/>
                  <w:textInput>
                    <w:maxLength w:val="100"/>
                  </w:textInput>
                </w:ffData>
              </w:fldChar>
            </w:r>
            <w:r w:rsidRPr="00296FA9">
              <w:instrText xml:space="preserve"> FORMTEXT </w:instrText>
            </w:r>
            <w:r w:rsidRPr="00296FA9">
              <w:fldChar w:fldCharType="separate"/>
            </w:r>
            <w:r w:rsidRPr="00296FA9">
              <w:t> </w:t>
            </w:r>
            <w:r w:rsidRPr="00296FA9">
              <w:t> </w:t>
            </w:r>
            <w:r w:rsidRPr="00296FA9">
              <w:t> </w:t>
            </w:r>
            <w:r w:rsidRPr="00296FA9">
              <w:t> </w:t>
            </w:r>
            <w:r w:rsidRPr="00296FA9">
              <w:t> </w:t>
            </w:r>
            <w:r w:rsidRPr="00296FA9">
              <w:fldChar w:fldCharType="end"/>
            </w:r>
          </w:p>
        </w:tc>
      </w:tr>
      <w:tr w:rsidR="000C5305" w:rsidRPr="007D00E3" w:rsidTr="00123B4F">
        <w:trPr>
          <w:trHeight w:val="512"/>
        </w:trPr>
        <w:tc>
          <w:tcPr>
            <w:tcW w:w="1530" w:type="dxa"/>
            <w:vMerge w:val="restart"/>
          </w:tcPr>
          <w:p w:rsidR="000C5305" w:rsidRPr="000C5305" w:rsidRDefault="000C5305" w:rsidP="006C1B11"/>
          <w:p w:rsidR="000C5305" w:rsidRPr="00D33A6D" w:rsidRDefault="000C5305" w:rsidP="006C1B11">
            <w:r w:rsidRPr="00D33A6D">
              <w:t>Output 2.2</w:t>
            </w:r>
          </w:p>
        </w:tc>
        <w:tc>
          <w:tcPr>
            <w:tcW w:w="1980" w:type="dxa"/>
            <w:shd w:val="clear" w:color="auto" w:fill="EEECE1"/>
          </w:tcPr>
          <w:p w:rsidR="000C5305" w:rsidRPr="00F3492E" w:rsidRDefault="000C5305" w:rsidP="000C5305">
            <w:r w:rsidRPr="00F3492E">
              <w:t>Indicator  2.2.1</w:t>
            </w:r>
          </w:p>
        </w:tc>
        <w:tc>
          <w:tcPr>
            <w:tcW w:w="2062" w:type="dxa"/>
            <w:shd w:val="clear" w:color="auto" w:fill="EEECE1"/>
          </w:tcPr>
          <w:p w:rsidR="000C5305" w:rsidRDefault="000C5305">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160" w:type="dxa"/>
            <w:shd w:val="clear" w:color="auto" w:fill="EEECE1"/>
          </w:tcPr>
          <w:p w:rsidR="000C5305" w:rsidRDefault="000C5305">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430" w:type="dxa"/>
          </w:tcPr>
          <w:p w:rsidR="000C5305" w:rsidRPr="007D00E3" w:rsidRDefault="000C5305" w:rsidP="00B10628"/>
        </w:tc>
        <w:tc>
          <w:tcPr>
            <w:tcW w:w="2888" w:type="dxa"/>
          </w:tcPr>
          <w:p w:rsidR="000C5305" w:rsidRPr="007D00E3" w:rsidRDefault="000C5305" w:rsidP="006C1B11">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078" w:type="dxa"/>
          </w:tcPr>
          <w:p w:rsidR="000C5305" w:rsidRDefault="000C5305">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r>
      <w:tr w:rsidR="000C5305" w:rsidRPr="007D00E3" w:rsidTr="00123B4F">
        <w:trPr>
          <w:trHeight w:val="458"/>
        </w:trPr>
        <w:tc>
          <w:tcPr>
            <w:tcW w:w="1530" w:type="dxa"/>
            <w:vMerge/>
          </w:tcPr>
          <w:p w:rsidR="000C5305" w:rsidRPr="000C5305" w:rsidRDefault="000C5305" w:rsidP="006C1B11"/>
        </w:tc>
        <w:tc>
          <w:tcPr>
            <w:tcW w:w="1980" w:type="dxa"/>
            <w:shd w:val="clear" w:color="auto" w:fill="EEECE1"/>
          </w:tcPr>
          <w:p w:rsidR="000C5305" w:rsidRPr="00F3492E" w:rsidRDefault="000C5305" w:rsidP="000C5305">
            <w:r w:rsidRPr="00F3492E">
              <w:t>Indicator  2.2.2</w:t>
            </w:r>
          </w:p>
        </w:tc>
        <w:tc>
          <w:tcPr>
            <w:tcW w:w="2062" w:type="dxa"/>
            <w:shd w:val="clear" w:color="auto" w:fill="EEECE1"/>
          </w:tcPr>
          <w:p w:rsidR="000C5305" w:rsidRDefault="000C5305">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160" w:type="dxa"/>
            <w:shd w:val="clear" w:color="auto" w:fill="EEECE1"/>
          </w:tcPr>
          <w:p w:rsidR="000C5305" w:rsidRDefault="000C5305">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430" w:type="dxa"/>
          </w:tcPr>
          <w:p w:rsidR="000C5305" w:rsidRPr="007D00E3" w:rsidRDefault="000C5305" w:rsidP="006C1B11">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888" w:type="dxa"/>
          </w:tcPr>
          <w:p w:rsidR="000C5305" w:rsidRPr="007D00E3" w:rsidRDefault="000C5305" w:rsidP="006C1B11">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078" w:type="dxa"/>
          </w:tcPr>
          <w:p w:rsidR="000C5305" w:rsidRDefault="000C5305">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r>
      <w:tr w:rsidR="000C5305" w:rsidRPr="007D00E3" w:rsidTr="00123B4F">
        <w:trPr>
          <w:trHeight w:val="458"/>
        </w:trPr>
        <w:tc>
          <w:tcPr>
            <w:tcW w:w="1530" w:type="dxa"/>
            <w:vMerge w:val="restart"/>
          </w:tcPr>
          <w:p w:rsidR="000C5305" w:rsidRPr="000C5305" w:rsidRDefault="000C5305" w:rsidP="006C1B11">
            <w:r w:rsidRPr="000C5305">
              <w:t>Outcome 3</w:t>
            </w:r>
          </w:p>
        </w:tc>
        <w:tc>
          <w:tcPr>
            <w:tcW w:w="1980" w:type="dxa"/>
            <w:shd w:val="clear" w:color="auto" w:fill="EEECE1"/>
          </w:tcPr>
          <w:p w:rsidR="000C5305" w:rsidRPr="000C5305" w:rsidRDefault="000C5305" w:rsidP="000C5305">
            <w:r>
              <w:t>Indicator 3.1</w:t>
            </w:r>
          </w:p>
        </w:tc>
        <w:tc>
          <w:tcPr>
            <w:tcW w:w="2062" w:type="dxa"/>
            <w:shd w:val="clear" w:color="auto" w:fill="EEECE1"/>
          </w:tcPr>
          <w:p w:rsidR="000C5305" w:rsidRDefault="000C5305">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160" w:type="dxa"/>
            <w:shd w:val="clear" w:color="auto" w:fill="EEECE1"/>
          </w:tcPr>
          <w:p w:rsidR="000C5305" w:rsidRDefault="000C5305">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430" w:type="dxa"/>
          </w:tcPr>
          <w:p w:rsidR="000C5305" w:rsidRPr="007D00E3" w:rsidRDefault="000C5305" w:rsidP="006C1B11">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888" w:type="dxa"/>
          </w:tcPr>
          <w:p w:rsidR="000C5305" w:rsidRPr="007D00E3" w:rsidRDefault="000C5305" w:rsidP="006C1B11">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078" w:type="dxa"/>
          </w:tcPr>
          <w:p w:rsidR="000C5305" w:rsidRDefault="000C5305">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r>
      <w:tr w:rsidR="000C5305" w:rsidRPr="007D00E3" w:rsidTr="00123B4F">
        <w:trPr>
          <w:trHeight w:val="458"/>
        </w:trPr>
        <w:tc>
          <w:tcPr>
            <w:tcW w:w="1530" w:type="dxa"/>
            <w:vMerge/>
          </w:tcPr>
          <w:p w:rsidR="000C5305" w:rsidRPr="00CC0EED" w:rsidRDefault="000C5305" w:rsidP="006C1B11"/>
        </w:tc>
        <w:tc>
          <w:tcPr>
            <w:tcW w:w="1980" w:type="dxa"/>
            <w:shd w:val="clear" w:color="auto" w:fill="EEECE1"/>
          </w:tcPr>
          <w:p w:rsidR="000C5305" w:rsidRDefault="000C5305" w:rsidP="000C5305">
            <w:r>
              <w:t>Indicator 3.2</w:t>
            </w:r>
          </w:p>
        </w:tc>
        <w:tc>
          <w:tcPr>
            <w:tcW w:w="2062" w:type="dxa"/>
            <w:shd w:val="clear" w:color="auto" w:fill="EEECE1"/>
          </w:tcPr>
          <w:p w:rsidR="000C5305" w:rsidRDefault="000C5305" w:rsidP="00123B4F">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160" w:type="dxa"/>
            <w:shd w:val="clear" w:color="auto" w:fill="EEECE1"/>
          </w:tcPr>
          <w:p w:rsidR="000C5305" w:rsidRDefault="000C5305" w:rsidP="00123B4F">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430" w:type="dxa"/>
          </w:tcPr>
          <w:p w:rsidR="000C5305" w:rsidRPr="007D00E3" w:rsidRDefault="000C5305" w:rsidP="00123B4F">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888" w:type="dxa"/>
          </w:tcPr>
          <w:p w:rsidR="000C5305" w:rsidRPr="007D00E3" w:rsidRDefault="000C5305" w:rsidP="00123B4F">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078" w:type="dxa"/>
          </w:tcPr>
          <w:p w:rsidR="000C5305" w:rsidRDefault="000C5305" w:rsidP="00123B4F">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r>
      <w:tr w:rsidR="000C5305" w:rsidRPr="007D00E3" w:rsidTr="00123B4F">
        <w:trPr>
          <w:trHeight w:val="458"/>
        </w:trPr>
        <w:tc>
          <w:tcPr>
            <w:tcW w:w="1530" w:type="dxa"/>
            <w:vMerge w:val="restart"/>
          </w:tcPr>
          <w:p w:rsidR="000C5305" w:rsidRPr="00CC0EED" w:rsidRDefault="000C5305" w:rsidP="006C1B11">
            <w:r w:rsidRPr="00CC0EED">
              <w:t>Output 3.1</w:t>
            </w:r>
          </w:p>
        </w:tc>
        <w:tc>
          <w:tcPr>
            <w:tcW w:w="1980" w:type="dxa"/>
            <w:shd w:val="clear" w:color="auto" w:fill="EEECE1"/>
          </w:tcPr>
          <w:p w:rsidR="000C5305" w:rsidRPr="000C5305" w:rsidRDefault="000C5305" w:rsidP="000C5305">
            <w:r>
              <w:t>Indicator 3.1.1</w:t>
            </w:r>
          </w:p>
        </w:tc>
        <w:tc>
          <w:tcPr>
            <w:tcW w:w="2062" w:type="dxa"/>
            <w:shd w:val="clear" w:color="auto" w:fill="EEECE1"/>
          </w:tcPr>
          <w:p w:rsidR="000C5305" w:rsidRDefault="000C5305">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160" w:type="dxa"/>
            <w:shd w:val="clear" w:color="auto" w:fill="EEECE1"/>
          </w:tcPr>
          <w:p w:rsidR="000C5305" w:rsidRDefault="000C5305">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430" w:type="dxa"/>
          </w:tcPr>
          <w:p w:rsidR="000C5305" w:rsidRPr="007D00E3" w:rsidRDefault="000C5305" w:rsidP="006C1B11">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888" w:type="dxa"/>
          </w:tcPr>
          <w:p w:rsidR="000C5305" w:rsidRPr="007D00E3" w:rsidRDefault="000C5305" w:rsidP="006C1B11">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078" w:type="dxa"/>
          </w:tcPr>
          <w:p w:rsidR="000C5305" w:rsidRDefault="000C5305">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r>
      <w:tr w:rsidR="000C5305" w:rsidRPr="007D00E3" w:rsidTr="00123B4F">
        <w:trPr>
          <w:trHeight w:val="458"/>
        </w:trPr>
        <w:tc>
          <w:tcPr>
            <w:tcW w:w="1530" w:type="dxa"/>
            <w:vMerge/>
          </w:tcPr>
          <w:p w:rsidR="000C5305" w:rsidRPr="00CC0EED" w:rsidRDefault="000C5305" w:rsidP="006C1B11"/>
        </w:tc>
        <w:tc>
          <w:tcPr>
            <w:tcW w:w="1980" w:type="dxa"/>
            <w:shd w:val="clear" w:color="auto" w:fill="EEECE1"/>
          </w:tcPr>
          <w:p w:rsidR="000C5305" w:rsidRPr="000C5305" w:rsidRDefault="000C5305" w:rsidP="000C5305">
            <w:r>
              <w:t>Indicator 3.1.2</w:t>
            </w:r>
          </w:p>
        </w:tc>
        <w:tc>
          <w:tcPr>
            <w:tcW w:w="2062" w:type="dxa"/>
            <w:shd w:val="clear" w:color="auto" w:fill="EEECE1"/>
          </w:tcPr>
          <w:p w:rsidR="000C5305" w:rsidRDefault="000C5305">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160" w:type="dxa"/>
            <w:shd w:val="clear" w:color="auto" w:fill="EEECE1"/>
          </w:tcPr>
          <w:p w:rsidR="000C5305" w:rsidRDefault="000C5305">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430" w:type="dxa"/>
          </w:tcPr>
          <w:p w:rsidR="000C5305" w:rsidRPr="007D00E3" w:rsidRDefault="000C5305" w:rsidP="006C1B11">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888" w:type="dxa"/>
          </w:tcPr>
          <w:p w:rsidR="000C5305" w:rsidRPr="007D00E3" w:rsidRDefault="000C5305" w:rsidP="006C1B11">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078" w:type="dxa"/>
          </w:tcPr>
          <w:p w:rsidR="000C5305" w:rsidRDefault="000C5305">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r>
      <w:tr w:rsidR="000C5305" w:rsidRPr="007D00E3" w:rsidTr="00123B4F">
        <w:trPr>
          <w:trHeight w:val="458"/>
        </w:trPr>
        <w:tc>
          <w:tcPr>
            <w:tcW w:w="1530" w:type="dxa"/>
            <w:vMerge w:val="restart"/>
          </w:tcPr>
          <w:p w:rsidR="000C5305" w:rsidRPr="00CC0EED" w:rsidRDefault="000C5305" w:rsidP="006C1B11">
            <w:r w:rsidRPr="00CC0EED">
              <w:t>Output 3.2</w:t>
            </w:r>
          </w:p>
        </w:tc>
        <w:tc>
          <w:tcPr>
            <w:tcW w:w="1980" w:type="dxa"/>
            <w:shd w:val="clear" w:color="auto" w:fill="EEECE1"/>
          </w:tcPr>
          <w:p w:rsidR="000C5305" w:rsidRPr="000C5305" w:rsidRDefault="000C5305" w:rsidP="000C5305">
            <w:r>
              <w:t>Indicator 3.2.1</w:t>
            </w:r>
          </w:p>
        </w:tc>
        <w:tc>
          <w:tcPr>
            <w:tcW w:w="2062" w:type="dxa"/>
            <w:shd w:val="clear" w:color="auto" w:fill="EEECE1"/>
          </w:tcPr>
          <w:p w:rsidR="000C5305" w:rsidRDefault="000C5305">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160" w:type="dxa"/>
            <w:shd w:val="clear" w:color="auto" w:fill="EEECE1"/>
          </w:tcPr>
          <w:p w:rsidR="000C5305" w:rsidRDefault="000C5305">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430" w:type="dxa"/>
          </w:tcPr>
          <w:p w:rsidR="000C5305" w:rsidRPr="007D00E3" w:rsidRDefault="000C5305" w:rsidP="006C1B11">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888" w:type="dxa"/>
          </w:tcPr>
          <w:p w:rsidR="000C5305" w:rsidRPr="007D00E3" w:rsidRDefault="000C5305" w:rsidP="006C1B11">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078" w:type="dxa"/>
          </w:tcPr>
          <w:p w:rsidR="000C5305" w:rsidRDefault="000C5305">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r>
      <w:tr w:rsidR="000C5305" w:rsidRPr="007D00E3" w:rsidTr="00123B4F">
        <w:trPr>
          <w:trHeight w:val="458"/>
        </w:trPr>
        <w:tc>
          <w:tcPr>
            <w:tcW w:w="1530" w:type="dxa"/>
            <w:vMerge/>
          </w:tcPr>
          <w:p w:rsidR="000C5305" w:rsidRPr="000C5305" w:rsidRDefault="000C5305" w:rsidP="006C1B11"/>
        </w:tc>
        <w:tc>
          <w:tcPr>
            <w:tcW w:w="1980" w:type="dxa"/>
            <w:shd w:val="clear" w:color="auto" w:fill="EEECE1"/>
          </w:tcPr>
          <w:p w:rsidR="000C5305" w:rsidRPr="000C5305" w:rsidRDefault="000C5305" w:rsidP="000C5305">
            <w:r>
              <w:t>Indicator 3.2.2</w:t>
            </w:r>
          </w:p>
        </w:tc>
        <w:tc>
          <w:tcPr>
            <w:tcW w:w="2062" w:type="dxa"/>
            <w:shd w:val="clear" w:color="auto" w:fill="EEECE1"/>
          </w:tcPr>
          <w:p w:rsidR="000C5305" w:rsidRDefault="000C5305">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160" w:type="dxa"/>
            <w:shd w:val="clear" w:color="auto" w:fill="EEECE1"/>
          </w:tcPr>
          <w:p w:rsidR="000C5305" w:rsidRDefault="000C5305">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430" w:type="dxa"/>
          </w:tcPr>
          <w:p w:rsidR="000C5305" w:rsidRPr="007D00E3" w:rsidRDefault="000C5305" w:rsidP="006C1B11">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888" w:type="dxa"/>
          </w:tcPr>
          <w:p w:rsidR="000C5305" w:rsidRPr="007D00E3" w:rsidRDefault="000C5305" w:rsidP="006C1B11">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c>
          <w:tcPr>
            <w:tcW w:w="2078" w:type="dxa"/>
          </w:tcPr>
          <w:p w:rsidR="000C5305" w:rsidRDefault="000C5305">
            <w:r w:rsidRPr="000C5305">
              <w:fldChar w:fldCharType="begin">
                <w:ffData>
                  <w:name w:val=""/>
                  <w:enabled/>
                  <w:calcOnExit w:val="0"/>
                  <w:textInput>
                    <w:maxLength w:val="100"/>
                  </w:textInput>
                </w:ffData>
              </w:fldChar>
            </w:r>
            <w:r w:rsidRPr="000C5305">
              <w:instrText xml:space="preserve"> FORMTEXT </w:instrText>
            </w:r>
            <w:r w:rsidRPr="000C5305">
              <w:fldChar w:fldCharType="separate"/>
            </w:r>
            <w:r w:rsidRPr="000C5305">
              <w:t> </w:t>
            </w:r>
            <w:r w:rsidRPr="000C5305">
              <w:t> </w:t>
            </w:r>
            <w:r w:rsidRPr="000C5305">
              <w:t> </w:t>
            </w:r>
            <w:r w:rsidRPr="000C5305">
              <w:t> </w:t>
            </w:r>
            <w:r w:rsidRPr="000C5305">
              <w:t> </w:t>
            </w:r>
            <w:r w:rsidRPr="000C5305">
              <w:fldChar w:fldCharType="end"/>
            </w:r>
          </w:p>
        </w:tc>
      </w:tr>
    </w:tbl>
    <w:p w:rsidR="00132065" w:rsidRDefault="00132065" w:rsidP="001D7143">
      <w:pPr>
        <w:outlineLvl w:val="0"/>
        <w:rPr>
          <w:rFonts w:cs="Times New Roman"/>
          <w:sz w:val="22"/>
          <w:szCs w:val="22"/>
        </w:rPr>
      </w:pPr>
    </w:p>
    <w:p w:rsidR="00132065" w:rsidRPr="00FF0380" w:rsidRDefault="00132065" w:rsidP="001D7143">
      <w:pPr>
        <w:outlineLvl w:val="0"/>
        <w:rPr>
          <w:rFonts w:cs="Times New Roman"/>
          <w:sz w:val="22"/>
          <w:szCs w:val="22"/>
        </w:rPr>
      </w:pPr>
    </w:p>
    <w:sectPr w:rsidR="00132065" w:rsidRPr="00FF0380" w:rsidSect="00D45676">
      <w:pgSz w:w="15840" w:h="12240" w:orient="landscape"/>
      <w:pgMar w:top="1800" w:right="567" w:bottom="1800" w:left="567"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85" w:rsidRDefault="003A5E85">
      <w:r>
        <w:separator/>
      </w:r>
    </w:p>
  </w:endnote>
  <w:endnote w:type="continuationSeparator" w:id="0">
    <w:p w:rsidR="003A5E85" w:rsidRDefault="003A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6D" w:rsidRDefault="00D33A6D"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A6D" w:rsidRDefault="00D33A6D" w:rsidP="00A540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6D" w:rsidRDefault="00D33A6D"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504">
      <w:rPr>
        <w:rStyle w:val="PageNumber"/>
        <w:noProof/>
      </w:rPr>
      <w:t>1</w:t>
    </w:r>
    <w:r>
      <w:rPr>
        <w:rStyle w:val="PageNumber"/>
      </w:rPr>
      <w:fldChar w:fldCharType="end"/>
    </w:r>
  </w:p>
  <w:p w:rsidR="00D33A6D" w:rsidRDefault="00D33A6D" w:rsidP="00A540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85" w:rsidRDefault="003A5E85">
      <w:r>
        <w:separator/>
      </w:r>
    </w:p>
  </w:footnote>
  <w:footnote w:type="continuationSeparator" w:id="0">
    <w:p w:rsidR="003A5E85" w:rsidRDefault="003A5E85">
      <w:r>
        <w:continuationSeparator/>
      </w:r>
    </w:p>
  </w:footnote>
  <w:footnote w:id="1">
    <w:p w:rsidR="00D33A6D" w:rsidRPr="00CC0EED" w:rsidRDefault="00D33A6D">
      <w:pPr>
        <w:pStyle w:val="FootnoteText"/>
        <w:rPr>
          <w:sz w:val="16"/>
          <w:szCs w:val="16"/>
        </w:rPr>
      </w:pPr>
      <w:r w:rsidRPr="00CC0EED">
        <w:rPr>
          <w:rStyle w:val="FootnoteReference"/>
          <w:sz w:val="16"/>
          <w:szCs w:val="16"/>
        </w:rPr>
        <w:footnoteRef/>
      </w:r>
      <w:r w:rsidRPr="00CC0EED">
        <w:rPr>
          <w:sz w:val="16"/>
          <w:szCs w:val="16"/>
        </w:rPr>
        <w:t xml:space="preserve"> Please note that where there are multiple agencies, only one consolidated project report should be submitted. </w:t>
      </w:r>
    </w:p>
  </w:footnote>
  <w:footnote w:id="2">
    <w:p w:rsidR="00D33A6D" w:rsidRPr="00CC0EED" w:rsidRDefault="00D33A6D">
      <w:pPr>
        <w:pStyle w:val="FootnoteText"/>
        <w:rPr>
          <w:sz w:val="16"/>
          <w:szCs w:val="16"/>
        </w:rPr>
      </w:pPr>
      <w:r w:rsidRPr="00CC0EED">
        <w:rPr>
          <w:rStyle w:val="FootnoteReference"/>
          <w:sz w:val="16"/>
          <w:szCs w:val="16"/>
        </w:rPr>
        <w:footnoteRef/>
      </w:r>
      <w:r w:rsidRPr="00CC0EED">
        <w:rPr>
          <w:sz w:val="16"/>
          <w:szCs w:val="16"/>
        </w:rPr>
        <w:t xml:space="preserve"> Approved budget </w:t>
      </w:r>
      <w:r w:rsidR="00F05D7B" w:rsidRPr="00CC0EED">
        <w:rPr>
          <w:sz w:val="16"/>
          <w:szCs w:val="16"/>
        </w:rPr>
        <w:t>is</w:t>
      </w:r>
      <w:r w:rsidRPr="00CC0EED">
        <w:rPr>
          <w:sz w:val="16"/>
          <w:szCs w:val="16"/>
        </w:rPr>
        <w:t xml:space="preserve"> the amount transferred to Recipient Organisations</w:t>
      </w:r>
      <w:r w:rsidR="00F05D7B" w:rsidRPr="00CC0EED">
        <w:rPr>
          <w:sz w:val="16"/>
          <w:szCs w:val="16"/>
        </w:rPr>
        <w:t>.</w:t>
      </w:r>
      <w:r w:rsidRPr="00CC0EED">
        <w:rPr>
          <w:sz w:val="16"/>
          <w:szCs w:val="16"/>
        </w:rPr>
        <w:t xml:space="preserve"> </w:t>
      </w:r>
    </w:p>
  </w:footnote>
  <w:footnote w:id="3">
    <w:p w:rsidR="00D33A6D" w:rsidRPr="00CC0EED" w:rsidRDefault="00D33A6D" w:rsidP="006C1B11">
      <w:pPr>
        <w:jc w:val="both"/>
        <w:outlineLvl w:val="0"/>
        <w:rPr>
          <w:rFonts w:ascii="Arial" w:hAnsi="Arial" w:cs="Arial"/>
          <w:sz w:val="16"/>
          <w:szCs w:val="16"/>
        </w:rPr>
      </w:pPr>
      <w:r w:rsidRPr="00CC0EED">
        <w:rPr>
          <w:rStyle w:val="FootnoteReference"/>
          <w:sz w:val="16"/>
          <w:szCs w:val="16"/>
        </w:rPr>
        <w:footnoteRef/>
      </w:r>
      <w:r w:rsidRPr="00CC0EED">
        <w:rPr>
          <w:sz w:val="16"/>
          <w:szCs w:val="16"/>
        </w:rPr>
        <w:t xml:space="preserve"> Funds committed are defined as the commitments made through legal contracts for services and works according to the financial regulations and procedures of the Recipient Organisations. </w:t>
      </w:r>
      <w:r w:rsidR="000A26AD">
        <w:rPr>
          <w:sz w:val="16"/>
          <w:szCs w:val="16"/>
        </w:rPr>
        <w:t>Provide preliminary data only.</w:t>
      </w:r>
      <w:r w:rsidRPr="00CC0EED">
        <w:rPr>
          <w:sz w:val="16"/>
          <w:szCs w:val="16"/>
        </w:rPr>
        <w:t xml:space="preserve"> </w:t>
      </w:r>
    </w:p>
    <w:p w:rsidR="00D33A6D" w:rsidRPr="00CC0EED" w:rsidRDefault="000A26AD" w:rsidP="006C1B11">
      <w:pPr>
        <w:jc w:val="both"/>
        <w:outlineLvl w:val="0"/>
        <w:rPr>
          <w:sz w:val="16"/>
          <w:szCs w:val="16"/>
        </w:rPr>
      </w:pPr>
      <w:r>
        <w:rPr>
          <w:rStyle w:val="FootnoteReference"/>
          <w:sz w:val="16"/>
          <w:szCs w:val="16"/>
        </w:rPr>
        <w:t>4</w:t>
      </w:r>
      <w:r w:rsidR="00D33A6D" w:rsidRPr="00CC0EED">
        <w:rPr>
          <w:sz w:val="16"/>
          <w:szCs w:val="16"/>
        </w:rPr>
        <w:t xml:space="preserve"> Actual payments (contracts, services, </w:t>
      </w:r>
      <w:proofErr w:type="gramStart"/>
      <w:r w:rsidR="00D33A6D" w:rsidRPr="00CC0EED">
        <w:rPr>
          <w:sz w:val="16"/>
          <w:szCs w:val="16"/>
        </w:rPr>
        <w:t>works</w:t>
      </w:r>
      <w:proofErr w:type="gramEnd"/>
      <w:r w:rsidR="00D33A6D" w:rsidRPr="00CC0EED">
        <w:rPr>
          <w:sz w:val="16"/>
          <w:szCs w:val="16"/>
        </w:rPr>
        <w:t xml:space="preserve">) made on commitments.  </w:t>
      </w:r>
    </w:p>
    <w:p w:rsidR="00F05D7B" w:rsidRPr="00CC0EED" w:rsidRDefault="00D33A6D" w:rsidP="00F05D7B">
      <w:pPr>
        <w:pStyle w:val="FootnoteText"/>
        <w:rPr>
          <w:sz w:val="16"/>
          <w:szCs w:val="16"/>
        </w:rPr>
      </w:pPr>
      <w:r w:rsidRPr="00CC0EED">
        <w:rPr>
          <w:sz w:val="16"/>
          <w:szCs w:val="16"/>
          <w:lang w:val="en-US"/>
        </w:rPr>
        <w:t>5</w:t>
      </w:r>
      <w:r w:rsidR="00F05D7B" w:rsidRPr="00CC0EED">
        <w:rPr>
          <w:sz w:val="16"/>
          <w:szCs w:val="16"/>
          <w:lang w:val="en-US"/>
        </w:rPr>
        <w:t xml:space="preserve"> </w:t>
      </w:r>
      <w:r w:rsidR="00F05D7B" w:rsidRPr="00CC0EED">
        <w:rPr>
          <w:sz w:val="16"/>
          <w:szCs w:val="16"/>
        </w:rPr>
        <w:t xml:space="preserve">PBF </w:t>
      </w:r>
      <w:r w:rsidR="00CC0EED" w:rsidRPr="00CC0EED">
        <w:rPr>
          <w:sz w:val="16"/>
          <w:szCs w:val="16"/>
        </w:rPr>
        <w:t xml:space="preserve">focus </w:t>
      </w:r>
      <w:r w:rsidR="00F05D7B" w:rsidRPr="00CC0EED">
        <w:rPr>
          <w:sz w:val="16"/>
          <w:szCs w:val="16"/>
        </w:rPr>
        <w:t>areas are:</w:t>
      </w:r>
    </w:p>
    <w:p w:rsidR="00F05D7B" w:rsidRPr="00CC0EED" w:rsidRDefault="00F05D7B" w:rsidP="00F05D7B">
      <w:pPr>
        <w:pStyle w:val="FootnoteText"/>
        <w:rPr>
          <w:sz w:val="16"/>
          <w:szCs w:val="16"/>
        </w:rPr>
      </w:pPr>
      <w:r w:rsidRPr="00CC0EED">
        <w:rPr>
          <w:i/>
          <w:sz w:val="16"/>
          <w:szCs w:val="16"/>
        </w:rPr>
        <w:t>1: Support the implementation of peace agreements and political dialogue (Priority Area 1)</w:t>
      </w:r>
      <w:r w:rsidRPr="00CC0EED">
        <w:rPr>
          <w:sz w:val="16"/>
          <w:szCs w:val="16"/>
        </w:rPr>
        <w:t xml:space="preserve">: </w:t>
      </w:r>
    </w:p>
    <w:p w:rsidR="00F05D7B" w:rsidRPr="00CC0EED" w:rsidRDefault="00F05D7B" w:rsidP="00F05D7B">
      <w:pPr>
        <w:pStyle w:val="FootnoteText"/>
        <w:rPr>
          <w:sz w:val="16"/>
          <w:szCs w:val="16"/>
        </w:rPr>
      </w:pPr>
      <w:r w:rsidRPr="00CC0EED">
        <w:rPr>
          <w:sz w:val="16"/>
          <w:szCs w:val="16"/>
        </w:rPr>
        <w:t xml:space="preserve">(1.1) </w:t>
      </w:r>
      <w:r w:rsidRPr="00CC0EED">
        <w:rPr>
          <w:bCs/>
          <w:sz w:val="16"/>
          <w:szCs w:val="16"/>
        </w:rPr>
        <w:t xml:space="preserve">SSR, </w:t>
      </w:r>
      <w:r w:rsidRPr="00CC0EED">
        <w:rPr>
          <w:sz w:val="16"/>
          <w:szCs w:val="16"/>
        </w:rPr>
        <w:t xml:space="preserve"> (1.2)</w:t>
      </w:r>
      <w:r w:rsidRPr="00CC0EED">
        <w:rPr>
          <w:bCs/>
          <w:sz w:val="16"/>
          <w:szCs w:val="16"/>
        </w:rPr>
        <w:t xml:space="preserve"> RoL</w:t>
      </w:r>
      <w:r w:rsidRPr="00CC0EED">
        <w:rPr>
          <w:sz w:val="16"/>
          <w:szCs w:val="16"/>
        </w:rPr>
        <w:t xml:space="preserve">; (1.3) DDR; (1.4) Political Dialogue; </w:t>
      </w:r>
    </w:p>
    <w:p w:rsidR="00F05D7B" w:rsidRPr="00CC0EED" w:rsidRDefault="00F05D7B" w:rsidP="00F05D7B">
      <w:pPr>
        <w:pStyle w:val="FootnoteText"/>
        <w:rPr>
          <w:sz w:val="16"/>
          <w:szCs w:val="16"/>
        </w:rPr>
      </w:pPr>
      <w:r w:rsidRPr="00CC0EED">
        <w:rPr>
          <w:i/>
          <w:sz w:val="16"/>
          <w:szCs w:val="16"/>
        </w:rPr>
        <w:t>2: Promote coexistence and peaceful resolution of conflicts (Priority Area 2)</w:t>
      </w:r>
      <w:r w:rsidRPr="00CC0EED">
        <w:rPr>
          <w:sz w:val="16"/>
          <w:szCs w:val="16"/>
        </w:rPr>
        <w:t xml:space="preserve">: </w:t>
      </w:r>
    </w:p>
    <w:p w:rsidR="00F05D7B" w:rsidRPr="00CC0EED" w:rsidRDefault="00F05D7B" w:rsidP="00F05D7B">
      <w:pPr>
        <w:pStyle w:val="FootnoteText"/>
        <w:rPr>
          <w:sz w:val="16"/>
          <w:szCs w:val="16"/>
        </w:rPr>
      </w:pPr>
      <w:r w:rsidRPr="00CC0EED">
        <w:rPr>
          <w:sz w:val="16"/>
          <w:szCs w:val="16"/>
        </w:rPr>
        <w:t xml:space="preserve">(2.1) National reconciliation; (2.1) Democratic Governance; (2.3) Management of natural resources; </w:t>
      </w:r>
    </w:p>
    <w:p w:rsidR="00F05D7B" w:rsidRPr="00CC0EED" w:rsidRDefault="00F05D7B" w:rsidP="00F05D7B">
      <w:pPr>
        <w:pStyle w:val="FootnoteText"/>
        <w:rPr>
          <w:sz w:val="16"/>
          <w:szCs w:val="16"/>
        </w:rPr>
      </w:pPr>
      <w:r w:rsidRPr="00CC0EED">
        <w:rPr>
          <w:i/>
          <w:sz w:val="16"/>
          <w:szCs w:val="16"/>
        </w:rPr>
        <w:t>3:</w:t>
      </w:r>
      <w:r w:rsidRPr="00CC0EED">
        <w:rPr>
          <w:bCs/>
          <w:i/>
          <w:sz w:val="16"/>
          <w:szCs w:val="16"/>
        </w:rPr>
        <w:t>Revitalise the economy and generate immediate peace dividends (Priority Area 3)</w:t>
      </w:r>
      <w:r w:rsidRPr="00CC0EED">
        <w:rPr>
          <w:sz w:val="16"/>
          <w:szCs w:val="16"/>
        </w:rPr>
        <w:t xml:space="preserve">; </w:t>
      </w:r>
    </w:p>
    <w:p w:rsidR="00F05D7B" w:rsidRPr="00CC0EED" w:rsidRDefault="00F05D7B" w:rsidP="00F05D7B">
      <w:pPr>
        <w:pStyle w:val="FootnoteText"/>
        <w:rPr>
          <w:sz w:val="16"/>
          <w:szCs w:val="16"/>
        </w:rPr>
      </w:pPr>
      <w:r w:rsidRPr="00CC0EED">
        <w:rPr>
          <w:sz w:val="16"/>
          <w:szCs w:val="16"/>
        </w:rPr>
        <w:t>(3.1) Short-term employment generation; (3.2) Sustainable livelihoods</w:t>
      </w:r>
    </w:p>
    <w:p w:rsidR="00F05D7B" w:rsidRPr="00CC0EED" w:rsidRDefault="00F05D7B" w:rsidP="00F05D7B">
      <w:pPr>
        <w:pStyle w:val="FootnoteText"/>
        <w:rPr>
          <w:bCs/>
          <w:i/>
          <w:sz w:val="16"/>
          <w:szCs w:val="16"/>
        </w:rPr>
      </w:pPr>
      <w:r w:rsidRPr="00CC0EED">
        <w:rPr>
          <w:i/>
          <w:sz w:val="16"/>
          <w:szCs w:val="16"/>
        </w:rPr>
        <w:t>4)</w:t>
      </w:r>
      <w:r w:rsidRPr="00CC0EED">
        <w:rPr>
          <w:bCs/>
          <w:i/>
          <w:sz w:val="16"/>
          <w:szCs w:val="16"/>
        </w:rPr>
        <w:t xml:space="preserve"> (Re)-establish essential administrative services (Priority Area 4)</w:t>
      </w:r>
    </w:p>
    <w:p w:rsidR="00F05D7B" w:rsidRPr="00CC0EED" w:rsidRDefault="00F05D7B" w:rsidP="00F05D7B">
      <w:pPr>
        <w:pStyle w:val="FootnoteText"/>
        <w:rPr>
          <w:sz w:val="16"/>
          <w:szCs w:val="16"/>
        </w:rPr>
      </w:pPr>
      <w:proofErr w:type="gramStart"/>
      <w:r w:rsidRPr="00CC0EED">
        <w:rPr>
          <w:bCs/>
          <w:sz w:val="16"/>
          <w:szCs w:val="16"/>
        </w:rPr>
        <w:t>(4.1) Public administration; (4.2) Public service delivery (including infrastructure)</w:t>
      </w:r>
      <w:r w:rsidRPr="00CC0EED">
        <w:rPr>
          <w:sz w:val="16"/>
          <w:szCs w:val="16"/>
        </w:rPr>
        <w:t>.</w:t>
      </w:r>
      <w:proofErr w:type="gramEnd"/>
    </w:p>
    <w:p w:rsidR="00D33A6D" w:rsidRPr="00132065" w:rsidRDefault="00D33A6D" w:rsidP="00CC0EED">
      <w:pPr>
        <w:pStyle w:val="FootnoteText"/>
      </w:pPr>
    </w:p>
  </w:footnote>
  <w:footnote w:id="4">
    <w:p w:rsidR="00D33A6D" w:rsidRPr="00132065" w:rsidRDefault="00D33A6D" w:rsidP="006C1B11">
      <w:pPr>
        <w:pStyle w:val="FootnoteText"/>
        <w:rPr>
          <w:lang w:val="en-US"/>
        </w:rPr>
      </w:pPr>
    </w:p>
  </w:footnote>
  <w:footnote w:id="5">
    <w:p w:rsidR="00D33A6D" w:rsidRPr="00190A73" w:rsidRDefault="00D33A6D">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5E8FD2"/>
    <w:lvl w:ilvl="0">
      <w:numFmt w:val="decimal"/>
      <w:lvlText w:val="*"/>
      <w:lvlJc w:val="left"/>
    </w:lvl>
  </w:abstractNum>
  <w:abstractNum w:abstractNumId="1">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190C42"/>
    <w:multiLevelType w:val="hybridMultilevel"/>
    <w:tmpl w:val="BDC6DE26"/>
    <w:lvl w:ilvl="0" w:tplc="04090005">
      <w:start w:val="1"/>
      <w:numFmt w:val="bullet"/>
      <w:lvlText w:val=""/>
      <w:lvlJc w:val="left"/>
      <w:pPr>
        <w:ind w:left="1840" w:hanging="360"/>
      </w:pPr>
      <w:rPr>
        <w:rFonts w:ascii="Wingdings" w:hAnsi="Wingdings"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5">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1"/>
  </w:num>
  <w:num w:numId="6">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7">
    <w:abstractNumId w:val="9"/>
  </w:num>
  <w:num w:numId="8">
    <w:abstractNumId w:val="6"/>
  </w:num>
  <w:num w:numId="9">
    <w:abstractNumId w:val="2"/>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6JWKC2LPl9AquSBJRdJZWGxMHC8=" w:salt="hzRRzD61ftQN08OCCXWya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5C"/>
    <w:rsid w:val="0000020D"/>
    <w:rsid w:val="00012AC4"/>
    <w:rsid w:val="00013ABE"/>
    <w:rsid w:val="00021D13"/>
    <w:rsid w:val="00030833"/>
    <w:rsid w:val="000427F4"/>
    <w:rsid w:val="000435E1"/>
    <w:rsid w:val="00044965"/>
    <w:rsid w:val="00056D4E"/>
    <w:rsid w:val="00092840"/>
    <w:rsid w:val="00096385"/>
    <w:rsid w:val="000A26AD"/>
    <w:rsid w:val="000B45E6"/>
    <w:rsid w:val="000C5305"/>
    <w:rsid w:val="000D4837"/>
    <w:rsid w:val="000D7682"/>
    <w:rsid w:val="000E0EC7"/>
    <w:rsid w:val="000E6C55"/>
    <w:rsid w:val="00110C5D"/>
    <w:rsid w:val="00116A91"/>
    <w:rsid w:val="00123B4F"/>
    <w:rsid w:val="00132065"/>
    <w:rsid w:val="00137EB9"/>
    <w:rsid w:val="00143D1B"/>
    <w:rsid w:val="00144A01"/>
    <w:rsid w:val="001512C4"/>
    <w:rsid w:val="00173ECA"/>
    <w:rsid w:val="00174E6B"/>
    <w:rsid w:val="00190A73"/>
    <w:rsid w:val="00191AD3"/>
    <w:rsid w:val="00195CB4"/>
    <w:rsid w:val="001A2A5D"/>
    <w:rsid w:val="001B5A17"/>
    <w:rsid w:val="001C61B0"/>
    <w:rsid w:val="001C7060"/>
    <w:rsid w:val="001D7143"/>
    <w:rsid w:val="001E2EB3"/>
    <w:rsid w:val="001E3396"/>
    <w:rsid w:val="001E75AB"/>
    <w:rsid w:val="001F1904"/>
    <w:rsid w:val="001F453B"/>
    <w:rsid w:val="001F762C"/>
    <w:rsid w:val="00203EC6"/>
    <w:rsid w:val="00210D22"/>
    <w:rsid w:val="00236AD2"/>
    <w:rsid w:val="002376E6"/>
    <w:rsid w:val="00241631"/>
    <w:rsid w:val="0025112D"/>
    <w:rsid w:val="002519F5"/>
    <w:rsid w:val="00293F4B"/>
    <w:rsid w:val="00296FA9"/>
    <w:rsid w:val="002A2DF4"/>
    <w:rsid w:val="002A7578"/>
    <w:rsid w:val="002C31F6"/>
    <w:rsid w:val="002C37C8"/>
    <w:rsid w:val="002C5F9B"/>
    <w:rsid w:val="002D29E1"/>
    <w:rsid w:val="002D53B1"/>
    <w:rsid w:val="002D6A0E"/>
    <w:rsid w:val="002D727B"/>
    <w:rsid w:val="002D7C74"/>
    <w:rsid w:val="002E208C"/>
    <w:rsid w:val="002E686E"/>
    <w:rsid w:val="003005BA"/>
    <w:rsid w:val="00335D95"/>
    <w:rsid w:val="00340D86"/>
    <w:rsid w:val="00352BD5"/>
    <w:rsid w:val="00363DA8"/>
    <w:rsid w:val="00374586"/>
    <w:rsid w:val="003757A8"/>
    <w:rsid w:val="003811B2"/>
    <w:rsid w:val="00382635"/>
    <w:rsid w:val="00392194"/>
    <w:rsid w:val="003961FA"/>
    <w:rsid w:val="003A5E85"/>
    <w:rsid w:val="003C1095"/>
    <w:rsid w:val="003C2AB0"/>
    <w:rsid w:val="003E12D2"/>
    <w:rsid w:val="00404B54"/>
    <w:rsid w:val="004136E2"/>
    <w:rsid w:val="0042476D"/>
    <w:rsid w:val="00424D27"/>
    <w:rsid w:val="0043302C"/>
    <w:rsid w:val="004359CD"/>
    <w:rsid w:val="00436939"/>
    <w:rsid w:val="004400F5"/>
    <w:rsid w:val="00442896"/>
    <w:rsid w:val="00446BD6"/>
    <w:rsid w:val="004617D3"/>
    <w:rsid w:val="004629C2"/>
    <w:rsid w:val="004678C1"/>
    <w:rsid w:val="00495391"/>
    <w:rsid w:val="004B4B20"/>
    <w:rsid w:val="004C0D69"/>
    <w:rsid w:val="004C653B"/>
    <w:rsid w:val="004C6697"/>
    <w:rsid w:val="004C7ACB"/>
    <w:rsid w:val="004D5527"/>
    <w:rsid w:val="004D7D52"/>
    <w:rsid w:val="004E38CF"/>
    <w:rsid w:val="004E6410"/>
    <w:rsid w:val="004F5AF6"/>
    <w:rsid w:val="00510044"/>
    <w:rsid w:val="005146A6"/>
    <w:rsid w:val="00521DFA"/>
    <w:rsid w:val="005224A1"/>
    <w:rsid w:val="00536D57"/>
    <w:rsid w:val="00544B11"/>
    <w:rsid w:val="00575A6B"/>
    <w:rsid w:val="005825A1"/>
    <w:rsid w:val="00592C2F"/>
    <w:rsid w:val="005A52B3"/>
    <w:rsid w:val="005A6802"/>
    <w:rsid w:val="005B7B06"/>
    <w:rsid w:val="005C114F"/>
    <w:rsid w:val="005D3179"/>
    <w:rsid w:val="005D4986"/>
    <w:rsid w:val="005E0931"/>
    <w:rsid w:val="005E2170"/>
    <w:rsid w:val="005E7E27"/>
    <w:rsid w:val="00600450"/>
    <w:rsid w:val="006154D2"/>
    <w:rsid w:val="00616452"/>
    <w:rsid w:val="00625DE5"/>
    <w:rsid w:val="00627C33"/>
    <w:rsid w:val="00646D24"/>
    <w:rsid w:val="00662BA1"/>
    <w:rsid w:val="00665D7A"/>
    <w:rsid w:val="00690301"/>
    <w:rsid w:val="006A57FB"/>
    <w:rsid w:val="006A7CC1"/>
    <w:rsid w:val="006B72D0"/>
    <w:rsid w:val="006C1B11"/>
    <w:rsid w:val="006C3E27"/>
    <w:rsid w:val="006D2889"/>
    <w:rsid w:val="006D6FF6"/>
    <w:rsid w:val="006D747F"/>
    <w:rsid w:val="006E3151"/>
    <w:rsid w:val="006F087D"/>
    <w:rsid w:val="006F4CC1"/>
    <w:rsid w:val="006F6DA0"/>
    <w:rsid w:val="007073D1"/>
    <w:rsid w:val="00707F58"/>
    <w:rsid w:val="00714481"/>
    <w:rsid w:val="00721DE4"/>
    <w:rsid w:val="007246DC"/>
    <w:rsid w:val="00747C84"/>
    <w:rsid w:val="0075400A"/>
    <w:rsid w:val="0078370F"/>
    <w:rsid w:val="00794207"/>
    <w:rsid w:val="007952C4"/>
    <w:rsid w:val="007A1C35"/>
    <w:rsid w:val="007D167D"/>
    <w:rsid w:val="007E0630"/>
    <w:rsid w:val="007E0D7E"/>
    <w:rsid w:val="007E2A06"/>
    <w:rsid w:val="007E55C0"/>
    <w:rsid w:val="007E5DF3"/>
    <w:rsid w:val="007F431F"/>
    <w:rsid w:val="00806A8B"/>
    <w:rsid w:val="00811228"/>
    <w:rsid w:val="00837D7F"/>
    <w:rsid w:val="0085068E"/>
    <w:rsid w:val="00851B17"/>
    <w:rsid w:val="0085516E"/>
    <w:rsid w:val="0086448F"/>
    <w:rsid w:val="00865B75"/>
    <w:rsid w:val="008701E2"/>
    <w:rsid w:val="00870590"/>
    <w:rsid w:val="00877139"/>
    <w:rsid w:val="00884694"/>
    <w:rsid w:val="00897466"/>
    <w:rsid w:val="008A4275"/>
    <w:rsid w:val="008C1BE0"/>
    <w:rsid w:val="008C456F"/>
    <w:rsid w:val="008D2C49"/>
    <w:rsid w:val="008D4EF4"/>
    <w:rsid w:val="008D5521"/>
    <w:rsid w:val="008D6E2F"/>
    <w:rsid w:val="008E7AB9"/>
    <w:rsid w:val="008F3667"/>
    <w:rsid w:val="008F66F0"/>
    <w:rsid w:val="00900057"/>
    <w:rsid w:val="009220FD"/>
    <w:rsid w:val="00930D93"/>
    <w:rsid w:val="00934B57"/>
    <w:rsid w:val="00937667"/>
    <w:rsid w:val="0094344C"/>
    <w:rsid w:val="00973165"/>
    <w:rsid w:val="0097322F"/>
    <w:rsid w:val="00977781"/>
    <w:rsid w:val="009807C5"/>
    <w:rsid w:val="00984005"/>
    <w:rsid w:val="00994899"/>
    <w:rsid w:val="009961D3"/>
    <w:rsid w:val="009A26AA"/>
    <w:rsid w:val="009B6029"/>
    <w:rsid w:val="009D62F0"/>
    <w:rsid w:val="009E5E7F"/>
    <w:rsid w:val="00A02B08"/>
    <w:rsid w:val="00A10B86"/>
    <w:rsid w:val="00A12504"/>
    <w:rsid w:val="00A24F45"/>
    <w:rsid w:val="00A54051"/>
    <w:rsid w:val="00A55520"/>
    <w:rsid w:val="00A5589E"/>
    <w:rsid w:val="00A70C6C"/>
    <w:rsid w:val="00A71369"/>
    <w:rsid w:val="00A72972"/>
    <w:rsid w:val="00A76F5F"/>
    <w:rsid w:val="00A8085B"/>
    <w:rsid w:val="00AA0F1C"/>
    <w:rsid w:val="00AA5C9E"/>
    <w:rsid w:val="00AC0F22"/>
    <w:rsid w:val="00AD2D0D"/>
    <w:rsid w:val="00AD637E"/>
    <w:rsid w:val="00AE018A"/>
    <w:rsid w:val="00AF1BE0"/>
    <w:rsid w:val="00B0317B"/>
    <w:rsid w:val="00B10628"/>
    <w:rsid w:val="00B127F2"/>
    <w:rsid w:val="00B139A3"/>
    <w:rsid w:val="00B20899"/>
    <w:rsid w:val="00B21324"/>
    <w:rsid w:val="00B272FD"/>
    <w:rsid w:val="00B46145"/>
    <w:rsid w:val="00B5560A"/>
    <w:rsid w:val="00B928C8"/>
    <w:rsid w:val="00B95203"/>
    <w:rsid w:val="00BA40EC"/>
    <w:rsid w:val="00BA4DB4"/>
    <w:rsid w:val="00BA50CC"/>
    <w:rsid w:val="00BB1387"/>
    <w:rsid w:val="00BB2676"/>
    <w:rsid w:val="00BB5393"/>
    <w:rsid w:val="00BC0233"/>
    <w:rsid w:val="00BC615C"/>
    <w:rsid w:val="00BD0981"/>
    <w:rsid w:val="00BD1934"/>
    <w:rsid w:val="00BD1B96"/>
    <w:rsid w:val="00BD2B91"/>
    <w:rsid w:val="00BD647A"/>
    <w:rsid w:val="00BE1D65"/>
    <w:rsid w:val="00BE7B5E"/>
    <w:rsid w:val="00BF3FD2"/>
    <w:rsid w:val="00C00EF9"/>
    <w:rsid w:val="00C10D0C"/>
    <w:rsid w:val="00C123BB"/>
    <w:rsid w:val="00C3296E"/>
    <w:rsid w:val="00C3536F"/>
    <w:rsid w:val="00C3631B"/>
    <w:rsid w:val="00C42544"/>
    <w:rsid w:val="00C42A9D"/>
    <w:rsid w:val="00C5228F"/>
    <w:rsid w:val="00C531CB"/>
    <w:rsid w:val="00C61A63"/>
    <w:rsid w:val="00C623E0"/>
    <w:rsid w:val="00C63FBD"/>
    <w:rsid w:val="00C865E9"/>
    <w:rsid w:val="00CA49EB"/>
    <w:rsid w:val="00CC0EED"/>
    <w:rsid w:val="00CD6669"/>
    <w:rsid w:val="00CF4802"/>
    <w:rsid w:val="00D01718"/>
    <w:rsid w:val="00D035FC"/>
    <w:rsid w:val="00D171EA"/>
    <w:rsid w:val="00D33A6D"/>
    <w:rsid w:val="00D43493"/>
    <w:rsid w:val="00D45676"/>
    <w:rsid w:val="00D501C6"/>
    <w:rsid w:val="00D76427"/>
    <w:rsid w:val="00D81843"/>
    <w:rsid w:val="00D95E36"/>
    <w:rsid w:val="00DB2E7B"/>
    <w:rsid w:val="00DB3A52"/>
    <w:rsid w:val="00DC060C"/>
    <w:rsid w:val="00DD3F57"/>
    <w:rsid w:val="00DF2DD5"/>
    <w:rsid w:val="00DF782D"/>
    <w:rsid w:val="00DF7898"/>
    <w:rsid w:val="00E044FE"/>
    <w:rsid w:val="00E12B33"/>
    <w:rsid w:val="00E3059E"/>
    <w:rsid w:val="00E35FEE"/>
    <w:rsid w:val="00E41377"/>
    <w:rsid w:val="00E4425C"/>
    <w:rsid w:val="00E51726"/>
    <w:rsid w:val="00E71AFA"/>
    <w:rsid w:val="00E7332A"/>
    <w:rsid w:val="00E86307"/>
    <w:rsid w:val="00E92010"/>
    <w:rsid w:val="00E927A2"/>
    <w:rsid w:val="00EB11A7"/>
    <w:rsid w:val="00EB1C3E"/>
    <w:rsid w:val="00EB3133"/>
    <w:rsid w:val="00EB607A"/>
    <w:rsid w:val="00EC161B"/>
    <w:rsid w:val="00EC6055"/>
    <w:rsid w:val="00ED2E57"/>
    <w:rsid w:val="00EF0836"/>
    <w:rsid w:val="00EF585F"/>
    <w:rsid w:val="00F05D7B"/>
    <w:rsid w:val="00F209F5"/>
    <w:rsid w:val="00F229FD"/>
    <w:rsid w:val="00F3046E"/>
    <w:rsid w:val="00F3365B"/>
    <w:rsid w:val="00F50D5F"/>
    <w:rsid w:val="00F568C5"/>
    <w:rsid w:val="00F5703A"/>
    <w:rsid w:val="00F60E89"/>
    <w:rsid w:val="00F95435"/>
    <w:rsid w:val="00FA3018"/>
    <w:rsid w:val="00FB6D19"/>
    <w:rsid w:val="00FB7D55"/>
    <w:rsid w:val="00FC2E04"/>
    <w:rsid w:val="00FD1A06"/>
    <w:rsid w:val="00FD7C05"/>
    <w:rsid w:val="00FF0380"/>
    <w:rsid w:val="00FF35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sz w:val="24"/>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rPr>
  </w:style>
  <w:style w:type="paragraph" w:styleId="FootnoteText">
    <w:name w:val="footnote text"/>
    <w:aliases w:val="ft,ADB,single space"/>
    <w:basedOn w:val="Normal"/>
    <w:link w:val="FootnoteTextChar"/>
    <w:uiPriority w:val="99"/>
    <w:rsid w:val="00E71AFA"/>
    <w:pPr>
      <w:widowControl w:val="0"/>
    </w:pPr>
    <w:rPr>
      <w:rFonts w:cs="Times New Roman"/>
      <w:snapToGrid w:val="0"/>
      <w:sz w:val="20"/>
      <w:lang w:val="en-GB"/>
    </w:rPr>
  </w:style>
  <w:style w:type="character" w:customStyle="1" w:styleId="FootnoteTextChar">
    <w:name w:val="Footnote Text Char"/>
    <w:aliases w:val="ft Char,ADB Char,single space Char"/>
    <w:link w:val="FootnoteText"/>
    <w:uiPriority w:val="99"/>
    <w:rsid w:val="00E71AFA"/>
    <w:rPr>
      <w:snapToGrid/>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sz w:val="24"/>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rPr>
  </w:style>
  <w:style w:type="paragraph" w:styleId="FootnoteText">
    <w:name w:val="footnote text"/>
    <w:aliases w:val="ft,ADB,single space"/>
    <w:basedOn w:val="Normal"/>
    <w:link w:val="FootnoteTextChar"/>
    <w:uiPriority w:val="99"/>
    <w:rsid w:val="00E71AFA"/>
    <w:pPr>
      <w:widowControl w:val="0"/>
    </w:pPr>
    <w:rPr>
      <w:rFonts w:cs="Times New Roman"/>
      <w:snapToGrid w:val="0"/>
      <w:sz w:val="20"/>
      <w:lang w:val="en-GB"/>
    </w:rPr>
  </w:style>
  <w:style w:type="character" w:customStyle="1" w:styleId="FootnoteTextChar">
    <w:name w:val="Footnote Text Char"/>
    <w:aliases w:val="ft Char,ADB Char,single space Char"/>
    <w:link w:val="FootnoteText"/>
    <w:uiPriority w:val="99"/>
    <w:rsid w:val="00E71AFA"/>
    <w:rPr>
      <w:snapToGrid/>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93939">
      <w:bodyDiv w:val="1"/>
      <w:marLeft w:val="0"/>
      <w:marRight w:val="0"/>
      <w:marTop w:val="0"/>
      <w:marBottom w:val="0"/>
      <w:divBdr>
        <w:top w:val="none" w:sz="0" w:space="0" w:color="auto"/>
        <w:left w:val="none" w:sz="0" w:space="0" w:color="auto"/>
        <w:bottom w:val="none" w:sz="0" w:space="0" w:color="auto"/>
        <w:right w:val="none" w:sz="0" w:space="0" w:color="auto"/>
      </w:divBdr>
    </w:div>
    <w:div w:id="717167542">
      <w:bodyDiv w:val="1"/>
      <w:marLeft w:val="0"/>
      <w:marRight w:val="0"/>
      <w:marTop w:val="0"/>
      <w:marBottom w:val="0"/>
      <w:divBdr>
        <w:top w:val="none" w:sz="0" w:space="0" w:color="auto"/>
        <w:left w:val="none" w:sz="0" w:space="0" w:color="auto"/>
        <w:bottom w:val="none" w:sz="0" w:space="0" w:color="auto"/>
        <w:right w:val="none" w:sz="0" w:space="0" w:color="auto"/>
      </w:divBdr>
    </w:div>
    <w:div w:id="749430036">
      <w:bodyDiv w:val="1"/>
      <w:marLeft w:val="0"/>
      <w:marRight w:val="0"/>
      <w:marTop w:val="0"/>
      <w:marBottom w:val="0"/>
      <w:divBdr>
        <w:top w:val="none" w:sz="0" w:space="0" w:color="auto"/>
        <w:left w:val="none" w:sz="0" w:space="0" w:color="auto"/>
        <w:bottom w:val="none" w:sz="0" w:space="0" w:color="auto"/>
        <w:right w:val="none" w:sz="0" w:space="0" w:color="auto"/>
      </w:divBdr>
    </w:div>
    <w:div w:id="1068572606">
      <w:bodyDiv w:val="1"/>
      <w:marLeft w:val="0"/>
      <w:marRight w:val="0"/>
      <w:marTop w:val="0"/>
      <w:marBottom w:val="0"/>
      <w:divBdr>
        <w:top w:val="none" w:sz="0" w:space="0" w:color="auto"/>
        <w:left w:val="none" w:sz="0" w:space="0" w:color="auto"/>
        <w:bottom w:val="none" w:sz="0" w:space="0" w:color="auto"/>
        <w:right w:val="none" w:sz="0" w:space="0" w:color="auto"/>
      </w:divBdr>
    </w:div>
    <w:div w:id="1144665137">
      <w:bodyDiv w:val="1"/>
      <w:marLeft w:val="0"/>
      <w:marRight w:val="0"/>
      <w:marTop w:val="0"/>
      <w:marBottom w:val="0"/>
      <w:divBdr>
        <w:top w:val="none" w:sz="0" w:space="0" w:color="auto"/>
        <w:left w:val="none" w:sz="0" w:space="0" w:color="auto"/>
        <w:bottom w:val="none" w:sz="0" w:space="0" w:color="auto"/>
        <w:right w:val="none" w:sz="0" w:space="0" w:color="auto"/>
      </w:divBdr>
    </w:div>
    <w:div w:id="1221400589">
      <w:bodyDiv w:val="1"/>
      <w:marLeft w:val="0"/>
      <w:marRight w:val="0"/>
      <w:marTop w:val="0"/>
      <w:marBottom w:val="0"/>
      <w:divBdr>
        <w:top w:val="none" w:sz="0" w:space="0" w:color="auto"/>
        <w:left w:val="none" w:sz="0" w:space="0" w:color="auto"/>
        <w:bottom w:val="none" w:sz="0" w:space="0" w:color="auto"/>
        <w:right w:val="none" w:sz="0" w:space="0" w:color="auto"/>
      </w:divBdr>
    </w:div>
    <w:div w:id="1560284984">
      <w:bodyDiv w:val="1"/>
      <w:marLeft w:val="0"/>
      <w:marRight w:val="0"/>
      <w:marTop w:val="0"/>
      <w:marBottom w:val="0"/>
      <w:divBdr>
        <w:top w:val="none" w:sz="0" w:space="0" w:color="auto"/>
        <w:left w:val="none" w:sz="0" w:space="0" w:color="auto"/>
        <w:bottom w:val="none" w:sz="0" w:space="0" w:color="auto"/>
        <w:right w:val="none" w:sz="0" w:space="0" w:color="auto"/>
      </w:divBdr>
    </w:div>
    <w:div w:id="1568297086">
      <w:bodyDiv w:val="1"/>
      <w:marLeft w:val="0"/>
      <w:marRight w:val="0"/>
      <w:marTop w:val="0"/>
      <w:marBottom w:val="0"/>
      <w:divBdr>
        <w:top w:val="none" w:sz="0" w:space="0" w:color="auto"/>
        <w:left w:val="none" w:sz="0" w:space="0" w:color="auto"/>
        <w:bottom w:val="none" w:sz="0" w:space="0" w:color="auto"/>
        <w:right w:val="none" w:sz="0" w:space="0" w:color="auto"/>
      </w:divBdr>
    </w:div>
    <w:div w:id="1810629204">
      <w:bodyDiv w:val="1"/>
      <w:marLeft w:val="0"/>
      <w:marRight w:val="0"/>
      <w:marTop w:val="0"/>
      <w:marBottom w:val="0"/>
      <w:divBdr>
        <w:top w:val="none" w:sz="0" w:space="0" w:color="auto"/>
        <w:left w:val="none" w:sz="0" w:space="0" w:color="auto"/>
        <w:bottom w:val="none" w:sz="0" w:space="0" w:color="auto"/>
        <w:right w:val="none" w:sz="0" w:space="0" w:color="auto"/>
      </w:divBdr>
    </w:div>
    <w:div w:id="20255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24738-D136-4AC6-9C5C-B6AAE983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1451</Words>
  <Characters>8277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Sierra Leone PBF projects</vt:lpstr>
    </vt:vector>
  </TitlesOfParts>
  <Company>UNDP</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 PBF projects</dc:title>
  <dc:creator>Aloysious</dc:creator>
  <cp:lastModifiedBy>Mitsy Jean-Louis</cp:lastModifiedBy>
  <cp:revision>2</cp:revision>
  <cp:lastPrinted>2012-08-02T06:26:00Z</cp:lastPrinted>
  <dcterms:created xsi:type="dcterms:W3CDTF">2014-08-13T13:56:00Z</dcterms:created>
  <dcterms:modified xsi:type="dcterms:W3CDTF">2014-08-13T13:56:00Z</dcterms:modified>
</cp:coreProperties>
</file>