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52" w:rsidRPr="008E67D3" w:rsidRDefault="00232152" w:rsidP="00232152">
      <w:pPr>
        <w:jc w:val="center"/>
        <w:rPr>
          <w:b/>
          <w:color w:val="000000"/>
          <w:sz w:val="28"/>
          <w:szCs w:val="28"/>
          <w:u w:val="single"/>
        </w:rPr>
      </w:pPr>
      <w:r w:rsidRPr="00334073">
        <w:rPr>
          <w:rFonts w:ascii="Arial" w:hAnsi="Arial"/>
          <w:spacing w:val="-3"/>
          <w:sz w:val="20"/>
        </w:rPr>
        <w:tab/>
      </w:r>
      <w:r w:rsidRPr="008E67D3">
        <w:rPr>
          <w:b/>
          <w:noProof/>
          <w:lang w:val="en-US" w:eastAsia="en-US"/>
        </w:rPr>
        <w:drawing>
          <wp:inline distT="0" distB="0" distL="0" distR="0" wp14:anchorId="755EDDE9" wp14:editId="53743784">
            <wp:extent cx="624840" cy="609600"/>
            <wp:effectExtent l="0" t="0" r="381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609600"/>
                    </a:xfrm>
                    <a:prstGeom prst="rect">
                      <a:avLst/>
                    </a:prstGeom>
                    <a:noFill/>
                    <a:ln>
                      <a:noFill/>
                    </a:ln>
                  </pic:spPr>
                </pic:pic>
              </a:graphicData>
            </a:graphic>
          </wp:inline>
        </w:drawing>
      </w:r>
      <w:r w:rsidRPr="008E67D3">
        <w:rPr>
          <w:b/>
          <w:noProof/>
        </w:rPr>
        <w:t xml:space="preserve">                                  </w:t>
      </w:r>
      <w:r w:rsidRPr="008E67D3">
        <w:rPr>
          <w:b/>
          <w:noProof/>
          <w:lang w:val="en-US" w:eastAsia="en-US"/>
        </w:rPr>
        <w:drawing>
          <wp:inline distT="0" distB="0" distL="0" distR="0" wp14:anchorId="2C82B72B" wp14:editId="2DB9BBE6">
            <wp:extent cx="754380" cy="723900"/>
            <wp:effectExtent l="0" t="0" r="7620" b="0"/>
            <wp:docPr id="8" name="Image 7" descr="Description :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723900"/>
                    </a:xfrm>
                    <a:prstGeom prst="rect">
                      <a:avLst/>
                    </a:prstGeom>
                    <a:noFill/>
                    <a:ln>
                      <a:noFill/>
                    </a:ln>
                  </pic:spPr>
                </pic:pic>
              </a:graphicData>
            </a:graphic>
          </wp:inline>
        </w:drawing>
      </w:r>
      <w:r w:rsidRPr="008E67D3">
        <w:rPr>
          <w:rFonts w:ascii="Arial" w:hAnsi="Arial"/>
          <w:color w:val="000000"/>
          <w:spacing w:val="-3"/>
          <w:sz w:val="20"/>
        </w:rPr>
        <w:tab/>
      </w:r>
      <w:r w:rsidRPr="008E67D3">
        <w:rPr>
          <w:rFonts w:ascii="Arial" w:hAnsi="Arial"/>
          <w:color w:val="000000"/>
          <w:spacing w:val="-3"/>
          <w:sz w:val="20"/>
        </w:rPr>
        <w:tab/>
      </w:r>
      <w:r w:rsidRPr="008E67D3">
        <w:rPr>
          <w:rFonts w:ascii="Arial" w:hAnsi="Arial"/>
          <w:color w:val="000000"/>
          <w:spacing w:val="-3"/>
          <w:sz w:val="20"/>
        </w:rPr>
        <w:tab/>
      </w:r>
      <w:r w:rsidRPr="008E67D3">
        <w:rPr>
          <w:noProof/>
          <w:color w:val="000000"/>
          <w:lang w:val="en-US" w:eastAsia="en-US"/>
        </w:rPr>
        <w:drawing>
          <wp:inline distT="0" distB="0" distL="0" distR="0" wp14:anchorId="496A20C6" wp14:editId="07782AF1">
            <wp:extent cx="929640" cy="754380"/>
            <wp:effectExtent l="0" t="0" r="3810" b="7620"/>
            <wp:docPr id="9" name="Immagine 2"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B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754380"/>
                    </a:xfrm>
                    <a:prstGeom prst="rect">
                      <a:avLst/>
                    </a:prstGeom>
                    <a:noFill/>
                    <a:ln>
                      <a:noFill/>
                    </a:ln>
                  </pic:spPr>
                </pic:pic>
              </a:graphicData>
            </a:graphic>
          </wp:inline>
        </w:drawing>
      </w:r>
    </w:p>
    <w:p w:rsidR="00264361" w:rsidRPr="00334073" w:rsidRDefault="00264361" w:rsidP="004D18B1">
      <w:pPr>
        <w:jc w:val="center"/>
        <w:rPr>
          <w:b/>
          <w:sz w:val="28"/>
          <w:szCs w:val="28"/>
          <w:u w:val="single"/>
        </w:rPr>
      </w:pPr>
      <w:r w:rsidRPr="00334073">
        <w:rPr>
          <w:rFonts w:ascii="Arial" w:hAnsi="Arial"/>
          <w:spacing w:val="-3"/>
          <w:sz w:val="20"/>
        </w:rPr>
        <w:tab/>
      </w:r>
      <w:r w:rsidRPr="00334073">
        <w:rPr>
          <w:rFonts w:ascii="Arial" w:hAnsi="Arial"/>
          <w:spacing w:val="-3"/>
          <w:sz w:val="20"/>
        </w:rPr>
        <w:tab/>
      </w:r>
      <w:r w:rsidRPr="00334073">
        <w:rPr>
          <w:rFonts w:ascii="Arial" w:hAnsi="Arial"/>
          <w:spacing w:val="-3"/>
          <w:sz w:val="20"/>
        </w:rPr>
        <w:tab/>
      </w:r>
    </w:p>
    <w:p w:rsidR="00264361" w:rsidRPr="00334073" w:rsidRDefault="00264361" w:rsidP="004D18B1">
      <w:pPr>
        <w:jc w:val="center"/>
        <w:rPr>
          <w:b/>
        </w:rPr>
      </w:pPr>
    </w:p>
    <w:p w:rsidR="00264361" w:rsidRPr="00334073" w:rsidRDefault="00264361" w:rsidP="004D18B1">
      <w:pPr>
        <w:jc w:val="center"/>
        <w:rPr>
          <w:b/>
        </w:rPr>
      </w:pPr>
      <w:r w:rsidRPr="00334073">
        <w:rPr>
          <w:b/>
        </w:rPr>
        <w:t>FONDS POUR LA CONSOLIDATION DE LA PAIX (PBF)</w:t>
      </w:r>
    </w:p>
    <w:p w:rsidR="00E97538" w:rsidRDefault="00264361" w:rsidP="00E975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aps/>
        </w:rPr>
      </w:pPr>
      <w:r w:rsidRPr="00334073">
        <w:rPr>
          <w:b/>
          <w:bCs/>
          <w:caps/>
        </w:rPr>
        <w:t xml:space="preserve">RAPPORT D’ACTIVITE SUR LE </w:t>
      </w:r>
      <w:r w:rsidR="00E97538" w:rsidRPr="00CA1151">
        <w:rPr>
          <w:b/>
          <w:bCs/>
          <w:caps/>
        </w:rPr>
        <w:t>programme</w:t>
      </w:r>
      <w:r w:rsidR="00E97538">
        <w:rPr>
          <w:b/>
          <w:bCs/>
          <w:caps/>
        </w:rPr>
        <w:t xml:space="preserve"> CONJOINT DE PREVENTION ET REPONSE AUX VIOLENCES BASEES SUR LE GENRE EN GUINEE</w:t>
      </w:r>
    </w:p>
    <w:p w:rsidR="00264361" w:rsidRPr="00334073" w:rsidRDefault="00264361" w:rsidP="004D18B1">
      <w:pPr>
        <w:jc w:val="center"/>
        <w:rPr>
          <w:b/>
          <w:bCs/>
          <w:caps/>
          <w:sz w:val="22"/>
          <w:szCs w:val="22"/>
        </w:rPr>
      </w:pPr>
    </w:p>
    <w:p w:rsidR="00264361" w:rsidRPr="00334073" w:rsidRDefault="00264361" w:rsidP="004D18B1">
      <w:pPr>
        <w:jc w:val="center"/>
        <w:rPr>
          <w:b/>
          <w:bCs/>
          <w:caps/>
        </w:rPr>
      </w:pPr>
      <w:r w:rsidRPr="00334073">
        <w:rPr>
          <w:b/>
          <w:bCs/>
          <w:caps/>
        </w:rPr>
        <w:t>PERIODE COUVERTE PAR LE RAPPORT: 1</w:t>
      </w:r>
      <w:r w:rsidRPr="00334073">
        <w:rPr>
          <w:b/>
          <w:bCs/>
          <w:caps/>
          <w:vertAlign w:val="superscript"/>
        </w:rPr>
        <w:t>er</w:t>
      </w:r>
      <w:r w:rsidR="00E97538">
        <w:rPr>
          <w:b/>
          <w:bCs/>
          <w:caps/>
        </w:rPr>
        <w:t xml:space="preserve"> JANVIER - 31 DecembRE 2013</w:t>
      </w:r>
    </w:p>
    <w:p w:rsidR="00264361" w:rsidRPr="00334073" w:rsidRDefault="00264361" w:rsidP="004D18B1">
      <w:pPr>
        <w:jc w:val="center"/>
        <w:rPr>
          <w:b/>
          <w:bCs/>
          <w:caps/>
          <w:sz w:val="22"/>
          <w:szCs w:val="22"/>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334073">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4361" w:rsidRPr="00334073" w:rsidRDefault="00264361" w:rsidP="00AD6103">
            <w:pPr>
              <w:pStyle w:val="H1"/>
              <w:jc w:val="center"/>
              <w:rPr>
                <w:rFonts w:cs="Times New Roman"/>
                <w:sz w:val="22"/>
                <w:szCs w:val="22"/>
                <w:lang w:val="fr-FR"/>
              </w:rPr>
            </w:pPr>
            <w:r w:rsidRPr="00334073">
              <w:rPr>
                <w:rFonts w:cs="Times New Roman"/>
                <w:sz w:val="22"/>
                <w:szCs w:val="22"/>
                <w:lang w:val="fr-FR"/>
              </w:rPr>
              <w:t>Intitulé du programme &amp; Numéro du projet</w:t>
            </w:r>
          </w:p>
        </w:tc>
        <w:tc>
          <w:tcPr>
            <w:tcW w:w="258" w:type="dxa"/>
            <w:vMerge w:val="restart"/>
            <w:tcBorders>
              <w:left w:val="single" w:sz="4" w:space="0" w:color="auto"/>
              <w:right w:val="single" w:sz="4" w:space="0" w:color="auto"/>
            </w:tcBorders>
            <w:vAlign w:val="center"/>
          </w:tcPr>
          <w:p w:rsidR="00264361" w:rsidRPr="00334073" w:rsidRDefault="00264361" w:rsidP="00595EB4">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264361" w:rsidRPr="00334073" w:rsidRDefault="00264361" w:rsidP="00B65A82">
            <w:pPr>
              <w:pStyle w:val="H1"/>
              <w:jc w:val="center"/>
              <w:rPr>
                <w:rFonts w:cs="Times New Roman"/>
                <w:sz w:val="22"/>
                <w:szCs w:val="22"/>
                <w:lang w:val="fr-FR"/>
              </w:rPr>
            </w:pPr>
            <w:r w:rsidRPr="00334073">
              <w:rPr>
                <w:rFonts w:cs="Times New Roman"/>
                <w:sz w:val="22"/>
                <w:szCs w:val="22"/>
                <w:lang w:val="fr-FR"/>
              </w:rPr>
              <w:t>Pays, Localité(s), Secteur(s) prioritaire(s) / Résultats stratégiques</w:t>
            </w:r>
          </w:p>
        </w:tc>
      </w:tr>
      <w:tr w:rsidR="00264361" w:rsidRPr="00334073">
        <w:trPr>
          <w:trHeight w:val="300"/>
        </w:trPr>
        <w:tc>
          <w:tcPr>
            <w:tcW w:w="5142" w:type="dxa"/>
            <w:vMerge w:val="restart"/>
            <w:tcBorders>
              <w:left w:val="single" w:sz="4" w:space="0" w:color="auto"/>
              <w:right w:val="single" w:sz="4" w:space="0" w:color="auto"/>
            </w:tcBorders>
          </w:tcPr>
          <w:p w:rsidR="00264361" w:rsidRPr="00334073" w:rsidRDefault="00264361" w:rsidP="004D18B1">
            <w:pPr>
              <w:pStyle w:val="BodyText"/>
              <w:numPr>
                <w:ilvl w:val="0"/>
                <w:numId w:val="6"/>
              </w:numPr>
              <w:spacing w:before="60" w:after="60"/>
              <w:ind w:left="342"/>
              <w:jc w:val="both"/>
              <w:rPr>
                <w:rFonts w:ascii="Times New Roman" w:hAnsi="Times New Roman"/>
                <w:bCs/>
                <w:iCs/>
                <w:snapToGrid w:val="0"/>
                <w:lang w:val="fr-FR"/>
              </w:rPr>
            </w:pPr>
            <w:r w:rsidRPr="00334073">
              <w:rPr>
                <w:rFonts w:ascii="Times New Roman" w:hAnsi="Times New Roman"/>
                <w:bCs/>
                <w:iCs/>
                <w:snapToGrid w:val="0"/>
                <w:lang w:val="fr-FR"/>
              </w:rPr>
              <w:t>Intitulé du programme:</w:t>
            </w:r>
            <w:r w:rsidR="00E97538" w:rsidRPr="00E97538">
              <w:rPr>
                <w:lang w:val="fr-BE"/>
              </w:rPr>
              <w:t xml:space="preserve"> </w:t>
            </w:r>
            <w:r w:rsidR="00E97538" w:rsidRPr="00E97538">
              <w:rPr>
                <w:rFonts w:ascii="Times New Roman" w:hAnsi="Times New Roman"/>
                <w:bCs/>
                <w:iCs/>
                <w:snapToGrid w:val="0"/>
                <w:lang w:val="fr-FR"/>
              </w:rPr>
              <w:t>Programme conjoint de prévention et réponse aux violences basées sur le Genre en Guinée</w:t>
            </w:r>
          </w:p>
          <w:p w:rsidR="00264361" w:rsidRPr="00334073" w:rsidRDefault="00264361" w:rsidP="004D18B1">
            <w:pPr>
              <w:pStyle w:val="BodyText"/>
              <w:numPr>
                <w:ilvl w:val="0"/>
                <w:numId w:val="6"/>
              </w:numPr>
              <w:spacing w:before="60" w:after="60"/>
              <w:ind w:left="342"/>
              <w:jc w:val="both"/>
              <w:rPr>
                <w:rFonts w:ascii="Times New Roman" w:hAnsi="Times New Roman" w:cs="Times New Roman"/>
                <w:bCs/>
                <w:i/>
                <w:iCs/>
                <w:snapToGrid w:val="0"/>
                <w:lang w:val="fr-FR"/>
              </w:rPr>
            </w:pPr>
            <w:r w:rsidRPr="00334073">
              <w:rPr>
                <w:rFonts w:ascii="Times New Roman" w:hAnsi="Times New Roman"/>
                <w:bCs/>
                <w:iCs/>
                <w:snapToGrid w:val="0"/>
                <w:lang w:val="fr-FR"/>
              </w:rPr>
              <w:t>Numéro du programme</w:t>
            </w:r>
            <w:r w:rsidRPr="00E97538">
              <w:rPr>
                <w:rFonts w:ascii="Times New Roman" w:hAnsi="Times New Roman"/>
                <w:bCs/>
                <w:iCs/>
                <w:snapToGrid w:val="0"/>
                <w:lang w:val="fr-FR"/>
              </w:rPr>
              <w:t xml:space="preserve">: </w:t>
            </w:r>
            <w:r w:rsidR="00E97538" w:rsidRPr="00E97538">
              <w:rPr>
                <w:rFonts w:ascii="Times New Roman" w:hAnsi="Times New Roman"/>
                <w:bCs/>
                <w:iCs/>
                <w:snapToGrid w:val="0"/>
                <w:lang w:val="fr-FR"/>
              </w:rPr>
              <w:t>PBF-IRF 52</w:t>
            </w:r>
          </w:p>
          <w:p w:rsidR="00264361" w:rsidRPr="00334073" w:rsidRDefault="00264361" w:rsidP="00E97538">
            <w:pPr>
              <w:pStyle w:val="BodyText"/>
              <w:numPr>
                <w:ilvl w:val="0"/>
                <w:numId w:val="6"/>
              </w:numPr>
              <w:spacing w:before="60" w:after="60"/>
              <w:ind w:left="342"/>
              <w:jc w:val="both"/>
              <w:rPr>
                <w:rFonts w:ascii="Times New Roman" w:hAnsi="Times New Roman"/>
                <w:i/>
                <w:lang w:val="fr-FR"/>
              </w:rPr>
            </w:pPr>
            <w:r w:rsidRPr="00334073">
              <w:rPr>
                <w:rFonts w:ascii="Times New Roman" w:hAnsi="Times New Roman"/>
                <w:bCs/>
                <w:iCs/>
                <w:snapToGrid w:val="0"/>
                <w:lang w:val="fr-FR"/>
              </w:rPr>
              <w:t>Numéro de référence du projet au MPTF:</w:t>
            </w:r>
            <w:r w:rsidR="00E97538" w:rsidRPr="00162E41">
              <w:rPr>
                <w:sz w:val="22"/>
                <w:szCs w:val="22"/>
                <w:lang w:val="fr-FR"/>
              </w:rPr>
              <w:t xml:space="preserve"> </w:t>
            </w:r>
            <w:r w:rsidR="00E97538" w:rsidRPr="00E97538">
              <w:rPr>
                <w:rFonts w:ascii="Times New Roman" w:hAnsi="Times New Roman"/>
                <w:bCs/>
                <w:iCs/>
                <w:snapToGrid w:val="0"/>
                <w:lang w:val="fr-FR"/>
              </w:rPr>
              <w:t>00082823</w:t>
            </w:r>
            <w:r w:rsidRPr="00334073">
              <w:rPr>
                <w:rFonts w:ascii="Times New Roman" w:hAnsi="Times New Roman"/>
                <w:i/>
                <w:lang w:val="fr-FR"/>
              </w:rPr>
              <w:t xml:space="preserve"> </w:t>
            </w:r>
          </w:p>
        </w:tc>
        <w:tc>
          <w:tcPr>
            <w:tcW w:w="258" w:type="dxa"/>
            <w:vMerge/>
            <w:tcBorders>
              <w:left w:val="single" w:sz="4" w:space="0" w:color="auto"/>
              <w:right w:val="single" w:sz="4" w:space="0" w:color="auto"/>
            </w:tcBorders>
          </w:tcPr>
          <w:p w:rsidR="00264361" w:rsidRPr="00334073" w:rsidRDefault="00264361" w:rsidP="00595EB4">
            <w:pPr>
              <w:pStyle w:val="BodyText"/>
              <w:rPr>
                <w:rFonts w:ascii="Times New Roman" w:hAnsi="Times New Roman"/>
                <w:lang w:val="fr-FR"/>
              </w:rPr>
            </w:pPr>
          </w:p>
        </w:tc>
        <w:tc>
          <w:tcPr>
            <w:tcW w:w="4986" w:type="dxa"/>
            <w:tcBorders>
              <w:left w:val="single" w:sz="4" w:space="0" w:color="auto"/>
              <w:bottom w:val="single" w:sz="4" w:space="0" w:color="auto"/>
              <w:right w:val="single" w:sz="4" w:space="0" w:color="auto"/>
            </w:tcBorders>
          </w:tcPr>
          <w:p w:rsidR="00F7429A" w:rsidRDefault="00F7429A" w:rsidP="00595EB4">
            <w:pPr>
              <w:pStyle w:val="BodyText"/>
              <w:rPr>
                <w:rFonts w:ascii="Times New Roman" w:hAnsi="Times New Roman"/>
                <w:bCs/>
                <w:i/>
                <w:iCs/>
                <w:snapToGrid w:val="0"/>
                <w:lang w:val="fr-FR"/>
              </w:rPr>
            </w:pPr>
            <w:r>
              <w:rPr>
                <w:rFonts w:ascii="Times New Roman" w:hAnsi="Times New Roman"/>
                <w:bCs/>
                <w:i/>
                <w:iCs/>
                <w:snapToGrid w:val="0"/>
                <w:lang w:val="fr-FR"/>
              </w:rPr>
              <w:t xml:space="preserve">Pays : </w:t>
            </w:r>
            <w:r w:rsidRPr="00E97538">
              <w:rPr>
                <w:rFonts w:ascii="Times New Roman" w:hAnsi="Times New Roman"/>
                <w:bCs/>
                <w:iCs/>
                <w:snapToGrid w:val="0"/>
                <w:lang w:val="fr-FR"/>
              </w:rPr>
              <w:t>Guinée</w:t>
            </w:r>
          </w:p>
          <w:p w:rsidR="00264361" w:rsidRPr="00E97538" w:rsidRDefault="00264361" w:rsidP="00595EB4">
            <w:pPr>
              <w:pStyle w:val="BodyText"/>
              <w:rPr>
                <w:rFonts w:ascii="Times New Roman" w:hAnsi="Times New Roman"/>
                <w:bCs/>
                <w:iCs/>
                <w:snapToGrid w:val="0"/>
                <w:lang w:val="fr-FR"/>
              </w:rPr>
            </w:pPr>
            <w:r w:rsidRPr="00334073">
              <w:rPr>
                <w:rFonts w:ascii="Times New Roman" w:hAnsi="Times New Roman"/>
                <w:bCs/>
                <w:i/>
                <w:iCs/>
                <w:snapToGrid w:val="0"/>
                <w:lang w:val="fr-FR"/>
              </w:rPr>
              <w:t>Région</w:t>
            </w:r>
            <w:r w:rsidR="00F7429A">
              <w:rPr>
                <w:rFonts w:ascii="Times New Roman" w:hAnsi="Times New Roman"/>
                <w:bCs/>
                <w:i/>
                <w:iCs/>
                <w:snapToGrid w:val="0"/>
                <w:lang w:val="fr-FR"/>
              </w:rPr>
              <w:t> :</w:t>
            </w:r>
            <w:r w:rsidR="00E97538">
              <w:rPr>
                <w:bCs/>
                <w:i/>
                <w:iCs/>
                <w:sz w:val="22"/>
                <w:szCs w:val="22"/>
                <w:lang w:val="fr-FR"/>
              </w:rPr>
              <w:t xml:space="preserve"> </w:t>
            </w:r>
            <w:r w:rsidR="00E97538" w:rsidRPr="00E97538">
              <w:rPr>
                <w:rFonts w:ascii="Times New Roman" w:hAnsi="Times New Roman"/>
                <w:bCs/>
                <w:iCs/>
                <w:snapToGrid w:val="0"/>
                <w:lang w:val="fr-FR"/>
              </w:rPr>
              <w:t>Conakry,</w:t>
            </w:r>
            <w:r w:rsidR="00F7429A">
              <w:rPr>
                <w:rFonts w:ascii="Times New Roman" w:hAnsi="Times New Roman"/>
                <w:bCs/>
                <w:iCs/>
                <w:snapToGrid w:val="0"/>
                <w:lang w:val="fr-FR"/>
              </w:rPr>
              <w:t xml:space="preserve"> Kindia,</w:t>
            </w:r>
            <w:r w:rsidR="00E97538" w:rsidRPr="00E97538">
              <w:rPr>
                <w:rFonts w:ascii="Times New Roman" w:hAnsi="Times New Roman"/>
                <w:bCs/>
                <w:iCs/>
                <w:snapToGrid w:val="0"/>
                <w:lang w:val="fr-FR"/>
              </w:rPr>
              <w:t xml:space="preserve"> L</w:t>
            </w:r>
            <w:r w:rsidR="00F7429A">
              <w:rPr>
                <w:rFonts w:ascii="Times New Roman" w:hAnsi="Times New Roman"/>
                <w:bCs/>
                <w:iCs/>
                <w:snapToGrid w:val="0"/>
                <w:lang w:val="fr-FR"/>
              </w:rPr>
              <w:t>abé, N’Nzérékoré, Kankan, Mamou</w:t>
            </w:r>
            <w:bookmarkStart w:id="0" w:name="_GoBack"/>
            <w:bookmarkEnd w:id="0"/>
          </w:p>
          <w:p w:rsidR="00264361" w:rsidRPr="00334073" w:rsidRDefault="00264361" w:rsidP="00595EB4">
            <w:pPr>
              <w:pStyle w:val="BodyText"/>
              <w:rPr>
                <w:rFonts w:ascii="Times New Roman" w:hAnsi="Times New Roman"/>
                <w:lang w:val="fr-FR"/>
              </w:rPr>
            </w:pPr>
          </w:p>
        </w:tc>
      </w:tr>
      <w:tr w:rsidR="00264361" w:rsidRPr="00334073">
        <w:trPr>
          <w:trHeight w:val="426"/>
        </w:trPr>
        <w:tc>
          <w:tcPr>
            <w:tcW w:w="5142" w:type="dxa"/>
            <w:vMerge/>
            <w:tcBorders>
              <w:left w:val="single" w:sz="4" w:space="0" w:color="auto"/>
              <w:bottom w:val="single" w:sz="4" w:space="0" w:color="auto"/>
              <w:right w:val="single" w:sz="4" w:space="0" w:color="auto"/>
            </w:tcBorders>
          </w:tcPr>
          <w:p w:rsidR="00264361" w:rsidRPr="00334073" w:rsidRDefault="00264361" w:rsidP="004D18B1">
            <w:pPr>
              <w:pStyle w:val="BodyText"/>
              <w:numPr>
                <w:ilvl w:val="0"/>
                <w:numId w:val="6"/>
              </w:numPr>
              <w:spacing w:before="60" w:after="60"/>
              <w:ind w:left="342"/>
              <w:jc w:val="both"/>
              <w:rPr>
                <w:rFonts w:ascii="Times New Roman" w:hAnsi="Times New Roman"/>
                <w:bCs/>
                <w:iCs/>
                <w:snapToGrid w:val="0"/>
                <w:lang w:val="fr-FR"/>
              </w:rPr>
            </w:pPr>
          </w:p>
        </w:tc>
        <w:tc>
          <w:tcPr>
            <w:tcW w:w="258" w:type="dxa"/>
            <w:vMerge/>
            <w:tcBorders>
              <w:left w:val="single" w:sz="4" w:space="0" w:color="auto"/>
              <w:right w:val="single" w:sz="4" w:space="0" w:color="auto"/>
            </w:tcBorders>
          </w:tcPr>
          <w:p w:rsidR="00264361" w:rsidRPr="00334073" w:rsidRDefault="00264361" w:rsidP="00595EB4">
            <w:pPr>
              <w:pStyle w:val="BodyText"/>
              <w:rPr>
                <w:rFonts w:ascii="Times New Roman" w:hAnsi="Times New Roman"/>
                <w:lang w:val="fr-FR"/>
              </w:rPr>
            </w:pPr>
          </w:p>
        </w:tc>
        <w:tc>
          <w:tcPr>
            <w:tcW w:w="4986" w:type="dxa"/>
            <w:tcBorders>
              <w:top w:val="single" w:sz="4" w:space="0" w:color="auto"/>
              <w:left w:val="single" w:sz="4" w:space="0" w:color="auto"/>
              <w:bottom w:val="single" w:sz="4" w:space="0" w:color="auto"/>
              <w:right w:val="single" w:sz="4" w:space="0" w:color="auto"/>
            </w:tcBorders>
          </w:tcPr>
          <w:p w:rsidR="00351AD5" w:rsidRDefault="00264361" w:rsidP="00351AD5">
            <w:pPr>
              <w:pStyle w:val="BodyText"/>
              <w:rPr>
                <w:rFonts w:ascii="Times New Roman" w:hAnsi="Times New Roman"/>
                <w:bCs/>
                <w:i/>
                <w:iCs/>
                <w:snapToGrid w:val="0"/>
                <w:lang w:val="fr-FR"/>
              </w:rPr>
            </w:pPr>
            <w:r w:rsidRPr="00334073">
              <w:rPr>
                <w:rFonts w:ascii="Times New Roman" w:hAnsi="Times New Roman"/>
                <w:bCs/>
                <w:i/>
                <w:iCs/>
                <w:snapToGrid w:val="0"/>
                <w:lang w:val="fr-FR"/>
              </w:rPr>
              <w:t xml:space="preserve">Domaine prioritaire/ résultats stratégiques </w:t>
            </w:r>
          </w:p>
          <w:p w:rsidR="00E97538" w:rsidRPr="00334073" w:rsidRDefault="00E97538" w:rsidP="00351AD5">
            <w:pPr>
              <w:pStyle w:val="BodyText"/>
              <w:rPr>
                <w:rFonts w:ascii="Times New Roman" w:hAnsi="Times New Roman"/>
                <w:bCs/>
                <w:i/>
                <w:iCs/>
                <w:snapToGrid w:val="0"/>
                <w:lang w:val="fr-FR"/>
              </w:rPr>
            </w:pPr>
            <w:r w:rsidRPr="00E97538">
              <w:rPr>
                <w:rFonts w:ascii="Times New Roman" w:hAnsi="Times New Roman"/>
                <w:bCs/>
                <w:iCs/>
                <w:snapToGrid w:val="0"/>
                <w:lang w:val="fr-FR"/>
              </w:rPr>
              <w:t xml:space="preserve">Domaine Prioritaire 1 : Appui </w:t>
            </w:r>
            <w:proofErr w:type="spellStart"/>
            <w:r w:rsidRPr="00E97538">
              <w:rPr>
                <w:rFonts w:ascii="Times New Roman" w:hAnsi="Times New Roman"/>
                <w:bCs/>
                <w:iCs/>
                <w:snapToGrid w:val="0"/>
                <w:lang w:val="fr-FR"/>
              </w:rPr>
              <w:t>a</w:t>
            </w:r>
            <w:proofErr w:type="spellEnd"/>
            <w:r w:rsidRPr="00E97538">
              <w:rPr>
                <w:rFonts w:ascii="Times New Roman" w:hAnsi="Times New Roman"/>
                <w:bCs/>
                <w:iCs/>
                <w:snapToGrid w:val="0"/>
                <w:lang w:val="fr-FR"/>
              </w:rPr>
              <w:t xml:space="preserve"> la mise en œuvre des accords de paix et de dialogue politique ; Domaine Prioritaire 2 : Prévention et résolution de conflits et la coexistence pacifique</w:t>
            </w:r>
          </w:p>
        </w:tc>
      </w:tr>
    </w:tbl>
    <w:p w:rsidR="00264361" w:rsidRPr="00334073" w:rsidRDefault="00264361" w:rsidP="004D18B1">
      <w:pPr>
        <w:jc w:val="center"/>
        <w:rPr>
          <w:b/>
          <w:bCs/>
          <w:caps/>
          <w:sz w:val="18"/>
          <w:szCs w:val="18"/>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334073">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4361" w:rsidRPr="00334073" w:rsidRDefault="00264361" w:rsidP="00595EB4">
            <w:pPr>
              <w:pStyle w:val="H1"/>
              <w:jc w:val="center"/>
              <w:rPr>
                <w:rFonts w:cs="Times New Roman"/>
                <w:sz w:val="22"/>
                <w:szCs w:val="22"/>
                <w:lang w:val="fr-FR"/>
              </w:rPr>
            </w:pPr>
            <w:r w:rsidRPr="00334073">
              <w:rPr>
                <w:rFonts w:cs="Times New Roman"/>
                <w:sz w:val="22"/>
                <w:szCs w:val="22"/>
                <w:lang w:val="fr-FR"/>
              </w:rPr>
              <w:t>Organisation(s) participante(s)</w:t>
            </w:r>
          </w:p>
        </w:tc>
        <w:tc>
          <w:tcPr>
            <w:tcW w:w="258" w:type="dxa"/>
            <w:vMerge w:val="restart"/>
            <w:tcBorders>
              <w:left w:val="single" w:sz="4" w:space="0" w:color="auto"/>
              <w:right w:val="single" w:sz="4" w:space="0" w:color="auto"/>
            </w:tcBorders>
            <w:vAlign w:val="center"/>
          </w:tcPr>
          <w:p w:rsidR="00264361" w:rsidRPr="00334073" w:rsidRDefault="00264361" w:rsidP="00595EB4">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264361" w:rsidRPr="00334073" w:rsidRDefault="00264361" w:rsidP="00595EB4">
            <w:pPr>
              <w:pStyle w:val="H1"/>
              <w:jc w:val="center"/>
              <w:rPr>
                <w:rFonts w:cs="Times New Roman"/>
                <w:sz w:val="22"/>
                <w:szCs w:val="22"/>
                <w:lang w:val="fr-FR"/>
              </w:rPr>
            </w:pPr>
            <w:r w:rsidRPr="00334073">
              <w:rPr>
                <w:rFonts w:cs="Times New Roman"/>
                <w:sz w:val="22"/>
                <w:szCs w:val="22"/>
                <w:lang w:val="fr-FR"/>
              </w:rPr>
              <w:t>Partenaires d’exécution</w:t>
            </w:r>
          </w:p>
        </w:tc>
      </w:tr>
      <w:tr w:rsidR="00264361" w:rsidRPr="00334073">
        <w:trPr>
          <w:trHeight w:val="495"/>
        </w:trPr>
        <w:tc>
          <w:tcPr>
            <w:tcW w:w="5142" w:type="dxa"/>
            <w:tcBorders>
              <w:left w:val="single" w:sz="4" w:space="0" w:color="auto"/>
              <w:bottom w:val="single" w:sz="4" w:space="0" w:color="auto"/>
              <w:right w:val="single" w:sz="4" w:space="0" w:color="auto"/>
            </w:tcBorders>
          </w:tcPr>
          <w:p w:rsidR="00E97538" w:rsidRPr="00162E41" w:rsidRDefault="00E97538" w:rsidP="00E97538">
            <w:pPr>
              <w:numPr>
                <w:ilvl w:val="0"/>
                <w:numId w:val="15"/>
              </w:numPr>
              <w:rPr>
                <w:i/>
              </w:rPr>
            </w:pPr>
            <w:r>
              <w:rPr>
                <w:sz w:val="22"/>
                <w:szCs w:val="22"/>
              </w:rPr>
              <w:t>UNFPA</w:t>
            </w:r>
          </w:p>
          <w:p w:rsidR="00E97538" w:rsidRPr="00E97538" w:rsidRDefault="00E97538" w:rsidP="00E97538">
            <w:pPr>
              <w:numPr>
                <w:ilvl w:val="0"/>
                <w:numId w:val="15"/>
              </w:numPr>
              <w:rPr>
                <w:i/>
              </w:rPr>
            </w:pPr>
            <w:r>
              <w:rPr>
                <w:sz w:val="22"/>
                <w:szCs w:val="22"/>
              </w:rPr>
              <w:t>UNICEF</w:t>
            </w:r>
          </w:p>
          <w:p w:rsidR="00264361" w:rsidRPr="00E97538" w:rsidRDefault="00E97538" w:rsidP="00E97538">
            <w:pPr>
              <w:numPr>
                <w:ilvl w:val="0"/>
                <w:numId w:val="15"/>
              </w:numPr>
              <w:rPr>
                <w:i/>
              </w:rPr>
            </w:pPr>
            <w:r w:rsidRPr="00E97538">
              <w:rPr>
                <w:sz w:val="22"/>
                <w:szCs w:val="22"/>
              </w:rPr>
              <w:t>PNUD</w:t>
            </w:r>
          </w:p>
        </w:tc>
        <w:tc>
          <w:tcPr>
            <w:tcW w:w="258" w:type="dxa"/>
            <w:vMerge/>
            <w:tcBorders>
              <w:left w:val="single" w:sz="4" w:space="0" w:color="auto"/>
              <w:right w:val="single" w:sz="4" w:space="0" w:color="auto"/>
            </w:tcBorders>
          </w:tcPr>
          <w:p w:rsidR="00264361" w:rsidRPr="00334073" w:rsidRDefault="00264361" w:rsidP="00595EB4">
            <w:pPr>
              <w:pStyle w:val="BodyText"/>
              <w:rPr>
                <w:rFonts w:ascii="Times New Roman" w:hAnsi="Times New Roman"/>
                <w:lang w:val="fr-FR"/>
              </w:rPr>
            </w:pPr>
          </w:p>
        </w:tc>
        <w:tc>
          <w:tcPr>
            <w:tcW w:w="4986" w:type="dxa"/>
            <w:tcBorders>
              <w:left w:val="single" w:sz="4" w:space="0" w:color="auto"/>
              <w:bottom w:val="single" w:sz="4" w:space="0" w:color="auto"/>
              <w:right w:val="single" w:sz="4" w:space="0" w:color="auto"/>
            </w:tcBorders>
          </w:tcPr>
          <w:p w:rsidR="00E97538" w:rsidRPr="00E97538" w:rsidRDefault="00E97538" w:rsidP="00E97538">
            <w:pPr>
              <w:pStyle w:val="BodyText"/>
              <w:numPr>
                <w:ilvl w:val="0"/>
                <w:numId w:val="7"/>
              </w:numPr>
              <w:ind w:left="374" w:hanging="357"/>
              <w:rPr>
                <w:rFonts w:ascii="Times New Roman" w:hAnsi="Times New Roman"/>
                <w:bCs/>
                <w:iCs/>
                <w:snapToGrid w:val="0"/>
                <w:lang w:val="fr-FR"/>
              </w:rPr>
            </w:pPr>
            <w:r w:rsidRPr="00E97538">
              <w:rPr>
                <w:rFonts w:ascii="Times New Roman" w:hAnsi="Times New Roman"/>
                <w:bCs/>
                <w:iCs/>
                <w:snapToGrid w:val="0"/>
                <w:lang w:val="fr-FR"/>
              </w:rPr>
              <w:t>Ministère des Affaires Sociales, de la Promotion Féminine et de l’Enfance</w:t>
            </w:r>
          </w:p>
          <w:p w:rsidR="00E97538" w:rsidRPr="00E97538" w:rsidRDefault="00E97538" w:rsidP="00E97538">
            <w:pPr>
              <w:pStyle w:val="BodyText"/>
              <w:numPr>
                <w:ilvl w:val="0"/>
                <w:numId w:val="7"/>
              </w:numPr>
              <w:ind w:left="374" w:hanging="357"/>
              <w:rPr>
                <w:rFonts w:ascii="Times New Roman" w:hAnsi="Times New Roman"/>
                <w:bCs/>
                <w:iCs/>
                <w:snapToGrid w:val="0"/>
                <w:lang w:val="fr-FR"/>
              </w:rPr>
            </w:pPr>
            <w:r w:rsidRPr="00E97538">
              <w:rPr>
                <w:rFonts w:ascii="Times New Roman" w:hAnsi="Times New Roman"/>
                <w:bCs/>
                <w:iCs/>
                <w:snapToGrid w:val="0"/>
                <w:lang w:val="fr-FR"/>
              </w:rPr>
              <w:t>Ministère de la Défense Nationale</w:t>
            </w:r>
          </w:p>
          <w:p w:rsidR="00E97538" w:rsidRDefault="00E97538" w:rsidP="00E97538">
            <w:pPr>
              <w:pStyle w:val="BodyText"/>
              <w:numPr>
                <w:ilvl w:val="0"/>
                <w:numId w:val="7"/>
              </w:numPr>
              <w:ind w:left="374" w:hanging="357"/>
              <w:rPr>
                <w:rFonts w:ascii="Times New Roman" w:hAnsi="Times New Roman"/>
                <w:bCs/>
                <w:iCs/>
                <w:snapToGrid w:val="0"/>
                <w:lang w:val="fr-FR"/>
              </w:rPr>
            </w:pPr>
            <w:r w:rsidRPr="00E97538">
              <w:rPr>
                <w:rFonts w:ascii="Times New Roman" w:hAnsi="Times New Roman"/>
                <w:bCs/>
                <w:iCs/>
                <w:snapToGrid w:val="0"/>
                <w:lang w:val="fr-FR"/>
              </w:rPr>
              <w:t>Ministère de la Sécurité et de la Protection Civile</w:t>
            </w:r>
            <w:r w:rsidR="00A979CA">
              <w:rPr>
                <w:rFonts w:ascii="Times New Roman" w:hAnsi="Times New Roman"/>
                <w:bCs/>
                <w:iCs/>
                <w:snapToGrid w:val="0"/>
                <w:lang w:val="fr-FR"/>
              </w:rPr>
              <w:t xml:space="preserve"> (OPROGEM)</w:t>
            </w:r>
          </w:p>
          <w:p w:rsidR="00E97538" w:rsidRPr="00E97538" w:rsidRDefault="00E97538" w:rsidP="00E97538">
            <w:pPr>
              <w:pStyle w:val="BodyText"/>
              <w:numPr>
                <w:ilvl w:val="0"/>
                <w:numId w:val="7"/>
              </w:numPr>
              <w:ind w:left="374" w:hanging="357"/>
              <w:rPr>
                <w:rFonts w:ascii="Times New Roman" w:hAnsi="Times New Roman"/>
                <w:bCs/>
                <w:iCs/>
                <w:snapToGrid w:val="0"/>
                <w:lang w:val="fr-FR"/>
              </w:rPr>
            </w:pPr>
            <w:r>
              <w:rPr>
                <w:rFonts w:ascii="Times New Roman" w:hAnsi="Times New Roman"/>
                <w:bCs/>
                <w:iCs/>
                <w:snapToGrid w:val="0"/>
                <w:lang w:val="fr-FR"/>
              </w:rPr>
              <w:t>Ministère de la Justice</w:t>
            </w:r>
          </w:p>
          <w:p w:rsidR="00E97538" w:rsidRPr="00A979CA" w:rsidRDefault="00E97538" w:rsidP="00A979CA">
            <w:pPr>
              <w:pStyle w:val="BodyText"/>
              <w:numPr>
                <w:ilvl w:val="0"/>
                <w:numId w:val="7"/>
              </w:numPr>
              <w:spacing w:before="60" w:after="60"/>
              <w:ind w:left="376"/>
              <w:jc w:val="both"/>
              <w:rPr>
                <w:rFonts w:ascii="Times New Roman" w:hAnsi="Times New Roman"/>
                <w:bCs/>
                <w:iCs/>
                <w:snapToGrid w:val="0"/>
                <w:color w:val="000000"/>
                <w:szCs w:val="28"/>
                <w:lang w:val="fr-FR"/>
              </w:rPr>
            </w:pPr>
            <w:r w:rsidRPr="00E97538">
              <w:rPr>
                <w:rFonts w:ascii="Times New Roman" w:hAnsi="Times New Roman"/>
                <w:bCs/>
                <w:iCs/>
                <w:snapToGrid w:val="0"/>
                <w:lang w:val="fr-FR"/>
              </w:rPr>
              <w:t>Organisations de la Société civile</w:t>
            </w:r>
            <w:r w:rsidR="00A979CA">
              <w:rPr>
                <w:rFonts w:ascii="Times New Roman" w:hAnsi="Times New Roman"/>
                <w:bCs/>
                <w:iCs/>
                <w:snapToGrid w:val="0"/>
                <w:lang w:val="fr-FR"/>
              </w:rPr>
              <w:t> : AGIAS, TOSTAN</w:t>
            </w:r>
            <w:r w:rsidR="00A979CA">
              <w:rPr>
                <w:rFonts w:ascii="Times New Roman" w:hAnsi="Times New Roman"/>
                <w:bCs/>
                <w:iCs/>
                <w:snapToGrid w:val="0"/>
                <w:color w:val="000000"/>
                <w:szCs w:val="28"/>
                <w:lang w:val="fr-FR"/>
              </w:rPr>
              <w:t>, IBCR</w:t>
            </w:r>
            <w:r w:rsidR="0094231F">
              <w:rPr>
                <w:rFonts w:ascii="Times New Roman" w:hAnsi="Times New Roman"/>
                <w:bCs/>
                <w:iCs/>
                <w:snapToGrid w:val="0"/>
                <w:color w:val="000000"/>
                <w:szCs w:val="28"/>
                <w:lang w:val="fr-FR"/>
              </w:rPr>
              <w:t xml:space="preserve">, </w:t>
            </w:r>
            <w:r w:rsidR="0094231F" w:rsidRPr="0094231F">
              <w:rPr>
                <w:rFonts w:ascii="Times New Roman" w:hAnsi="Times New Roman"/>
                <w:bCs/>
                <w:iCs/>
                <w:snapToGrid w:val="0"/>
                <w:color w:val="000000"/>
                <w:szCs w:val="28"/>
                <w:lang w:val="fr-FR"/>
              </w:rPr>
              <w:t>JHPIEGO</w:t>
            </w:r>
            <w:r w:rsidR="00A62418">
              <w:rPr>
                <w:rFonts w:ascii="Times New Roman" w:hAnsi="Times New Roman"/>
                <w:bCs/>
                <w:iCs/>
                <w:snapToGrid w:val="0"/>
                <w:color w:val="000000"/>
                <w:szCs w:val="28"/>
                <w:lang w:val="fr-FR"/>
              </w:rPr>
              <w:t xml:space="preserve">, SABOU </w:t>
            </w:r>
          </w:p>
        </w:tc>
      </w:tr>
    </w:tbl>
    <w:p w:rsidR="00264361" w:rsidRPr="00334073" w:rsidRDefault="00264361" w:rsidP="004D18B1">
      <w:pPr>
        <w:jc w:val="center"/>
        <w:rPr>
          <w:b/>
          <w:bCs/>
          <w:caps/>
          <w:sz w:val="18"/>
          <w:szCs w:val="18"/>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956"/>
        <w:gridCol w:w="258"/>
        <w:gridCol w:w="3314"/>
        <w:gridCol w:w="1672"/>
      </w:tblGrid>
      <w:tr w:rsidR="00264361" w:rsidRPr="00334073">
        <w:trPr>
          <w:trHeight w:val="440"/>
        </w:trPr>
        <w:tc>
          <w:tcPr>
            <w:tcW w:w="5142" w:type="dxa"/>
            <w:gridSpan w:val="2"/>
            <w:tcBorders>
              <w:bottom w:val="nil"/>
            </w:tcBorders>
            <w:shd w:val="clear" w:color="auto" w:fill="F2F2F2"/>
            <w:vAlign w:val="center"/>
          </w:tcPr>
          <w:p w:rsidR="00264361" w:rsidRPr="00334073" w:rsidRDefault="00264361" w:rsidP="00AD6103">
            <w:pPr>
              <w:pStyle w:val="H1"/>
              <w:jc w:val="center"/>
              <w:rPr>
                <w:rFonts w:cs="Times New Roman"/>
                <w:sz w:val="22"/>
                <w:szCs w:val="22"/>
                <w:lang w:val="fr-FR"/>
              </w:rPr>
            </w:pPr>
            <w:r w:rsidRPr="00334073">
              <w:rPr>
                <w:rFonts w:cs="Times New Roman"/>
                <w:sz w:val="22"/>
                <w:szCs w:val="22"/>
                <w:lang w:val="fr-FR"/>
              </w:rPr>
              <w:t>Coût du programme/du projet (en dollars)</w:t>
            </w:r>
          </w:p>
        </w:tc>
        <w:tc>
          <w:tcPr>
            <w:tcW w:w="258" w:type="dxa"/>
            <w:tcBorders>
              <w:top w:val="nil"/>
              <w:bottom w:val="nil"/>
            </w:tcBorders>
            <w:vAlign w:val="center"/>
          </w:tcPr>
          <w:p w:rsidR="00264361" w:rsidRPr="00334073" w:rsidRDefault="00264361" w:rsidP="00595EB4">
            <w:pPr>
              <w:pStyle w:val="H1"/>
              <w:jc w:val="center"/>
              <w:rPr>
                <w:rFonts w:cs="Times New Roman"/>
                <w:sz w:val="22"/>
                <w:szCs w:val="22"/>
                <w:lang w:val="fr-FR"/>
              </w:rPr>
            </w:pPr>
          </w:p>
        </w:tc>
        <w:tc>
          <w:tcPr>
            <w:tcW w:w="4986" w:type="dxa"/>
            <w:gridSpan w:val="2"/>
            <w:tcBorders>
              <w:bottom w:val="nil"/>
            </w:tcBorders>
            <w:shd w:val="clear" w:color="auto" w:fill="F2F2F2"/>
            <w:vAlign w:val="center"/>
          </w:tcPr>
          <w:p w:rsidR="00264361" w:rsidRPr="00334073" w:rsidRDefault="00264361" w:rsidP="00AD6103">
            <w:pPr>
              <w:pStyle w:val="H1"/>
              <w:jc w:val="center"/>
              <w:rPr>
                <w:rFonts w:cs="Times New Roman"/>
                <w:sz w:val="22"/>
                <w:szCs w:val="22"/>
                <w:lang w:val="fr-FR"/>
              </w:rPr>
            </w:pPr>
            <w:r w:rsidRPr="00334073">
              <w:rPr>
                <w:rFonts w:cs="Times New Roman"/>
                <w:sz w:val="22"/>
                <w:szCs w:val="22"/>
                <w:lang w:val="fr-FR"/>
              </w:rPr>
              <w:t>Durée du programme</w:t>
            </w:r>
          </w:p>
        </w:tc>
      </w:tr>
      <w:tr w:rsidR="00264361" w:rsidRPr="00334073" w:rsidTr="00A352D9">
        <w:trPr>
          <w:trHeight w:val="636"/>
        </w:trPr>
        <w:tc>
          <w:tcPr>
            <w:tcW w:w="3186" w:type="dxa"/>
            <w:tcBorders>
              <w:top w:val="nil"/>
              <w:bottom w:val="nil"/>
              <w:right w:val="nil"/>
            </w:tcBorders>
            <w:vAlign w:val="center"/>
          </w:tcPr>
          <w:p w:rsidR="00E97538" w:rsidRPr="00334073" w:rsidRDefault="00264361" w:rsidP="00E97538">
            <w:pPr>
              <w:pStyle w:val="H2"/>
              <w:rPr>
                <w:rFonts w:cs="Times New Roman"/>
                <w:i/>
                <w:sz w:val="20"/>
                <w:szCs w:val="20"/>
                <w:lang w:val="fr-FR"/>
              </w:rPr>
            </w:pPr>
            <w:r w:rsidRPr="00334073">
              <w:rPr>
                <w:rFonts w:cs="Times New Roman"/>
                <w:b w:val="0"/>
                <w:sz w:val="20"/>
                <w:szCs w:val="20"/>
                <w:lang w:val="fr-FR"/>
              </w:rPr>
              <w:t xml:space="preserve">Contribution MPTF/JP </w:t>
            </w:r>
          </w:p>
          <w:p w:rsidR="00264361" w:rsidRPr="00334073" w:rsidRDefault="00264361" w:rsidP="00351AD5">
            <w:pPr>
              <w:pStyle w:val="H2"/>
              <w:rPr>
                <w:rFonts w:cs="Times New Roman"/>
                <w:i/>
                <w:sz w:val="20"/>
                <w:szCs w:val="20"/>
                <w:lang w:val="fr-FR"/>
              </w:rPr>
            </w:pPr>
          </w:p>
        </w:tc>
        <w:tc>
          <w:tcPr>
            <w:tcW w:w="1956" w:type="dxa"/>
            <w:tcBorders>
              <w:top w:val="nil"/>
              <w:left w:val="nil"/>
              <w:bottom w:val="nil"/>
            </w:tcBorders>
            <w:vAlign w:val="center"/>
          </w:tcPr>
          <w:p w:rsidR="00264361" w:rsidRPr="00334073" w:rsidRDefault="00264361" w:rsidP="00595EB4">
            <w:pPr>
              <w:pStyle w:val="BodyText"/>
              <w:rPr>
                <w:rFonts w:ascii="Times New Roman" w:hAnsi="Times New Roman"/>
                <w:color w:val="000000"/>
                <w:lang w:val="fr-FR"/>
              </w:rPr>
            </w:pPr>
          </w:p>
        </w:tc>
        <w:tc>
          <w:tcPr>
            <w:tcW w:w="258" w:type="dxa"/>
            <w:tcBorders>
              <w:top w:val="nil"/>
              <w:bottom w:val="nil"/>
            </w:tcBorders>
            <w:vAlign w:val="center"/>
          </w:tcPr>
          <w:p w:rsidR="00264361" w:rsidRPr="00334073" w:rsidRDefault="00264361" w:rsidP="00595EB4">
            <w:pPr>
              <w:pStyle w:val="BodyText"/>
              <w:rPr>
                <w:rFonts w:ascii="Times New Roman" w:hAnsi="Times New Roman"/>
                <w:lang w:val="fr-FR"/>
              </w:rPr>
            </w:pPr>
          </w:p>
        </w:tc>
        <w:tc>
          <w:tcPr>
            <w:tcW w:w="3314" w:type="dxa"/>
            <w:tcBorders>
              <w:top w:val="nil"/>
              <w:bottom w:val="nil"/>
              <w:right w:val="nil"/>
            </w:tcBorders>
            <w:vAlign w:val="center"/>
          </w:tcPr>
          <w:p w:rsidR="00264361" w:rsidRPr="00334073" w:rsidRDefault="00264361" w:rsidP="00595EB4">
            <w:pPr>
              <w:pStyle w:val="BodyText"/>
              <w:rPr>
                <w:rFonts w:ascii="Times New Roman" w:hAnsi="Times New Roman"/>
                <w:lang w:val="fr-FR"/>
              </w:rPr>
            </w:pPr>
            <w:r w:rsidRPr="00334073">
              <w:rPr>
                <w:rFonts w:ascii="Times New Roman" w:hAnsi="Times New Roman"/>
                <w:lang w:val="fr-FR"/>
              </w:rPr>
              <w:t>Durée totale</w:t>
            </w:r>
            <w:r w:rsidR="00351AD5">
              <w:rPr>
                <w:rFonts w:ascii="Times New Roman" w:hAnsi="Times New Roman"/>
                <w:lang w:val="fr-FR"/>
              </w:rPr>
              <w:t> : 24 mois</w:t>
            </w:r>
            <w:r w:rsidRPr="00334073">
              <w:rPr>
                <w:rFonts w:ascii="Times New Roman" w:hAnsi="Times New Roman"/>
                <w:lang w:val="fr-FR"/>
              </w:rPr>
              <w:t xml:space="preserve"> </w:t>
            </w:r>
          </w:p>
        </w:tc>
        <w:tc>
          <w:tcPr>
            <w:tcW w:w="1672" w:type="dxa"/>
            <w:tcBorders>
              <w:top w:val="nil"/>
              <w:left w:val="nil"/>
              <w:bottom w:val="nil"/>
            </w:tcBorders>
            <w:vAlign w:val="center"/>
          </w:tcPr>
          <w:p w:rsidR="00264361" w:rsidRPr="00334073" w:rsidRDefault="00264361" w:rsidP="00595EB4">
            <w:pPr>
              <w:pStyle w:val="BodyText"/>
              <w:widowControl w:val="0"/>
              <w:rPr>
                <w:rFonts w:ascii="Times New Roman" w:hAnsi="Times New Roman"/>
                <w:lang w:val="fr-FR"/>
              </w:rPr>
            </w:pPr>
          </w:p>
        </w:tc>
      </w:tr>
      <w:tr w:rsidR="00264361" w:rsidRPr="00334073" w:rsidTr="00A352D9">
        <w:trPr>
          <w:trHeight w:val="350"/>
        </w:trPr>
        <w:tc>
          <w:tcPr>
            <w:tcW w:w="3186" w:type="dxa"/>
            <w:tcBorders>
              <w:top w:val="nil"/>
              <w:bottom w:val="nil"/>
              <w:right w:val="nil"/>
            </w:tcBorders>
            <w:vAlign w:val="center"/>
          </w:tcPr>
          <w:p w:rsidR="00E97538" w:rsidRPr="00E97538" w:rsidRDefault="00E97538" w:rsidP="00E97538">
            <w:pPr>
              <w:pStyle w:val="H2"/>
              <w:numPr>
                <w:ilvl w:val="0"/>
                <w:numId w:val="9"/>
              </w:numPr>
              <w:ind w:left="164" w:hanging="181"/>
              <w:rPr>
                <w:rFonts w:cs="Times New Roman"/>
                <w:szCs w:val="22"/>
                <w:lang w:val="fr-FR"/>
              </w:rPr>
            </w:pPr>
            <w:r w:rsidRPr="00E97538">
              <w:rPr>
                <w:rFonts w:cs="Times New Roman"/>
                <w:b w:val="0"/>
                <w:szCs w:val="22"/>
                <w:lang w:val="fr-FR"/>
              </w:rPr>
              <w:t>UNFPA : 421,045 USD</w:t>
            </w:r>
          </w:p>
          <w:p w:rsidR="00E97538" w:rsidRPr="00E97538" w:rsidRDefault="00E97538" w:rsidP="00E97538">
            <w:pPr>
              <w:pStyle w:val="H2"/>
              <w:numPr>
                <w:ilvl w:val="0"/>
                <w:numId w:val="9"/>
              </w:numPr>
              <w:ind w:left="164" w:hanging="181"/>
              <w:rPr>
                <w:rFonts w:cs="Times New Roman"/>
                <w:szCs w:val="22"/>
                <w:lang w:val="fr-FR"/>
              </w:rPr>
            </w:pPr>
            <w:r w:rsidRPr="00E97538">
              <w:rPr>
                <w:rFonts w:cs="Times New Roman"/>
                <w:b w:val="0"/>
                <w:szCs w:val="22"/>
                <w:lang w:val="fr-FR"/>
              </w:rPr>
              <w:t>UNICEF :</w:t>
            </w:r>
            <w:r>
              <w:rPr>
                <w:rFonts w:cs="Times New Roman"/>
                <w:b w:val="0"/>
                <w:szCs w:val="22"/>
                <w:lang w:val="fr-FR"/>
              </w:rPr>
              <w:t xml:space="preserve"> </w:t>
            </w:r>
            <w:r w:rsidRPr="00E97538">
              <w:rPr>
                <w:rFonts w:cs="Times New Roman"/>
                <w:b w:val="0"/>
                <w:szCs w:val="22"/>
                <w:lang w:val="fr-FR"/>
              </w:rPr>
              <w:t>349,355 USD</w:t>
            </w:r>
          </w:p>
          <w:p w:rsidR="00264361" w:rsidRPr="00351AD5" w:rsidRDefault="00E97538" w:rsidP="00351AD5">
            <w:pPr>
              <w:pStyle w:val="H2"/>
              <w:numPr>
                <w:ilvl w:val="0"/>
                <w:numId w:val="9"/>
              </w:numPr>
              <w:ind w:left="164" w:hanging="181"/>
              <w:rPr>
                <w:rFonts w:cs="Times New Roman"/>
                <w:szCs w:val="22"/>
                <w:lang w:val="fr-FR"/>
              </w:rPr>
            </w:pPr>
            <w:r w:rsidRPr="00E97538">
              <w:rPr>
                <w:rFonts w:cs="Times New Roman"/>
                <w:b w:val="0"/>
                <w:szCs w:val="22"/>
                <w:lang w:val="fr-FR"/>
              </w:rPr>
              <w:t>UNDP :</w:t>
            </w:r>
            <w:r>
              <w:rPr>
                <w:rFonts w:cs="Times New Roman"/>
                <w:b w:val="0"/>
                <w:szCs w:val="22"/>
                <w:lang w:val="fr-FR"/>
              </w:rPr>
              <w:t xml:space="preserve"> </w:t>
            </w:r>
            <w:r w:rsidRPr="00E97538">
              <w:rPr>
                <w:rFonts w:cs="Times New Roman"/>
                <w:b w:val="0"/>
                <w:szCs w:val="22"/>
                <w:lang w:val="fr-FR"/>
              </w:rPr>
              <w:t>229,600 USD</w:t>
            </w:r>
          </w:p>
        </w:tc>
        <w:tc>
          <w:tcPr>
            <w:tcW w:w="1956" w:type="dxa"/>
            <w:tcBorders>
              <w:top w:val="nil"/>
              <w:left w:val="nil"/>
              <w:bottom w:val="nil"/>
            </w:tcBorders>
            <w:vAlign w:val="center"/>
          </w:tcPr>
          <w:p w:rsidR="00264361" w:rsidRPr="00334073" w:rsidRDefault="00264361" w:rsidP="00595EB4">
            <w:pPr>
              <w:pStyle w:val="BodyText"/>
              <w:rPr>
                <w:rFonts w:ascii="Times New Roman" w:hAnsi="Times New Roman"/>
                <w:color w:val="000000"/>
                <w:lang w:val="fr-FR"/>
              </w:rPr>
            </w:pPr>
          </w:p>
        </w:tc>
        <w:tc>
          <w:tcPr>
            <w:tcW w:w="258" w:type="dxa"/>
            <w:tcBorders>
              <w:top w:val="nil"/>
              <w:bottom w:val="nil"/>
            </w:tcBorders>
            <w:vAlign w:val="center"/>
          </w:tcPr>
          <w:p w:rsidR="00264361" w:rsidRPr="00334073" w:rsidRDefault="00264361" w:rsidP="00595EB4">
            <w:pPr>
              <w:pStyle w:val="BodyText"/>
              <w:rPr>
                <w:rFonts w:ascii="Times New Roman" w:hAnsi="Times New Roman"/>
                <w:lang w:val="fr-FR"/>
              </w:rPr>
            </w:pPr>
          </w:p>
        </w:tc>
        <w:tc>
          <w:tcPr>
            <w:tcW w:w="3314" w:type="dxa"/>
            <w:tcBorders>
              <w:top w:val="nil"/>
              <w:bottom w:val="nil"/>
              <w:right w:val="nil"/>
            </w:tcBorders>
            <w:vAlign w:val="center"/>
          </w:tcPr>
          <w:p w:rsidR="00264361" w:rsidRPr="00334073" w:rsidRDefault="00264361" w:rsidP="00351AD5">
            <w:pPr>
              <w:pStyle w:val="BodyText"/>
              <w:rPr>
                <w:rFonts w:ascii="Times New Roman" w:hAnsi="Times New Roman"/>
                <w:lang w:val="fr-FR"/>
              </w:rPr>
            </w:pPr>
            <w:r w:rsidRPr="00334073">
              <w:rPr>
                <w:rFonts w:ascii="Times New Roman" w:hAnsi="Times New Roman"/>
                <w:lang w:val="fr-FR"/>
              </w:rPr>
              <w:t>Date de démarrage</w:t>
            </w:r>
            <w:r w:rsidR="00351AD5">
              <w:rPr>
                <w:rFonts w:ascii="Times New Roman" w:hAnsi="Times New Roman"/>
                <w:lang w:val="fr-FR"/>
              </w:rPr>
              <w:t xml:space="preserve">: </w:t>
            </w:r>
            <w:r w:rsidR="00351AD5" w:rsidRPr="00351AD5">
              <w:rPr>
                <w:rFonts w:ascii="Times New Roman" w:hAnsi="Times New Roman"/>
                <w:lang w:val="fr-FR"/>
              </w:rPr>
              <w:t>08/05/2012</w:t>
            </w:r>
          </w:p>
        </w:tc>
        <w:tc>
          <w:tcPr>
            <w:tcW w:w="1672" w:type="dxa"/>
            <w:tcBorders>
              <w:top w:val="nil"/>
              <w:left w:val="nil"/>
              <w:bottom w:val="nil"/>
            </w:tcBorders>
            <w:vAlign w:val="center"/>
          </w:tcPr>
          <w:p w:rsidR="00264361" w:rsidRPr="00334073" w:rsidRDefault="00264361" w:rsidP="00595EB4">
            <w:pPr>
              <w:pStyle w:val="BodyText"/>
              <w:rPr>
                <w:rFonts w:ascii="Times New Roman" w:hAnsi="Times New Roman"/>
                <w:lang w:val="fr-FR"/>
              </w:rPr>
            </w:pPr>
          </w:p>
        </w:tc>
      </w:tr>
      <w:tr w:rsidR="00351AD5" w:rsidRPr="00334073" w:rsidTr="00B66207">
        <w:trPr>
          <w:trHeight w:val="350"/>
        </w:trPr>
        <w:tc>
          <w:tcPr>
            <w:tcW w:w="3186" w:type="dxa"/>
            <w:tcBorders>
              <w:top w:val="nil"/>
              <w:bottom w:val="nil"/>
              <w:right w:val="nil"/>
            </w:tcBorders>
            <w:shd w:val="clear" w:color="auto" w:fill="D9D9D9"/>
            <w:vAlign w:val="center"/>
          </w:tcPr>
          <w:p w:rsidR="00351AD5" w:rsidRPr="00351AD5" w:rsidRDefault="00351AD5" w:rsidP="00E97538">
            <w:pPr>
              <w:pStyle w:val="H2"/>
              <w:rPr>
                <w:rFonts w:cs="Times New Roman"/>
                <w:b w:val="0"/>
                <w:sz w:val="20"/>
                <w:szCs w:val="20"/>
                <w:lang w:val="fr-FR"/>
              </w:rPr>
            </w:pPr>
            <w:r w:rsidRPr="00334073">
              <w:rPr>
                <w:rFonts w:cs="Times New Roman"/>
                <w:b w:val="0"/>
                <w:sz w:val="20"/>
                <w:szCs w:val="20"/>
                <w:lang w:val="fr-FR"/>
              </w:rPr>
              <w:t>Contribution du gouvernement</w:t>
            </w:r>
            <w:r>
              <w:rPr>
                <w:rFonts w:cs="Times New Roman"/>
                <w:b w:val="0"/>
                <w:sz w:val="20"/>
                <w:szCs w:val="20"/>
                <w:lang w:val="fr-FR"/>
              </w:rPr>
              <w:t> : N/A</w:t>
            </w:r>
          </w:p>
        </w:tc>
        <w:tc>
          <w:tcPr>
            <w:tcW w:w="1956" w:type="dxa"/>
            <w:tcBorders>
              <w:top w:val="nil"/>
              <w:left w:val="nil"/>
              <w:bottom w:val="nil"/>
            </w:tcBorders>
            <w:shd w:val="clear" w:color="auto" w:fill="D9D9D9"/>
            <w:vAlign w:val="center"/>
          </w:tcPr>
          <w:p w:rsidR="00351AD5" w:rsidRPr="00334073" w:rsidRDefault="00351AD5" w:rsidP="00595EB4">
            <w:pPr>
              <w:pStyle w:val="BodyText"/>
              <w:rPr>
                <w:rFonts w:ascii="Times New Roman" w:hAnsi="Times New Roman"/>
                <w:color w:val="000000"/>
                <w:lang w:val="fr-FR"/>
              </w:rPr>
            </w:pPr>
          </w:p>
        </w:tc>
        <w:tc>
          <w:tcPr>
            <w:tcW w:w="258" w:type="dxa"/>
            <w:tcBorders>
              <w:top w:val="nil"/>
              <w:bottom w:val="nil"/>
            </w:tcBorders>
            <w:vAlign w:val="center"/>
          </w:tcPr>
          <w:p w:rsidR="00351AD5" w:rsidRPr="00334073" w:rsidRDefault="00351AD5" w:rsidP="00595EB4">
            <w:pPr>
              <w:pStyle w:val="BodyText"/>
              <w:rPr>
                <w:rFonts w:ascii="Times New Roman" w:hAnsi="Times New Roman"/>
                <w:lang w:val="fr-FR"/>
              </w:rPr>
            </w:pPr>
          </w:p>
        </w:tc>
        <w:tc>
          <w:tcPr>
            <w:tcW w:w="4986" w:type="dxa"/>
            <w:gridSpan w:val="2"/>
            <w:tcBorders>
              <w:top w:val="nil"/>
              <w:bottom w:val="nil"/>
            </w:tcBorders>
            <w:vAlign w:val="center"/>
          </w:tcPr>
          <w:p w:rsidR="00351AD5" w:rsidRPr="00334073" w:rsidRDefault="00351AD5" w:rsidP="00595EB4">
            <w:pPr>
              <w:pStyle w:val="BodyText"/>
              <w:rPr>
                <w:rFonts w:ascii="Times New Roman" w:hAnsi="Times New Roman"/>
                <w:lang w:val="fr-FR"/>
              </w:rPr>
            </w:pPr>
            <w:r w:rsidRPr="00334073">
              <w:rPr>
                <w:rFonts w:ascii="Times New Roman" w:hAnsi="Times New Roman"/>
                <w:lang w:val="fr-FR"/>
              </w:rPr>
              <w:t>Date de fin prévue à l’origine</w:t>
            </w:r>
            <w:r>
              <w:rPr>
                <w:rFonts w:ascii="Times New Roman" w:hAnsi="Times New Roman"/>
                <w:lang w:val="fr-FR"/>
              </w:rPr>
              <w:t xml:space="preserve"> : </w:t>
            </w:r>
            <w:r w:rsidRPr="00351AD5">
              <w:rPr>
                <w:rFonts w:ascii="Times New Roman" w:hAnsi="Times New Roman"/>
                <w:lang w:val="fr-FR"/>
              </w:rPr>
              <w:t>8/05/2014</w:t>
            </w:r>
          </w:p>
        </w:tc>
      </w:tr>
      <w:tr w:rsidR="00264361" w:rsidRPr="00334073" w:rsidTr="00A352D9">
        <w:trPr>
          <w:trHeight w:val="350"/>
        </w:trPr>
        <w:tc>
          <w:tcPr>
            <w:tcW w:w="3186" w:type="dxa"/>
            <w:tcBorders>
              <w:top w:val="nil"/>
              <w:bottom w:val="nil"/>
              <w:right w:val="nil"/>
            </w:tcBorders>
            <w:shd w:val="clear" w:color="auto" w:fill="D9D9D9"/>
            <w:vAlign w:val="center"/>
          </w:tcPr>
          <w:p w:rsidR="00264361" w:rsidRPr="00E97538" w:rsidRDefault="00264361" w:rsidP="00595EB4">
            <w:pPr>
              <w:pStyle w:val="H2"/>
              <w:rPr>
                <w:rFonts w:cs="Times New Roman"/>
                <w:b w:val="0"/>
                <w:sz w:val="20"/>
                <w:szCs w:val="20"/>
                <w:lang w:val="fr-FR"/>
              </w:rPr>
            </w:pPr>
            <w:r w:rsidRPr="00334073">
              <w:rPr>
                <w:rFonts w:cs="Times New Roman"/>
                <w:b w:val="0"/>
                <w:sz w:val="20"/>
                <w:szCs w:val="20"/>
                <w:lang w:val="fr-FR"/>
              </w:rPr>
              <w:t>Autres contributions</w:t>
            </w:r>
            <w:r w:rsidR="00E97538">
              <w:rPr>
                <w:rFonts w:cs="Times New Roman"/>
                <w:b w:val="0"/>
                <w:sz w:val="20"/>
                <w:szCs w:val="20"/>
                <w:lang w:val="fr-FR"/>
              </w:rPr>
              <w:t> : N/A</w:t>
            </w:r>
            <w:r w:rsidRPr="00334073">
              <w:rPr>
                <w:rFonts w:cs="Times New Roman"/>
                <w:b w:val="0"/>
                <w:sz w:val="20"/>
                <w:szCs w:val="20"/>
                <w:lang w:val="fr-FR"/>
              </w:rPr>
              <w:t xml:space="preserve"> (donateurs)</w:t>
            </w:r>
          </w:p>
        </w:tc>
        <w:tc>
          <w:tcPr>
            <w:tcW w:w="1956" w:type="dxa"/>
            <w:tcBorders>
              <w:top w:val="nil"/>
              <w:left w:val="nil"/>
              <w:bottom w:val="nil"/>
            </w:tcBorders>
            <w:shd w:val="clear" w:color="auto" w:fill="D9D9D9"/>
            <w:vAlign w:val="center"/>
          </w:tcPr>
          <w:p w:rsidR="00264361" w:rsidRPr="00334073" w:rsidRDefault="00264361" w:rsidP="00595EB4">
            <w:pPr>
              <w:pStyle w:val="BodyText"/>
              <w:rPr>
                <w:rFonts w:ascii="Times New Roman" w:hAnsi="Times New Roman"/>
                <w:color w:val="000000"/>
                <w:lang w:val="fr-FR"/>
              </w:rPr>
            </w:pPr>
          </w:p>
        </w:tc>
        <w:tc>
          <w:tcPr>
            <w:tcW w:w="258" w:type="dxa"/>
            <w:tcBorders>
              <w:top w:val="nil"/>
              <w:bottom w:val="nil"/>
            </w:tcBorders>
            <w:vAlign w:val="center"/>
          </w:tcPr>
          <w:p w:rsidR="00264361" w:rsidRPr="00334073" w:rsidRDefault="00264361" w:rsidP="00595EB4">
            <w:pPr>
              <w:pStyle w:val="BodyText"/>
              <w:rPr>
                <w:rFonts w:ascii="Times New Roman" w:hAnsi="Times New Roman"/>
                <w:lang w:val="fr-FR"/>
              </w:rPr>
            </w:pPr>
          </w:p>
        </w:tc>
        <w:tc>
          <w:tcPr>
            <w:tcW w:w="3314" w:type="dxa"/>
            <w:tcBorders>
              <w:top w:val="nil"/>
              <w:bottom w:val="nil"/>
              <w:right w:val="nil"/>
            </w:tcBorders>
            <w:vAlign w:val="center"/>
          </w:tcPr>
          <w:p w:rsidR="00264361" w:rsidRPr="00334073" w:rsidRDefault="00264361" w:rsidP="00351AD5">
            <w:pPr>
              <w:pStyle w:val="BodyText"/>
              <w:rPr>
                <w:rFonts w:ascii="Times New Roman" w:hAnsi="Times New Roman"/>
                <w:lang w:val="fr-FR"/>
              </w:rPr>
            </w:pPr>
            <w:r w:rsidRPr="00334073">
              <w:rPr>
                <w:rFonts w:ascii="Times New Roman" w:hAnsi="Times New Roman"/>
                <w:lang w:val="fr-FR"/>
              </w:rPr>
              <w:t xml:space="preserve">Date de fin réelle </w:t>
            </w:r>
          </w:p>
        </w:tc>
        <w:tc>
          <w:tcPr>
            <w:tcW w:w="1672" w:type="dxa"/>
            <w:tcBorders>
              <w:top w:val="nil"/>
              <w:left w:val="nil"/>
              <w:bottom w:val="nil"/>
            </w:tcBorders>
            <w:vAlign w:val="center"/>
          </w:tcPr>
          <w:p w:rsidR="00264361" w:rsidRPr="00334073" w:rsidRDefault="00264361" w:rsidP="00595EB4">
            <w:pPr>
              <w:pStyle w:val="BodyText"/>
              <w:rPr>
                <w:rFonts w:ascii="Times New Roman" w:hAnsi="Times New Roman"/>
                <w:lang w:val="fr-FR"/>
              </w:rPr>
            </w:pPr>
          </w:p>
        </w:tc>
      </w:tr>
      <w:tr w:rsidR="00264361" w:rsidRPr="00334073" w:rsidTr="00351AD5">
        <w:trPr>
          <w:trHeight w:val="80"/>
        </w:trPr>
        <w:tc>
          <w:tcPr>
            <w:tcW w:w="3186" w:type="dxa"/>
            <w:tcBorders>
              <w:top w:val="nil"/>
              <w:right w:val="nil"/>
            </w:tcBorders>
            <w:vAlign w:val="center"/>
          </w:tcPr>
          <w:p w:rsidR="00264361" w:rsidRPr="00334073" w:rsidRDefault="00264361" w:rsidP="00595EB4">
            <w:pPr>
              <w:pStyle w:val="H2"/>
              <w:rPr>
                <w:rFonts w:cs="Times New Roman"/>
                <w:szCs w:val="22"/>
                <w:lang w:val="fr-FR"/>
              </w:rPr>
            </w:pPr>
            <w:r w:rsidRPr="00334073">
              <w:rPr>
                <w:rFonts w:cs="Times New Roman"/>
                <w:szCs w:val="22"/>
                <w:lang w:val="fr-FR"/>
              </w:rPr>
              <w:t>TOTAL:</w:t>
            </w:r>
            <w:r w:rsidR="00E97538">
              <w:rPr>
                <w:rFonts w:cs="Times New Roman"/>
                <w:szCs w:val="22"/>
                <w:lang w:val="fr-FR"/>
              </w:rPr>
              <w:t xml:space="preserve"> 1</w:t>
            </w:r>
            <w:proofErr w:type="gramStart"/>
            <w:r w:rsidR="00E97538">
              <w:rPr>
                <w:rFonts w:cs="Times New Roman"/>
                <w:szCs w:val="22"/>
                <w:lang w:val="fr-FR"/>
              </w:rPr>
              <w:t>,000,000</w:t>
            </w:r>
            <w:proofErr w:type="gramEnd"/>
          </w:p>
        </w:tc>
        <w:tc>
          <w:tcPr>
            <w:tcW w:w="1956" w:type="dxa"/>
            <w:tcBorders>
              <w:top w:val="nil"/>
              <w:left w:val="nil"/>
            </w:tcBorders>
            <w:vAlign w:val="center"/>
          </w:tcPr>
          <w:p w:rsidR="00264361" w:rsidRPr="00334073" w:rsidRDefault="00264361" w:rsidP="00595EB4">
            <w:pPr>
              <w:pStyle w:val="BodyText"/>
              <w:rPr>
                <w:rFonts w:ascii="Times New Roman" w:hAnsi="Times New Roman"/>
                <w:color w:val="000000"/>
                <w:sz w:val="22"/>
                <w:szCs w:val="22"/>
                <w:lang w:val="fr-FR"/>
              </w:rPr>
            </w:pPr>
          </w:p>
        </w:tc>
        <w:tc>
          <w:tcPr>
            <w:tcW w:w="258" w:type="dxa"/>
            <w:tcBorders>
              <w:top w:val="nil"/>
              <w:bottom w:val="nil"/>
            </w:tcBorders>
            <w:vAlign w:val="center"/>
          </w:tcPr>
          <w:p w:rsidR="00264361" w:rsidRPr="00334073" w:rsidRDefault="00264361" w:rsidP="00595EB4">
            <w:pPr>
              <w:pStyle w:val="BodyText"/>
              <w:rPr>
                <w:rFonts w:ascii="Times New Roman" w:hAnsi="Times New Roman"/>
                <w:sz w:val="22"/>
                <w:szCs w:val="22"/>
                <w:lang w:val="fr-FR"/>
              </w:rPr>
            </w:pPr>
          </w:p>
        </w:tc>
        <w:tc>
          <w:tcPr>
            <w:tcW w:w="3314" w:type="dxa"/>
            <w:tcBorders>
              <w:top w:val="nil"/>
              <w:right w:val="nil"/>
            </w:tcBorders>
            <w:vAlign w:val="center"/>
          </w:tcPr>
          <w:p w:rsidR="00264361" w:rsidRPr="00334073" w:rsidRDefault="00264361" w:rsidP="00595EB4">
            <w:pPr>
              <w:pStyle w:val="BodyText"/>
              <w:rPr>
                <w:rFonts w:ascii="Times New Roman" w:hAnsi="Times New Roman"/>
                <w:color w:val="000000"/>
                <w:sz w:val="22"/>
                <w:szCs w:val="22"/>
                <w:lang w:val="fr-FR"/>
              </w:rPr>
            </w:pPr>
          </w:p>
        </w:tc>
        <w:tc>
          <w:tcPr>
            <w:tcW w:w="1672" w:type="dxa"/>
            <w:tcBorders>
              <w:top w:val="nil"/>
              <w:left w:val="nil"/>
            </w:tcBorders>
            <w:vAlign w:val="center"/>
          </w:tcPr>
          <w:p w:rsidR="00264361" w:rsidRPr="00334073" w:rsidRDefault="00264361" w:rsidP="00595EB4">
            <w:pPr>
              <w:pStyle w:val="BodyText"/>
              <w:rPr>
                <w:rFonts w:ascii="Times New Roman" w:hAnsi="Times New Roman"/>
                <w:sz w:val="22"/>
                <w:szCs w:val="22"/>
                <w:lang w:val="fr-FR"/>
              </w:rPr>
            </w:pPr>
          </w:p>
        </w:tc>
      </w:tr>
    </w:tbl>
    <w:p w:rsidR="00264361" w:rsidRPr="00334073" w:rsidRDefault="00264361" w:rsidP="004D18B1">
      <w:pPr>
        <w:jc w:val="center"/>
        <w:rPr>
          <w:b/>
          <w:bCs/>
          <w:caps/>
          <w:sz w:val="18"/>
          <w:szCs w:val="18"/>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334073">
        <w:trPr>
          <w:trHeight w:val="206"/>
        </w:trPr>
        <w:tc>
          <w:tcPr>
            <w:tcW w:w="5142" w:type="dxa"/>
            <w:tcBorders>
              <w:top w:val="single" w:sz="4" w:space="0" w:color="auto"/>
              <w:left w:val="single" w:sz="4" w:space="0" w:color="auto"/>
              <w:right w:val="single" w:sz="4" w:space="0" w:color="auto"/>
            </w:tcBorders>
            <w:shd w:val="clear" w:color="auto" w:fill="F3F3F3"/>
          </w:tcPr>
          <w:p w:rsidR="00264361" w:rsidRPr="00334073" w:rsidRDefault="00264361" w:rsidP="00E260DA">
            <w:pPr>
              <w:pStyle w:val="H1"/>
              <w:keepNext/>
              <w:keepLines/>
              <w:ind w:right="-120" w:hanging="70"/>
              <w:jc w:val="center"/>
              <w:rPr>
                <w:rFonts w:cs="Times New Roman"/>
                <w:sz w:val="22"/>
                <w:szCs w:val="22"/>
                <w:lang w:val="fr-FR"/>
              </w:rPr>
            </w:pPr>
            <w:r w:rsidRPr="00334073">
              <w:rPr>
                <w:rFonts w:cs="Times New Roman"/>
                <w:sz w:val="22"/>
                <w:szCs w:val="22"/>
                <w:lang w:val="fr-FR"/>
              </w:rPr>
              <w:t>Évaluation du programme /examen/évaluation à mi-parcours</w:t>
            </w:r>
          </w:p>
        </w:tc>
        <w:tc>
          <w:tcPr>
            <w:tcW w:w="258" w:type="dxa"/>
            <w:vMerge w:val="restart"/>
            <w:tcBorders>
              <w:left w:val="single" w:sz="4" w:space="0" w:color="auto"/>
              <w:right w:val="single" w:sz="4" w:space="0" w:color="auto"/>
            </w:tcBorders>
          </w:tcPr>
          <w:p w:rsidR="00264361" w:rsidRPr="00334073" w:rsidRDefault="00264361" w:rsidP="00E260DA">
            <w:pPr>
              <w:keepNext/>
              <w:keepLines/>
            </w:pPr>
          </w:p>
        </w:tc>
        <w:tc>
          <w:tcPr>
            <w:tcW w:w="4986" w:type="dxa"/>
            <w:tcBorders>
              <w:top w:val="single" w:sz="4" w:space="0" w:color="auto"/>
              <w:left w:val="single" w:sz="4" w:space="0" w:color="auto"/>
              <w:right w:val="single" w:sz="4" w:space="0" w:color="auto"/>
            </w:tcBorders>
            <w:shd w:val="clear" w:color="auto" w:fill="F3F3F3"/>
          </w:tcPr>
          <w:p w:rsidR="00264361" w:rsidRPr="00334073" w:rsidRDefault="00264361" w:rsidP="00E260DA">
            <w:pPr>
              <w:pStyle w:val="H1"/>
              <w:keepNext/>
              <w:keepLines/>
              <w:jc w:val="center"/>
              <w:rPr>
                <w:rFonts w:cs="Times New Roman"/>
                <w:sz w:val="22"/>
                <w:szCs w:val="22"/>
                <w:lang w:val="fr-FR"/>
              </w:rPr>
            </w:pPr>
            <w:r w:rsidRPr="00334073">
              <w:rPr>
                <w:bCs w:val="0"/>
                <w:sz w:val="22"/>
                <w:szCs w:val="22"/>
                <w:lang w:val="fr-FR"/>
              </w:rPr>
              <w:t>Rapport soumis par</w:t>
            </w:r>
          </w:p>
        </w:tc>
      </w:tr>
      <w:tr w:rsidR="00264361" w:rsidRPr="00334073" w:rsidTr="00351AD5">
        <w:trPr>
          <w:trHeight w:val="285"/>
        </w:trPr>
        <w:tc>
          <w:tcPr>
            <w:tcW w:w="5142" w:type="dxa"/>
            <w:tcBorders>
              <w:left w:val="single" w:sz="4" w:space="0" w:color="auto"/>
              <w:right w:val="single" w:sz="4" w:space="0" w:color="auto"/>
            </w:tcBorders>
          </w:tcPr>
          <w:p w:rsidR="00264361" w:rsidRPr="00334073" w:rsidRDefault="00264361" w:rsidP="00A352D9">
            <w:pPr>
              <w:pStyle w:val="BodyText"/>
              <w:rPr>
                <w:rFonts w:ascii="Times New Roman" w:hAnsi="Times New Roman" w:cs="Times New Roman"/>
                <w:bCs/>
                <w:i/>
                <w:iCs/>
                <w:snapToGrid w:val="0"/>
                <w:lang w:val="fr-FR"/>
              </w:rPr>
            </w:pPr>
            <w:r w:rsidRPr="00334073">
              <w:rPr>
                <w:rFonts w:ascii="Times New Roman" w:hAnsi="Times New Roman"/>
                <w:lang w:val="fr-FR"/>
              </w:rPr>
              <w:t xml:space="preserve">Évaluation/Examen - le cas échéant, </w:t>
            </w:r>
            <w:r w:rsidRPr="00334073">
              <w:rPr>
                <w:rFonts w:ascii="Times New Roman" w:hAnsi="Times New Roman"/>
                <w:i/>
                <w:lang w:val="fr-FR"/>
              </w:rPr>
              <w:t>veuillez joindre</w:t>
            </w:r>
            <w:r w:rsidRPr="00334073">
              <w:rPr>
                <w:rFonts w:ascii="Times New Roman" w:hAnsi="Times New Roman"/>
                <w:lang w:val="fr-FR"/>
              </w:rPr>
              <w:t xml:space="preserve"> le document en question.</w:t>
            </w:r>
          </w:p>
          <w:p w:rsidR="00264361" w:rsidRPr="00334073" w:rsidRDefault="00E80E03" w:rsidP="00A352D9">
            <w:pPr>
              <w:pStyle w:val="BodyText"/>
              <w:rPr>
                <w:rFonts w:ascii="Times New Roman" w:hAnsi="Times New Roman"/>
                <w:lang w:val="fr-FR"/>
              </w:rPr>
            </w:pPr>
            <w:r>
              <w:rPr>
                <w:noProof/>
              </w:rPr>
              <mc:AlternateContent>
                <mc:Choice Requires="wps">
                  <w:drawing>
                    <wp:anchor distT="0" distB="0" distL="114300" distR="114300" simplePos="0" relativeHeight="251655680" behindDoc="0" locked="0" layoutInCell="1" allowOverlap="1">
                      <wp:simplePos x="0" y="0"/>
                      <wp:positionH relativeFrom="column">
                        <wp:posOffset>524510</wp:posOffset>
                      </wp:positionH>
                      <wp:positionV relativeFrom="paragraph">
                        <wp:posOffset>17145</wp:posOffset>
                      </wp:positionV>
                      <wp:extent cx="90805" cy="90805"/>
                      <wp:effectExtent l="0" t="0" r="23495" b="2349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57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Ig8OexoCAAA6BAAADgAAAAAAAAAAAAAAAAAuAgAAZHJzL2Uyb0RvYy54bWxQSwECLQAUAAYA&#10;CAAAACEAHudh2dsAAAAGAQAADwAAAAAAAAAAAAAAAAB0BAAAZHJzL2Rvd25yZXYueG1sUEsFBgAA&#10;AAAEAAQA8wAAAHw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17145</wp:posOffset>
                      </wp:positionV>
                      <wp:extent cx="90805" cy="90805"/>
                      <wp:effectExtent l="0" t="0" r="23495" b="2349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uPGwIAADo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ABXkuPGwIAADoEAAAOAAAAAAAAAAAAAAAAAC4CAABkcnMvZTJvRG9jLnhtbFBLAQItABQA&#10;BgAIAAAAIQBRl8Rs3AAAAAYBAAAPAAAAAAAAAAAAAAAAAHUEAABkcnMvZG93bnJldi54bWxQSwUG&#10;AAAAAAQABADzAAAAfgUAAAAA&#10;"/>
                  </w:pict>
                </mc:Fallback>
              </mc:AlternateContent>
            </w:r>
            <w:r w:rsidR="00264361" w:rsidRPr="00334073">
              <w:rPr>
                <w:rFonts w:ascii="Times New Roman" w:hAnsi="Times New Roman"/>
                <w:lang w:val="fr-FR"/>
              </w:rPr>
              <w:t xml:space="preserve"> </w:t>
            </w:r>
            <w:r w:rsidR="00264361">
              <w:rPr>
                <w:rFonts w:ascii="Times New Roman" w:hAnsi="Times New Roman"/>
                <w:lang w:val="fr-FR"/>
              </w:rPr>
              <w:t xml:space="preserve">   </w:t>
            </w:r>
            <w:r w:rsidR="00264361" w:rsidRPr="00334073">
              <w:rPr>
                <w:rFonts w:ascii="Times New Roman" w:hAnsi="Times New Roman"/>
                <w:lang w:val="fr-FR"/>
              </w:rPr>
              <w:t xml:space="preserve">Oui </w:t>
            </w:r>
            <w:r w:rsidR="00264361">
              <w:rPr>
                <w:rFonts w:ascii="Times New Roman" w:hAnsi="Times New Roman"/>
                <w:lang w:val="fr-FR"/>
              </w:rPr>
              <w:t xml:space="preserve">    </w:t>
            </w:r>
            <w:r w:rsidR="00232152">
              <w:rPr>
                <w:rFonts w:ascii="Times New Roman" w:hAnsi="Times New Roman"/>
                <w:lang w:val="fr-FR"/>
              </w:rPr>
              <w:t>x</w:t>
            </w:r>
            <w:r w:rsidR="00264361">
              <w:rPr>
                <w:rFonts w:ascii="Times New Roman" w:hAnsi="Times New Roman"/>
                <w:lang w:val="fr-FR"/>
              </w:rPr>
              <w:t xml:space="preserve"> </w:t>
            </w:r>
            <w:r w:rsidR="00232152">
              <w:rPr>
                <w:rFonts w:ascii="Times New Roman" w:hAnsi="Times New Roman"/>
                <w:lang w:val="fr-FR"/>
              </w:rPr>
              <w:t xml:space="preserve">    </w:t>
            </w:r>
            <w:r w:rsidR="00264361">
              <w:rPr>
                <w:rFonts w:ascii="Times New Roman" w:hAnsi="Times New Roman"/>
                <w:lang w:val="fr-FR"/>
              </w:rPr>
              <w:t xml:space="preserve"> </w:t>
            </w:r>
            <w:r w:rsidR="00264361" w:rsidRPr="00334073">
              <w:rPr>
                <w:rFonts w:ascii="Times New Roman" w:hAnsi="Times New Roman"/>
                <w:lang w:val="fr-FR"/>
              </w:rPr>
              <w:t xml:space="preserve">Non </w:t>
            </w:r>
            <w:r w:rsidR="00264361">
              <w:rPr>
                <w:rFonts w:ascii="Times New Roman" w:hAnsi="Times New Roman"/>
                <w:lang w:val="fr-FR"/>
              </w:rPr>
              <w:t xml:space="preserve">   </w:t>
            </w:r>
            <w:r w:rsidR="00264361" w:rsidRPr="00334073">
              <w:rPr>
                <w:rFonts w:ascii="Times New Roman" w:hAnsi="Times New Roman"/>
                <w:lang w:val="fr-FR"/>
              </w:rPr>
              <w:t xml:space="preserve">Date: </w:t>
            </w:r>
            <w:r w:rsidR="00264361" w:rsidRPr="00334073">
              <w:rPr>
                <w:rFonts w:ascii="Times New Roman" w:hAnsi="Times New Roman"/>
                <w:i/>
                <w:lang w:val="fr-FR"/>
              </w:rPr>
              <w:t>jour/mois/année</w:t>
            </w:r>
          </w:p>
          <w:p w:rsidR="00264361" w:rsidRPr="00334073" w:rsidRDefault="00264361" w:rsidP="00A352D9">
            <w:pPr>
              <w:pStyle w:val="BodyText"/>
              <w:rPr>
                <w:rFonts w:ascii="Times New Roman" w:hAnsi="Times New Roman"/>
                <w:lang w:val="fr-FR"/>
              </w:rPr>
            </w:pPr>
            <w:r w:rsidRPr="00334073">
              <w:rPr>
                <w:rFonts w:ascii="Times New Roman" w:hAnsi="Times New Roman"/>
                <w:lang w:val="fr-FR"/>
              </w:rPr>
              <w:t xml:space="preserve">Rapport d’évaluation à mi-parcours </w:t>
            </w:r>
            <w:r w:rsidRPr="00334073">
              <w:rPr>
                <w:rFonts w:ascii="Times New Roman" w:hAnsi="Times New Roman" w:cs="Times New Roman"/>
                <w:bCs/>
                <w:i/>
                <w:iCs/>
                <w:snapToGrid w:val="0"/>
                <w:lang w:val="fr-FR"/>
              </w:rPr>
              <w:t>– veuillez joindre le document, le cas échéant.</w:t>
            </w:r>
            <w:r w:rsidRPr="00334073">
              <w:rPr>
                <w:rFonts w:ascii="Times New Roman" w:hAnsi="Times New Roman"/>
                <w:b/>
                <w:lang w:val="fr-FR"/>
              </w:rPr>
              <w:t xml:space="preserve"> </w:t>
            </w:r>
          </w:p>
          <w:p w:rsidR="00264361" w:rsidRPr="00334073" w:rsidRDefault="00E80E03" w:rsidP="0061117C">
            <w:pPr>
              <w:pStyle w:val="BodyText"/>
              <w:rPr>
                <w:rFonts w:ascii="Times New Roman" w:hAnsi="Times New Roman"/>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519430</wp:posOffset>
                      </wp:positionH>
                      <wp:positionV relativeFrom="paragraph">
                        <wp:posOffset>20320</wp:posOffset>
                      </wp:positionV>
                      <wp:extent cx="90805" cy="90805"/>
                      <wp:effectExtent l="0" t="0" r="23495" b="2349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CeGg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uJhwnhoCAAA6BAAADgAAAAAAAAAAAAAAAAAuAgAAZHJzL2Uyb0RvYy54bWxQSwECLQAUAAYA&#10;CAAAACEAjRXFR9sAAAAGAQAADwAAAAAAAAAAAAAAAAB0BAAAZHJzL2Rvd25yZXYueG1sUEsFBgAA&#10;AAAEAAQA8wAAAHw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20955</wp:posOffset>
                      </wp:positionV>
                      <wp:extent cx="90805" cy="90805"/>
                      <wp:effectExtent l="0" t="0" r="23495" b="2349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10Gw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DIz510GwIAADoEAAAOAAAAAAAAAAAAAAAAAC4CAABkcnMvZTJvRG9jLnhtbFBLAQItABQA&#10;BgAIAAAAIQB1G/Ls3AAAAAYBAAAPAAAAAAAAAAAAAAAAAHUEAABkcnMvZG93bnJldi54bWxQSwUG&#10;AAAAAAQABADzAAAAfgUAAAAA&#10;"/>
                  </w:pict>
                </mc:Fallback>
              </mc:AlternateContent>
            </w:r>
            <w:r w:rsidR="00264361" w:rsidRPr="00334073">
              <w:rPr>
                <w:rFonts w:ascii="Times New Roman" w:hAnsi="Times New Roman"/>
                <w:lang w:val="fr-FR"/>
              </w:rPr>
              <w:t xml:space="preserve"> </w:t>
            </w:r>
            <w:r w:rsidR="00264361">
              <w:rPr>
                <w:rFonts w:ascii="Times New Roman" w:hAnsi="Times New Roman"/>
                <w:lang w:val="fr-FR"/>
              </w:rPr>
              <w:t xml:space="preserve">   </w:t>
            </w:r>
            <w:r w:rsidR="00264361" w:rsidRPr="00334073">
              <w:rPr>
                <w:rFonts w:ascii="Times New Roman" w:hAnsi="Times New Roman"/>
                <w:lang w:val="fr-FR"/>
              </w:rPr>
              <w:t xml:space="preserve">Oui </w:t>
            </w:r>
            <w:r w:rsidR="00264361">
              <w:rPr>
                <w:rFonts w:ascii="Times New Roman" w:hAnsi="Times New Roman"/>
                <w:lang w:val="fr-FR"/>
              </w:rPr>
              <w:t xml:space="preserve">         </w:t>
            </w:r>
            <w:r w:rsidR="00264361" w:rsidRPr="00334073">
              <w:rPr>
                <w:rFonts w:ascii="Times New Roman" w:hAnsi="Times New Roman"/>
                <w:lang w:val="fr-FR"/>
              </w:rPr>
              <w:t xml:space="preserve">Non </w:t>
            </w:r>
            <w:r w:rsidR="00264361">
              <w:rPr>
                <w:rFonts w:ascii="Times New Roman" w:hAnsi="Times New Roman"/>
                <w:lang w:val="fr-FR"/>
              </w:rPr>
              <w:t xml:space="preserve">    </w:t>
            </w:r>
            <w:r w:rsidR="00264361" w:rsidRPr="00334073">
              <w:rPr>
                <w:rFonts w:ascii="Times New Roman" w:hAnsi="Times New Roman"/>
                <w:lang w:val="fr-FR"/>
              </w:rPr>
              <w:t xml:space="preserve">Date: </w:t>
            </w:r>
            <w:r w:rsidR="00264361" w:rsidRPr="00334073">
              <w:rPr>
                <w:rFonts w:ascii="Times New Roman" w:hAnsi="Times New Roman"/>
                <w:i/>
                <w:lang w:val="fr-FR"/>
              </w:rPr>
              <w:t>jour/mois/année</w:t>
            </w:r>
          </w:p>
        </w:tc>
        <w:tc>
          <w:tcPr>
            <w:tcW w:w="258" w:type="dxa"/>
            <w:vMerge/>
            <w:tcBorders>
              <w:left w:val="single" w:sz="4" w:space="0" w:color="auto"/>
              <w:right w:val="single" w:sz="4" w:space="0" w:color="auto"/>
            </w:tcBorders>
          </w:tcPr>
          <w:p w:rsidR="00264361" w:rsidRPr="00334073" w:rsidRDefault="00264361" w:rsidP="00A352D9">
            <w:pPr>
              <w:pStyle w:val="BodyText"/>
              <w:rPr>
                <w:rFonts w:ascii="Times New Roman" w:hAnsi="Times New Roman"/>
                <w:lang w:val="fr-FR"/>
              </w:rPr>
            </w:pPr>
          </w:p>
        </w:tc>
        <w:tc>
          <w:tcPr>
            <w:tcW w:w="4986" w:type="dxa"/>
            <w:tcBorders>
              <w:left w:val="single" w:sz="4" w:space="0" w:color="auto"/>
              <w:right w:val="single" w:sz="4" w:space="0" w:color="auto"/>
            </w:tcBorders>
          </w:tcPr>
          <w:p w:rsidR="00264361" w:rsidRPr="00334073" w:rsidRDefault="00264361" w:rsidP="00A352D9">
            <w:pPr>
              <w:numPr>
                <w:ilvl w:val="0"/>
                <w:numId w:val="10"/>
              </w:numPr>
              <w:ind w:left="342"/>
              <w:rPr>
                <w:sz w:val="20"/>
                <w:szCs w:val="20"/>
              </w:rPr>
            </w:pPr>
            <w:r w:rsidRPr="00334073">
              <w:rPr>
                <w:sz w:val="20"/>
                <w:szCs w:val="20"/>
              </w:rPr>
              <w:t>Nom:</w:t>
            </w:r>
            <w:r w:rsidR="00351AD5">
              <w:rPr>
                <w:sz w:val="20"/>
                <w:szCs w:val="20"/>
              </w:rPr>
              <w:t xml:space="preserve"> Soetkin Meertens</w:t>
            </w:r>
          </w:p>
          <w:p w:rsidR="00264361" w:rsidRPr="00351AD5" w:rsidRDefault="00264361" w:rsidP="00A352D9">
            <w:pPr>
              <w:numPr>
                <w:ilvl w:val="0"/>
                <w:numId w:val="10"/>
              </w:numPr>
              <w:ind w:left="342"/>
              <w:rPr>
                <w:sz w:val="20"/>
                <w:szCs w:val="20"/>
                <w:lang w:val="en-US"/>
              </w:rPr>
            </w:pPr>
            <w:proofErr w:type="spellStart"/>
            <w:r w:rsidRPr="00351AD5">
              <w:rPr>
                <w:sz w:val="20"/>
                <w:szCs w:val="20"/>
                <w:lang w:val="en-US"/>
              </w:rPr>
              <w:t>Titre</w:t>
            </w:r>
            <w:proofErr w:type="spellEnd"/>
            <w:r w:rsidRPr="00351AD5">
              <w:rPr>
                <w:sz w:val="20"/>
                <w:szCs w:val="20"/>
                <w:lang w:val="en-US"/>
              </w:rPr>
              <w:t>:</w:t>
            </w:r>
            <w:r w:rsidR="00351AD5" w:rsidRPr="00351AD5">
              <w:rPr>
                <w:sz w:val="20"/>
                <w:szCs w:val="20"/>
                <w:lang w:val="en-US"/>
              </w:rPr>
              <w:t xml:space="preserve"> Program Specialist Gender responsive peacebuilding</w:t>
            </w:r>
          </w:p>
          <w:p w:rsidR="00264361" w:rsidRPr="00334073" w:rsidRDefault="00264361" w:rsidP="00A352D9">
            <w:pPr>
              <w:numPr>
                <w:ilvl w:val="0"/>
                <w:numId w:val="10"/>
              </w:numPr>
              <w:ind w:left="342"/>
              <w:rPr>
                <w:sz w:val="20"/>
                <w:szCs w:val="20"/>
              </w:rPr>
            </w:pPr>
            <w:r w:rsidRPr="00334073">
              <w:rPr>
                <w:sz w:val="20"/>
                <w:szCs w:val="20"/>
              </w:rPr>
              <w:t>Organisation participante (principale):</w:t>
            </w:r>
            <w:r w:rsidR="00351AD5">
              <w:rPr>
                <w:sz w:val="20"/>
                <w:szCs w:val="20"/>
              </w:rPr>
              <w:t xml:space="preserve"> Bureau du Coordonnateur Résident </w:t>
            </w:r>
          </w:p>
          <w:p w:rsidR="00264361" w:rsidRPr="00334073" w:rsidRDefault="00264361" w:rsidP="00A352D9">
            <w:pPr>
              <w:pStyle w:val="BodyText"/>
              <w:numPr>
                <w:ilvl w:val="0"/>
                <w:numId w:val="10"/>
              </w:numPr>
              <w:spacing w:after="120"/>
              <w:ind w:left="342"/>
              <w:jc w:val="both"/>
              <w:rPr>
                <w:rFonts w:ascii="Times New Roman" w:hAnsi="Times New Roman"/>
                <w:b/>
                <w:bCs/>
                <w:snapToGrid w:val="0"/>
                <w:kern w:val="32"/>
                <w:lang w:val="fr-FR"/>
              </w:rPr>
            </w:pPr>
            <w:r w:rsidRPr="00334073">
              <w:rPr>
                <w:rFonts w:ascii="Times New Roman" w:hAnsi="Times New Roman"/>
                <w:lang w:val="fr-FR"/>
              </w:rPr>
              <w:t>Adresse e-mail:</w:t>
            </w:r>
            <w:r w:rsidR="00351AD5">
              <w:rPr>
                <w:rFonts w:ascii="Times New Roman" w:hAnsi="Times New Roman"/>
                <w:lang w:val="fr-FR"/>
              </w:rPr>
              <w:t xml:space="preserve"> soetkin.meertens@unwomen.org</w:t>
            </w:r>
          </w:p>
        </w:tc>
      </w:tr>
      <w:tr w:rsidR="00351AD5" w:rsidRPr="00334073">
        <w:trPr>
          <w:trHeight w:val="285"/>
        </w:trPr>
        <w:tc>
          <w:tcPr>
            <w:tcW w:w="5142" w:type="dxa"/>
            <w:tcBorders>
              <w:left w:val="single" w:sz="4" w:space="0" w:color="auto"/>
              <w:bottom w:val="single" w:sz="4" w:space="0" w:color="auto"/>
              <w:right w:val="single" w:sz="4" w:space="0" w:color="auto"/>
            </w:tcBorders>
          </w:tcPr>
          <w:p w:rsidR="00351AD5" w:rsidRPr="00334073" w:rsidRDefault="00351AD5" w:rsidP="00A352D9">
            <w:pPr>
              <w:pStyle w:val="BodyText"/>
              <w:rPr>
                <w:rFonts w:ascii="Times New Roman" w:hAnsi="Times New Roman"/>
                <w:lang w:val="fr-FR"/>
              </w:rPr>
            </w:pPr>
          </w:p>
        </w:tc>
        <w:tc>
          <w:tcPr>
            <w:tcW w:w="258" w:type="dxa"/>
            <w:tcBorders>
              <w:left w:val="single" w:sz="4" w:space="0" w:color="auto"/>
              <w:right w:val="single" w:sz="4" w:space="0" w:color="auto"/>
            </w:tcBorders>
          </w:tcPr>
          <w:p w:rsidR="00351AD5" w:rsidRPr="00334073" w:rsidRDefault="00351AD5" w:rsidP="00A352D9">
            <w:pPr>
              <w:pStyle w:val="BodyText"/>
              <w:rPr>
                <w:rFonts w:ascii="Times New Roman" w:hAnsi="Times New Roman"/>
                <w:lang w:val="fr-FR"/>
              </w:rPr>
            </w:pPr>
          </w:p>
        </w:tc>
        <w:tc>
          <w:tcPr>
            <w:tcW w:w="4986" w:type="dxa"/>
            <w:tcBorders>
              <w:left w:val="single" w:sz="4" w:space="0" w:color="auto"/>
              <w:bottom w:val="single" w:sz="4" w:space="0" w:color="auto"/>
              <w:right w:val="single" w:sz="4" w:space="0" w:color="auto"/>
            </w:tcBorders>
          </w:tcPr>
          <w:p w:rsidR="00351AD5" w:rsidRPr="00334073" w:rsidRDefault="00351AD5" w:rsidP="00DC4E20">
            <w:pPr>
              <w:ind w:left="342"/>
              <w:rPr>
                <w:sz w:val="20"/>
                <w:szCs w:val="20"/>
              </w:rPr>
            </w:pPr>
          </w:p>
        </w:tc>
      </w:tr>
    </w:tbl>
    <w:p w:rsidR="00BF2E12" w:rsidRDefault="00BF2E12" w:rsidP="004D18B1">
      <w:pPr>
        <w:pStyle w:val="Heading1"/>
        <w:tabs>
          <w:tab w:val="left" w:pos="360"/>
        </w:tabs>
        <w:ind w:left="0"/>
        <w:jc w:val="left"/>
        <w:rPr>
          <w:rFonts w:ascii="Times New Roman" w:hAnsi="Times New Roman"/>
        </w:rPr>
      </w:pPr>
      <w:r>
        <w:rPr>
          <w:rFonts w:ascii="Times New Roman" w:hAnsi="Times New Roman"/>
        </w:rPr>
        <w:lastRenderedPageBreak/>
        <w:t>ACRONYMES</w:t>
      </w:r>
    </w:p>
    <w:p w:rsidR="00EA11C4" w:rsidRDefault="00EA11C4">
      <w:pPr>
        <w:rPr>
          <w:sz w:val="22"/>
          <w:szCs w:val="22"/>
          <w:lang w:eastAsia="en-US"/>
        </w:rPr>
      </w:pPr>
    </w:p>
    <w:p w:rsidR="00EA11C4" w:rsidRDefault="00EA11C4">
      <w:pPr>
        <w:rPr>
          <w:sz w:val="22"/>
          <w:szCs w:val="22"/>
          <w:lang w:eastAsia="en-US"/>
        </w:rPr>
      </w:pPr>
    </w:p>
    <w:p w:rsidR="00AC45E9" w:rsidRPr="00EA11C4" w:rsidRDefault="00AC45E9">
      <w:pPr>
        <w:rPr>
          <w:sz w:val="22"/>
          <w:szCs w:val="22"/>
        </w:rPr>
      </w:pPr>
      <w:r>
        <w:rPr>
          <w:sz w:val="22"/>
          <w:szCs w:val="22"/>
        </w:rPr>
        <w:t>AGR</w:t>
      </w:r>
      <w:r>
        <w:rPr>
          <w:sz w:val="22"/>
          <w:szCs w:val="22"/>
        </w:rPr>
        <w:tab/>
      </w:r>
      <w:r>
        <w:rPr>
          <w:sz w:val="22"/>
          <w:szCs w:val="22"/>
        </w:rPr>
        <w:tab/>
        <w:t xml:space="preserve">Activités Génératrices de Revenues </w:t>
      </w:r>
    </w:p>
    <w:p w:rsidR="00AC45E9" w:rsidRDefault="00AC45E9">
      <w:pPr>
        <w:rPr>
          <w:bCs/>
          <w:sz w:val="22"/>
          <w:szCs w:val="22"/>
        </w:rPr>
      </w:pPr>
      <w:r>
        <w:rPr>
          <w:bCs/>
          <w:sz w:val="22"/>
          <w:szCs w:val="22"/>
        </w:rPr>
        <w:t>AGUIAS</w:t>
      </w:r>
      <w:r>
        <w:rPr>
          <w:bCs/>
          <w:sz w:val="22"/>
          <w:szCs w:val="22"/>
        </w:rPr>
        <w:tab/>
        <w:t>Association Guinéenne des Assistantes Sociales</w:t>
      </w:r>
    </w:p>
    <w:p w:rsidR="00AC45E9" w:rsidRDefault="00AC45E9">
      <w:pPr>
        <w:rPr>
          <w:sz w:val="22"/>
          <w:szCs w:val="22"/>
        </w:rPr>
      </w:pPr>
      <w:r>
        <w:rPr>
          <w:sz w:val="22"/>
          <w:szCs w:val="22"/>
        </w:rPr>
        <w:t>BCR</w:t>
      </w:r>
      <w:r>
        <w:rPr>
          <w:sz w:val="22"/>
          <w:szCs w:val="22"/>
        </w:rPr>
        <w:tab/>
      </w:r>
      <w:r>
        <w:rPr>
          <w:sz w:val="22"/>
          <w:szCs w:val="22"/>
        </w:rPr>
        <w:tab/>
        <w:t xml:space="preserve">Bureau du Coordonnateur Résident </w:t>
      </w:r>
    </w:p>
    <w:p w:rsidR="00AC45E9" w:rsidRPr="00EA11C4" w:rsidRDefault="00AC45E9">
      <w:pPr>
        <w:rPr>
          <w:sz w:val="22"/>
          <w:szCs w:val="22"/>
        </w:rPr>
      </w:pPr>
      <w:r w:rsidRPr="00EA11C4">
        <w:rPr>
          <w:sz w:val="22"/>
          <w:szCs w:val="22"/>
        </w:rPr>
        <w:t>FDS</w:t>
      </w:r>
      <w:r w:rsidRPr="00EA11C4">
        <w:rPr>
          <w:sz w:val="22"/>
          <w:szCs w:val="22"/>
        </w:rPr>
        <w:tab/>
      </w:r>
      <w:r w:rsidRPr="00EA11C4">
        <w:rPr>
          <w:sz w:val="22"/>
          <w:szCs w:val="22"/>
        </w:rPr>
        <w:tab/>
        <w:t xml:space="preserve">Forces de Défense et de Sécurité </w:t>
      </w:r>
    </w:p>
    <w:p w:rsidR="00AC45E9" w:rsidRDefault="00AC45E9">
      <w:pPr>
        <w:rPr>
          <w:sz w:val="22"/>
          <w:szCs w:val="22"/>
        </w:rPr>
      </w:pPr>
      <w:r>
        <w:rPr>
          <w:sz w:val="22"/>
          <w:szCs w:val="22"/>
        </w:rPr>
        <w:t>HCDH</w:t>
      </w:r>
      <w:r>
        <w:rPr>
          <w:sz w:val="22"/>
          <w:szCs w:val="22"/>
        </w:rPr>
        <w:tab/>
      </w:r>
      <w:r>
        <w:rPr>
          <w:sz w:val="22"/>
          <w:szCs w:val="22"/>
        </w:rPr>
        <w:tab/>
      </w:r>
      <w:r w:rsidR="008844F4">
        <w:rPr>
          <w:sz w:val="22"/>
          <w:szCs w:val="22"/>
        </w:rPr>
        <w:t>Haut-Commissariat</w:t>
      </w:r>
      <w:r>
        <w:rPr>
          <w:sz w:val="22"/>
          <w:szCs w:val="22"/>
        </w:rPr>
        <w:t xml:space="preserve"> des Nations Unies pour les Droits de l’Homme</w:t>
      </w:r>
    </w:p>
    <w:p w:rsidR="00AC45E9" w:rsidRDefault="00AC45E9">
      <w:pPr>
        <w:rPr>
          <w:sz w:val="22"/>
          <w:szCs w:val="22"/>
        </w:rPr>
      </w:pPr>
      <w:r>
        <w:rPr>
          <w:sz w:val="22"/>
          <w:szCs w:val="22"/>
        </w:rPr>
        <w:t>I</w:t>
      </w:r>
      <w:r w:rsidRPr="00AD6515">
        <w:rPr>
          <w:sz w:val="22"/>
          <w:szCs w:val="22"/>
        </w:rPr>
        <w:t>BCR</w:t>
      </w:r>
      <w:r>
        <w:rPr>
          <w:sz w:val="22"/>
          <w:szCs w:val="22"/>
        </w:rPr>
        <w:tab/>
      </w:r>
      <w:r>
        <w:rPr>
          <w:sz w:val="22"/>
          <w:szCs w:val="22"/>
        </w:rPr>
        <w:tab/>
      </w:r>
      <w:r w:rsidRPr="00AD6515">
        <w:rPr>
          <w:sz w:val="22"/>
          <w:szCs w:val="22"/>
        </w:rPr>
        <w:t xml:space="preserve">Bureau International des droits de l’enfant </w:t>
      </w:r>
    </w:p>
    <w:p w:rsidR="00AC45E9" w:rsidRPr="00C10BD7" w:rsidRDefault="00AC45E9">
      <w:pPr>
        <w:rPr>
          <w:sz w:val="22"/>
          <w:szCs w:val="22"/>
          <w:lang w:val="en-US"/>
        </w:rPr>
      </w:pPr>
      <w:r w:rsidRPr="00C10BD7">
        <w:rPr>
          <w:sz w:val="22"/>
          <w:szCs w:val="22"/>
          <w:lang w:val="en-US"/>
        </w:rPr>
        <w:t>JHPIEGO</w:t>
      </w:r>
      <w:r w:rsidRPr="00C10BD7">
        <w:rPr>
          <w:sz w:val="22"/>
          <w:szCs w:val="22"/>
          <w:lang w:val="en-US"/>
        </w:rPr>
        <w:tab/>
      </w:r>
      <w:r w:rsidRPr="00AC45E9">
        <w:rPr>
          <w:sz w:val="22"/>
          <w:szCs w:val="22"/>
          <w:lang w:val="en-US"/>
        </w:rPr>
        <w:t>Johns Hopkins Program for International Education in Gynecology and Obstetrics</w:t>
      </w:r>
    </w:p>
    <w:p w:rsidR="00AC45E9" w:rsidRDefault="00AC45E9">
      <w:pPr>
        <w:rPr>
          <w:bCs/>
          <w:sz w:val="22"/>
          <w:szCs w:val="22"/>
        </w:rPr>
      </w:pPr>
      <w:r>
        <w:rPr>
          <w:bCs/>
          <w:sz w:val="22"/>
          <w:szCs w:val="22"/>
        </w:rPr>
        <w:t>MGF</w:t>
      </w:r>
      <w:r>
        <w:rPr>
          <w:bCs/>
          <w:sz w:val="22"/>
          <w:szCs w:val="22"/>
        </w:rPr>
        <w:tab/>
      </w:r>
      <w:r>
        <w:rPr>
          <w:bCs/>
          <w:sz w:val="22"/>
          <w:szCs w:val="22"/>
        </w:rPr>
        <w:tab/>
        <w:t xml:space="preserve">Mutilations Génitales Féminines </w:t>
      </w:r>
    </w:p>
    <w:p w:rsidR="00AC45E9" w:rsidRPr="00EA11C4" w:rsidRDefault="00AC45E9">
      <w:pPr>
        <w:rPr>
          <w:sz w:val="22"/>
          <w:szCs w:val="22"/>
          <w:lang w:eastAsia="en-US"/>
        </w:rPr>
      </w:pPr>
      <w:r w:rsidRPr="00EA11C4">
        <w:rPr>
          <w:sz w:val="22"/>
          <w:szCs w:val="22"/>
          <w:lang w:eastAsia="en-US"/>
        </w:rPr>
        <w:t xml:space="preserve">OPROGREM    </w:t>
      </w:r>
      <w:r w:rsidRPr="00EA11C4">
        <w:rPr>
          <w:sz w:val="22"/>
          <w:szCs w:val="22"/>
        </w:rPr>
        <w:t>Office pour la Protection du Genre, de l’Enfant et des Mœurs</w:t>
      </w:r>
      <w:r w:rsidRPr="00EA11C4">
        <w:rPr>
          <w:sz w:val="22"/>
          <w:szCs w:val="22"/>
          <w:lang w:eastAsia="en-US"/>
        </w:rPr>
        <w:t xml:space="preserve"> </w:t>
      </w:r>
    </w:p>
    <w:p w:rsidR="00AC45E9" w:rsidRPr="00EA11C4" w:rsidRDefault="00AC45E9">
      <w:pPr>
        <w:rPr>
          <w:sz w:val="22"/>
          <w:szCs w:val="22"/>
          <w:lang w:eastAsia="en-US"/>
        </w:rPr>
      </w:pPr>
      <w:r>
        <w:rPr>
          <w:bCs/>
          <w:sz w:val="22"/>
          <w:szCs w:val="22"/>
        </w:rPr>
        <w:t>PBSO</w:t>
      </w:r>
      <w:r>
        <w:rPr>
          <w:bCs/>
          <w:sz w:val="22"/>
          <w:szCs w:val="22"/>
        </w:rPr>
        <w:tab/>
      </w:r>
      <w:r>
        <w:rPr>
          <w:bCs/>
          <w:sz w:val="22"/>
          <w:szCs w:val="22"/>
        </w:rPr>
        <w:tab/>
        <w:t xml:space="preserve">Bureau d’Appui </w:t>
      </w:r>
      <w:proofErr w:type="spellStart"/>
      <w:r>
        <w:rPr>
          <w:bCs/>
          <w:sz w:val="22"/>
          <w:szCs w:val="22"/>
        </w:rPr>
        <w:t>a</w:t>
      </w:r>
      <w:proofErr w:type="spellEnd"/>
      <w:r>
        <w:rPr>
          <w:bCs/>
          <w:sz w:val="22"/>
          <w:szCs w:val="22"/>
        </w:rPr>
        <w:t xml:space="preserve"> la Consolidation de la Paix </w:t>
      </w:r>
    </w:p>
    <w:p w:rsidR="00AC45E9" w:rsidRDefault="00AC45E9">
      <w:pPr>
        <w:rPr>
          <w:bCs/>
          <w:sz w:val="22"/>
          <w:szCs w:val="22"/>
        </w:rPr>
      </w:pPr>
      <w:r w:rsidRPr="00EA11C4">
        <w:rPr>
          <w:sz w:val="22"/>
          <w:szCs w:val="22"/>
          <w:lang w:eastAsia="en-US"/>
        </w:rPr>
        <w:t xml:space="preserve">PCPPII </w:t>
      </w:r>
      <w:r w:rsidRPr="00EA11C4">
        <w:rPr>
          <w:bCs/>
          <w:sz w:val="22"/>
          <w:szCs w:val="22"/>
        </w:rPr>
        <w:tab/>
        <w:t>Second plan prioritai</w:t>
      </w:r>
      <w:r>
        <w:rPr>
          <w:bCs/>
          <w:sz w:val="22"/>
          <w:szCs w:val="22"/>
        </w:rPr>
        <w:t xml:space="preserve">re de consolidation de la paix  </w:t>
      </w:r>
    </w:p>
    <w:p w:rsidR="00AC45E9" w:rsidRDefault="00AC45E9">
      <w:pPr>
        <w:rPr>
          <w:bCs/>
          <w:sz w:val="22"/>
          <w:szCs w:val="22"/>
        </w:rPr>
      </w:pPr>
      <w:r>
        <w:rPr>
          <w:sz w:val="22"/>
          <w:szCs w:val="22"/>
        </w:rPr>
        <w:t>POS</w:t>
      </w:r>
      <w:r>
        <w:rPr>
          <w:sz w:val="22"/>
          <w:szCs w:val="22"/>
        </w:rPr>
        <w:tab/>
      </w:r>
      <w:r>
        <w:rPr>
          <w:sz w:val="22"/>
          <w:szCs w:val="22"/>
        </w:rPr>
        <w:tab/>
      </w:r>
      <w:r>
        <w:rPr>
          <w:bCs/>
          <w:sz w:val="22"/>
          <w:szCs w:val="22"/>
        </w:rPr>
        <w:t>Procédures Opérationnelles Standards</w:t>
      </w:r>
    </w:p>
    <w:p w:rsidR="00AC45E9" w:rsidRDefault="00AC45E9">
      <w:pPr>
        <w:rPr>
          <w:sz w:val="22"/>
          <w:szCs w:val="22"/>
        </w:rPr>
      </w:pPr>
      <w:r w:rsidRPr="00EA11C4">
        <w:rPr>
          <w:sz w:val="22"/>
          <w:szCs w:val="22"/>
          <w:lang w:eastAsia="en-US"/>
        </w:rPr>
        <w:t>VGB</w:t>
      </w:r>
      <w:r w:rsidRPr="00EA11C4">
        <w:rPr>
          <w:sz w:val="22"/>
          <w:szCs w:val="22"/>
          <w:lang w:eastAsia="en-US"/>
        </w:rPr>
        <w:tab/>
      </w:r>
      <w:r w:rsidRPr="00EA11C4">
        <w:rPr>
          <w:sz w:val="22"/>
          <w:szCs w:val="22"/>
          <w:lang w:eastAsia="en-US"/>
        </w:rPr>
        <w:tab/>
      </w:r>
      <w:r w:rsidRPr="00EA11C4">
        <w:rPr>
          <w:sz w:val="22"/>
          <w:szCs w:val="22"/>
        </w:rPr>
        <w:t xml:space="preserve">Violences basées sur le Genre </w:t>
      </w:r>
    </w:p>
    <w:p w:rsidR="00BF2E12" w:rsidRPr="00EA11C4" w:rsidRDefault="00BF2E12">
      <w:pPr>
        <w:rPr>
          <w:rFonts w:cs="Arial"/>
          <w:b/>
          <w:bCs/>
          <w:sz w:val="22"/>
          <w:szCs w:val="22"/>
        </w:rPr>
      </w:pPr>
      <w:r w:rsidRPr="00EA11C4">
        <w:rPr>
          <w:sz w:val="22"/>
          <w:szCs w:val="22"/>
        </w:rPr>
        <w:br w:type="page"/>
      </w:r>
    </w:p>
    <w:p w:rsidR="00264361" w:rsidRDefault="00264361" w:rsidP="004D18B1">
      <w:pPr>
        <w:pStyle w:val="Heading1"/>
        <w:tabs>
          <w:tab w:val="left" w:pos="360"/>
        </w:tabs>
        <w:ind w:left="0"/>
        <w:jc w:val="left"/>
        <w:rPr>
          <w:rFonts w:ascii="Times New Roman" w:hAnsi="Times New Roman"/>
        </w:rPr>
      </w:pPr>
      <w:r w:rsidRPr="00334073">
        <w:rPr>
          <w:rFonts w:ascii="Times New Roman" w:hAnsi="Times New Roman"/>
        </w:rPr>
        <w:lastRenderedPageBreak/>
        <w:t xml:space="preserve">RESUME ANALYTIQUE </w:t>
      </w:r>
    </w:p>
    <w:p w:rsidR="0024056E" w:rsidRDefault="0024056E" w:rsidP="0024056E"/>
    <w:p w:rsidR="00341825" w:rsidRDefault="0024056E" w:rsidP="00341825">
      <w:pPr>
        <w:pStyle w:val="BodyText2"/>
        <w:spacing w:after="0" w:line="240" w:lineRule="auto"/>
        <w:jc w:val="both"/>
        <w:rPr>
          <w:sz w:val="22"/>
          <w:szCs w:val="22"/>
          <w:lang w:eastAsia="en-US"/>
        </w:rPr>
      </w:pPr>
      <w:r w:rsidRPr="00DC4E20">
        <w:rPr>
          <w:sz w:val="22"/>
          <w:szCs w:val="22"/>
          <w:lang w:eastAsia="en-US"/>
        </w:rPr>
        <w:t xml:space="preserve">Les efforts de 2013 se sont focalisés sur le renforcement des capacités des intervenants en matière de prévention et de prise en charge des victimes et survivantes des VGB. Ainsi, </w:t>
      </w:r>
      <w:r w:rsidR="00DC4E20">
        <w:rPr>
          <w:sz w:val="22"/>
          <w:szCs w:val="22"/>
          <w:lang w:eastAsia="en-US"/>
        </w:rPr>
        <w:t xml:space="preserve">environ </w:t>
      </w:r>
      <w:r w:rsidR="00341825">
        <w:rPr>
          <w:sz w:val="22"/>
          <w:szCs w:val="22"/>
          <w:lang w:eastAsia="en-US"/>
        </w:rPr>
        <w:t>523</w:t>
      </w:r>
      <w:r w:rsidRPr="00DC4E20">
        <w:rPr>
          <w:sz w:val="22"/>
          <w:szCs w:val="22"/>
          <w:lang w:eastAsia="en-US"/>
        </w:rPr>
        <w:t xml:space="preserve"> intervenants ont renforcés leurs compétences et leurs outils de travail sur la prise en charge des VBG. Cet effectif inclut 150 policiers et gendarmes mieux habilités à assurer la prise en charge juridique des survivantes, 119 travailleurs et autres prestataires sociaux qui ont une meilleure maîtrise du processus et des outils de travail relatifs à la prise en charge psychosociale des survivantes</w:t>
      </w:r>
      <w:r w:rsidR="00DC4E20">
        <w:rPr>
          <w:sz w:val="22"/>
          <w:szCs w:val="22"/>
          <w:lang w:eastAsia="en-US"/>
        </w:rPr>
        <w:t>, 30 professionnels du corps médical, 120 professionnels de la justice pour l’accompagnement judicaire  et 5</w:t>
      </w:r>
      <w:r w:rsidRPr="00DC4E20">
        <w:rPr>
          <w:sz w:val="22"/>
          <w:szCs w:val="22"/>
          <w:lang w:eastAsia="en-US"/>
        </w:rPr>
        <w:t>0 instructeurs de police et de gendarmerie rendus aptes à utiliser</w:t>
      </w:r>
      <w:r w:rsidR="00F146CD">
        <w:rPr>
          <w:sz w:val="22"/>
          <w:szCs w:val="22"/>
          <w:lang w:eastAsia="en-US"/>
        </w:rPr>
        <w:t xml:space="preserve"> respectivement</w:t>
      </w:r>
      <w:r w:rsidRPr="00DC4E20">
        <w:rPr>
          <w:sz w:val="22"/>
          <w:szCs w:val="22"/>
          <w:lang w:eastAsia="en-US"/>
        </w:rPr>
        <w:t xml:space="preserve"> la trousse de formation de 6 outils pédagogiques pour dispenser le cours la trousse de formation initiale </w:t>
      </w:r>
      <w:r w:rsidR="00F146CD">
        <w:rPr>
          <w:sz w:val="22"/>
          <w:szCs w:val="22"/>
          <w:lang w:eastAsia="en-US"/>
        </w:rPr>
        <w:t xml:space="preserve">sur les droits de l’enfant et le modules sur les violences </w:t>
      </w:r>
      <w:r w:rsidR="00341825">
        <w:rPr>
          <w:sz w:val="22"/>
          <w:szCs w:val="22"/>
          <w:lang w:eastAsia="en-US"/>
        </w:rPr>
        <w:t>basées</w:t>
      </w:r>
      <w:r w:rsidR="00F146CD">
        <w:rPr>
          <w:sz w:val="22"/>
          <w:szCs w:val="22"/>
          <w:lang w:eastAsia="en-US"/>
        </w:rPr>
        <w:t xml:space="preserve"> sur le genre (VBG) </w:t>
      </w:r>
      <w:r w:rsidRPr="00DC4E20">
        <w:rPr>
          <w:sz w:val="22"/>
          <w:szCs w:val="22"/>
          <w:lang w:eastAsia="en-US"/>
        </w:rPr>
        <w:t>dans les 4 écoles nationales de police et de gendarmerie.</w:t>
      </w:r>
    </w:p>
    <w:p w:rsidR="00341825" w:rsidRDefault="00341825" w:rsidP="00341825">
      <w:pPr>
        <w:pStyle w:val="BodyText2"/>
        <w:spacing w:after="0" w:line="240" w:lineRule="auto"/>
        <w:jc w:val="both"/>
        <w:rPr>
          <w:sz w:val="22"/>
          <w:szCs w:val="22"/>
          <w:lang w:eastAsia="en-US"/>
        </w:rPr>
      </w:pPr>
    </w:p>
    <w:p w:rsidR="00341825" w:rsidRDefault="00341825" w:rsidP="00341825">
      <w:pPr>
        <w:pStyle w:val="BodyText2"/>
        <w:spacing w:after="0" w:line="240" w:lineRule="auto"/>
        <w:jc w:val="both"/>
        <w:rPr>
          <w:sz w:val="22"/>
          <w:szCs w:val="22"/>
          <w:lang w:eastAsia="en-US"/>
        </w:rPr>
      </w:pPr>
      <w:r>
        <w:rPr>
          <w:rFonts w:cs="Arial"/>
          <w:bCs/>
          <w:sz w:val="22"/>
          <w:szCs w:val="22"/>
        </w:rPr>
        <w:t xml:space="preserve">Quatre cadres des FDS ont aussi acquis des connaissances sur les </w:t>
      </w:r>
      <w:r w:rsidRPr="005D110C">
        <w:rPr>
          <w:sz w:val="22"/>
          <w:szCs w:val="22"/>
        </w:rPr>
        <w:t>nouvel</w:t>
      </w:r>
      <w:r>
        <w:rPr>
          <w:sz w:val="22"/>
          <w:szCs w:val="22"/>
        </w:rPr>
        <w:t>les approches d’éradication des VBG</w:t>
      </w:r>
      <w:r w:rsidRPr="006573F7">
        <w:rPr>
          <w:sz w:val="22"/>
          <w:szCs w:val="22"/>
        </w:rPr>
        <w:t xml:space="preserve"> </w:t>
      </w:r>
      <w:r>
        <w:rPr>
          <w:sz w:val="22"/>
          <w:szCs w:val="22"/>
        </w:rPr>
        <w:t xml:space="preserve">à travers des échanges Sud-Sud avec le Cote d’Ivoire et le Rwanda. Un programme de leadership des femmes a été piloté avec la formation initiale de 50 femmes FDS </w:t>
      </w:r>
      <w:r w:rsidRPr="006D35F0">
        <w:rPr>
          <w:sz w:val="22"/>
          <w:szCs w:val="22"/>
        </w:rPr>
        <w:t>sur les notions d’égalité et leadership à instaurer au sein des FDS</w:t>
      </w:r>
      <w:r>
        <w:rPr>
          <w:sz w:val="22"/>
          <w:szCs w:val="22"/>
        </w:rPr>
        <w:t xml:space="preserve">. Quant à l’amélioration du traitement des cas de VBG par la Police,  on relève la </w:t>
      </w:r>
      <w:r w:rsidRPr="0088420F">
        <w:rPr>
          <w:sz w:val="22"/>
          <w:szCs w:val="22"/>
        </w:rPr>
        <w:t>création et l’équipement de cinq Cellules VBG au sein des commissariats de polices et des escadrons de la gendarmerie</w:t>
      </w:r>
      <w:r>
        <w:rPr>
          <w:sz w:val="22"/>
          <w:szCs w:val="22"/>
        </w:rPr>
        <w:t xml:space="preserve">. </w:t>
      </w:r>
    </w:p>
    <w:p w:rsidR="00341825" w:rsidRPr="00DC4E20" w:rsidRDefault="00341825" w:rsidP="0024056E">
      <w:pPr>
        <w:pStyle w:val="BodyText2"/>
        <w:spacing w:after="0" w:line="240" w:lineRule="auto"/>
        <w:jc w:val="both"/>
        <w:rPr>
          <w:sz w:val="22"/>
          <w:szCs w:val="22"/>
          <w:lang w:eastAsia="en-US"/>
        </w:rPr>
      </w:pPr>
    </w:p>
    <w:p w:rsidR="009D65E9" w:rsidRDefault="00F146CD" w:rsidP="00F146CD">
      <w:pPr>
        <w:pStyle w:val="BodyText2"/>
        <w:spacing w:after="0" w:line="240" w:lineRule="auto"/>
        <w:jc w:val="both"/>
        <w:rPr>
          <w:sz w:val="22"/>
          <w:szCs w:val="22"/>
          <w:lang w:eastAsia="en-US"/>
        </w:rPr>
      </w:pPr>
      <w:r>
        <w:rPr>
          <w:sz w:val="22"/>
          <w:szCs w:val="22"/>
          <w:lang w:eastAsia="en-US"/>
        </w:rPr>
        <w:t>Le</w:t>
      </w:r>
      <w:r w:rsidR="0024056E" w:rsidRPr="00DC4E20">
        <w:rPr>
          <w:sz w:val="22"/>
          <w:szCs w:val="22"/>
          <w:lang w:eastAsia="en-US"/>
        </w:rPr>
        <w:t xml:space="preserve"> renforcement de</w:t>
      </w:r>
      <w:r w:rsidR="00341825">
        <w:rPr>
          <w:sz w:val="22"/>
          <w:szCs w:val="22"/>
          <w:lang w:eastAsia="en-US"/>
        </w:rPr>
        <w:t xml:space="preserve"> ce</w:t>
      </w:r>
      <w:r w:rsidR="0024056E" w:rsidRPr="00DC4E20">
        <w:rPr>
          <w:sz w:val="22"/>
          <w:szCs w:val="22"/>
          <w:lang w:eastAsia="en-US"/>
        </w:rPr>
        <w:t>s mécanismes de prévention et de prise en charge</w:t>
      </w:r>
      <w:r>
        <w:rPr>
          <w:sz w:val="22"/>
          <w:szCs w:val="22"/>
          <w:lang w:eastAsia="en-US"/>
        </w:rPr>
        <w:t xml:space="preserve"> des victimes ainsi que la professionnalisation des acteurs impliqu</w:t>
      </w:r>
      <w:r w:rsidRPr="00DC4E20">
        <w:rPr>
          <w:sz w:val="22"/>
          <w:szCs w:val="22"/>
          <w:lang w:eastAsia="en-US"/>
        </w:rPr>
        <w:t>é</w:t>
      </w:r>
      <w:r>
        <w:rPr>
          <w:sz w:val="22"/>
          <w:szCs w:val="22"/>
          <w:lang w:eastAsia="en-US"/>
        </w:rPr>
        <w:t>s dans la chaine de prise en charge ont significativement</w:t>
      </w:r>
      <w:r w:rsidR="0024056E" w:rsidRPr="00DC4E20">
        <w:rPr>
          <w:sz w:val="22"/>
          <w:szCs w:val="22"/>
          <w:lang w:eastAsia="en-US"/>
        </w:rPr>
        <w:t xml:space="preserve"> </w:t>
      </w:r>
      <w:r>
        <w:rPr>
          <w:bCs/>
          <w:sz w:val="22"/>
          <w:szCs w:val="22"/>
        </w:rPr>
        <w:t>contribué à une augmentation</w:t>
      </w:r>
      <w:r w:rsidR="00405A7B">
        <w:rPr>
          <w:bCs/>
          <w:sz w:val="22"/>
          <w:szCs w:val="22"/>
        </w:rPr>
        <w:t xml:space="preserve"> entre 2012 et 2013</w:t>
      </w:r>
      <w:r>
        <w:rPr>
          <w:bCs/>
          <w:sz w:val="22"/>
          <w:szCs w:val="22"/>
        </w:rPr>
        <w:t xml:space="preserve"> du cas de violences rapporté au sein des Unités pilotes de VBG dans les commissariats de police ainsi que les Cellules VBG au sein des structures médicales</w:t>
      </w:r>
      <w:r w:rsidR="000609E9">
        <w:rPr>
          <w:bCs/>
          <w:sz w:val="22"/>
          <w:szCs w:val="22"/>
        </w:rPr>
        <w:t xml:space="preserve"> (voir tableau 1)</w:t>
      </w:r>
      <w:r>
        <w:rPr>
          <w:bCs/>
          <w:sz w:val="22"/>
          <w:szCs w:val="22"/>
        </w:rPr>
        <w:t>.</w:t>
      </w:r>
      <w:r>
        <w:rPr>
          <w:sz w:val="22"/>
          <w:szCs w:val="22"/>
          <w:lang w:eastAsia="en-US"/>
        </w:rPr>
        <w:t xml:space="preserve"> </w:t>
      </w:r>
      <w:r w:rsidR="00405A7B">
        <w:rPr>
          <w:sz w:val="22"/>
          <w:szCs w:val="22"/>
          <w:lang w:eastAsia="en-US"/>
        </w:rPr>
        <w:t xml:space="preserve"> </w:t>
      </w:r>
      <w:r>
        <w:rPr>
          <w:sz w:val="22"/>
          <w:szCs w:val="22"/>
          <w:lang w:eastAsia="en-US"/>
        </w:rPr>
        <w:t>En effet, en 2013</w:t>
      </w:r>
      <w:r w:rsidR="00405A7B">
        <w:rPr>
          <w:sz w:val="22"/>
          <w:szCs w:val="22"/>
          <w:lang w:eastAsia="en-US"/>
        </w:rPr>
        <w:t>, l’Office pour la Protection du Genre, de l’Enfant et des Mœurs (OPROGEM) a enregistr</w:t>
      </w:r>
      <w:r w:rsidR="00405A7B">
        <w:rPr>
          <w:bCs/>
          <w:sz w:val="22"/>
          <w:szCs w:val="22"/>
        </w:rPr>
        <w:t>é</w:t>
      </w:r>
      <w:r w:rsidR="00405A7B">
        <w:rPr>
          <w:sz w:val="22"/>
          <w:szCs w:val="22"/>
          <w:lang w:eastAsia="en-US"/>
        </w:rPr>
        <w:t xml:space="preserve"> </w:t>
      </w:r>
      <w:r w:rsidR="00405A7B">
        <w:rPr>
          <w:sz w:val="22"/>
          <w:szCs w:val="22"/>
        </w:rPr>
        <w:t>689 cas contre seulement 83 cas en 2012</w:t>
      </w:r>
      <w:r w:rsidR="00405A7B" w:rsidRPr="00511ABB">
        <w:rPr>
          <w:sz w:val="22"/>
          <w:szCs w:val="22"/>
        </w:rPr>
        <w:t>.</w:t>
      </w:r>
      <w:r w:rsidR="00405A7B">
        <w:rPr>
          <w:sz w:val="22"/>
          <w:szCs w:val="22"/>
          <w:lang w:eastAsia="en-US"/>
        </w:rPr>
        <w:t xml:space="preserve"> U</w:t>
      </w:r>
      <w:r>
        <w:rPr>
          <w:sz w:val="22"/>
          <w:szCs w:val="22"/>
          <w:lang w:eastAsia="en-US"/>
        </w:rPr>
        <w:t>n total de</w:t>
      </w:r>
      <w:r w:rsidR="00341825">
        <w:rPr>
          <w:sz w:val="22"/>
          <w:szCs w:val="22"/>
        </w:rPr>
        <w:t xml:space="preserve"> 603</w:t>
      </w:r>
      <w:r>
        <w:rPr>
          <w:sz w:val="22"/>
          <w:szCs w:val="22"/>
        </w:rPr>
        <w:t xml:space="preserve"> </w:t>
      </w:r>
      <w:r w:rsidR="00405A7B">
        <w:rPr>
          <w:sz w:val="22"/>
          <w:szCs w:val="22"/>
        </w:rPr>
        <w:t xml:space="preserve">victimes </w:t>
      </w:r>
      <w:r>
        <w:rPr>
          <w:sz w:val="22"/>
          <w:szCs w:val="22"/>
        </w:rPr>
        <w:t>ont bénéficié d’assistance</w:t>
      </w:r>
      <w:r w:rsidR="00405A7B">
        <w:rPr>
          <w:sz w:val="22"/>
          <w:szCs w:val="22"/>
        </w:rPr>
        <w:t xml:space="preserve"> holistique</w:t>
      </w:r>
      <w:r>
        <w:rPr>
          <w:sz w:val="22"/>
          <w:szCs w:val="22"/>
        </w:rPr>
        <w:t>, dont 515 d’</w:t>
      </w:r>
      <w:r w:rsidRPr="007E1A2C">
        <w:rPr>
          <w:sz w:val="22"/>
          <w:szCs w:val="22"/>
        </w:rPr>
        <w:t xml:space="preserve">un appui médical, 54 d’un appui psychosocial et </w:t>
      </w:r>
      <w:r w:rsidR="009D65E9">
        <w:rPr>
          <w:sz w:val="22"/>
          <w:szCs w:val="22"/>
        </w:rPr>
        <w:t xml:space="preserve">34 </w:t>
      </w:r>
      <w:r w:rsidRPr="007E1A2C">
        <w:rPr>
          <w:sz w:val="22"/>
          <w:szCs w:val="22"/>
        </w:rPr>
        <w:t xml:space="preserve">d’un accompagnement judicaire. </w:t>
      </w:r>
      <w:r w:rsidR="00405A7B">
        <w:rPr>
          <w:sz w:val="22"/>
          <w:szCs w:val="22"/>
        </w:rPr>
        <w:t>En ce qui concerne l’appui médical les cas enregistr</w:t>
      </w:r>
      <w:r w:rsidR="00405A7B">
        <w:rPr>
          <w:bCs/>
          <w:sz w:val="22"/>
          <w:szCs w:val="22"/>
        </w:rPr>
        <w:t>é</w:t>
      </w:r>
      <w:r w:rsidR="00405A7B">
        <w:rPr>
          <w:sz w:val="22"/>
          <w:szCs w:val="22"/>
        </w:rPr>
        <w:t xml:space="preserve">s au sein des Cellules VBG </w:t>
      </w:r>
      <w:r w:rsidR="00E34B91">
        <w:rPr>
          <w:sz w:val="22"/>
          <w:szCs w:val="22"/>
        </w:rPr>
        <w:t>sont</w:t>
      </w:r>
      <w:r w:rsidR="00405A7B">
        <w:rPr>
          <w:sz w:val="22"/>
          <w:szCs w:val="22"/>
        </w:rPr>
        <w:t xml:space="preserve"> pass</w:t>
      </w:r>
      <w:r w:rsidR="00E34B91" w:rsidRPr="00DC4E20">
        <w:rPr>
          <w:sz w:val="22"/>
          <w:szCs w:val="22"/>
          <w:lang w:eastAsia="en-US"/>
        </w:rPr>
        <w:t>é</w:t>
      </w:r>
      <w:r w:rsidR="00E34B91">
        <w:rPr>
          <w:sz w:val="22"/>
          <w:szCs w:val="22"/>
          <w:lang w:eastAsia="en-US"/>
        </w:rPr>
        <w:t>s</w:t>
      </w:r>
      <w:r w:rsidR="00405A7B">
        <w:rPr>
          <w:sz w:val="22"/>
          <w:szCs w:val="22"/>
        </w:rPr>
        <w:t xml:space="preserve"> de 222 en 2012 à 515 en 2013. </w:t>
      </w:r>
    </w:p>
    <w:p w:rsidR="00341825" w:rsidRDefault="00341825" w:rsidP="00341825">
      <w:pPr>
        <w:pStyle w:val="BodyText2"/>
        <w:spacing w:after="0" w:line="240" w:lineRule="auto"/>
        <w:jc w:val="both"/>
        <w:rPr>
          <w:sz w:val="22"/>
          <w:szCs w:val="22"/>
          <w:lang w:eastAsia="en-US"/>
        </w:rPr>
      </w:pPr>
    </w:p>
    <w:p w:rsidR="009D65E9" w:rsidRDefault="00341825" w:rsidP="00F146CD">
      <w:pPr>
        <w:pStyle w:val="BodyText2"/>
        <w:spacing w:after="0" w:line="240" w:lineRule="auto"/>
        <w:jc w:val="both"/>
        <w:rPr>
          <w:sz w:val="22"/>
          <w:szCs w:val="22"/>
          <w:lang w:eastAsia="en-US"/>
        </w:rPr>
      </w:pPr>
      <w:r>
        <w:rPr>
          <w:sz w:val="22"/>
          <w:szCs w:val="22"/>
          <w:lang w:eastAsia="en-US"/>
        </w:rPr>
        <w:t xml:space="preserve">En outre, </w:t>
      </w:r>
      <w:r w:rsidRPr="00DC4E20">
        <w:rPr>
          <w:sz w:val="22"/>
          <w:szCs w:val="22"/>
          <w:lang w:eastAsia="en-US"/>
        </w:rPr>
        <w:t>93 communautés accompagnées et formées sur les thématiques de droits humains y inclus l’abandon de certaines pratiques des violences basées sur le genre ont publiquement déclaré leur engagement a abandonné les pratiques de mutilations génitales féminines et des mariages précoces et forcés. Le suivi exercé dans ces communautés laisse espérer un abandon volontaire effectif de ces pratiques depuis ces évènements. Une ligne verte a été appuyée pour renforcer le dispositif communautaire de protection des enfants et des femmes en matière d’identification, de référencement/suivi, de prise en charge et de réinsertion des survivantes.</w:t>
      </w:r>
    </w:p>
    <w:p w:rsidR="000C6E48" w:rsidRDefault="000C6E48" w:rsidP="001F52D0">
      <w:pPr>
        <w:pStyle w:val="BodyText2"/>
        <w:spacing w:after="0" w:line="240" w:lineRule="auto"/>
        <w:jc w:val="both"/>
        <w:rPr>
          <w:sz w:val="22"/>
          <w:szCs w:val="22"/>
          <w:lang w:eastAsia="en-US"/>
        </w:rPr>
      </w:pPr>
    </w:p>
    <w:p w:rsidR="001F52D0" w:rsidRDefault="00F146CD" w:rsidP="001F52D0">
      <w:pPr>
        <w:pStyle w:val="BodyText2"/>
        <w:spacing w:after="0" w:line="240" w:lineRule="auto"/>
        <w:jc w:val="both"/>
        <w:rPr>
          <w:sz w:val="22"/>
          <w:szCs w:val="22"/>
          <w:lang w:eastAsia="en-US"/>
        </w:rPr>
      </w:pPr>
      <w:r w:rsidRPr="007E1A2C">
        <w:rPr>
          <w:sz w:val="22"/>
          <w:szCs w:val="22"/>
        </w:rPr>
        <w:t>Le numéro vert 116 a également été réactivé</w:t>
      </w:r>
      <w:r>
        <w:rPr>
          <w:sz w:val="22"/>
          <w:szCs w:val="22"/>
        </w:rPr>
        <w:t xml:space="preserve"> et </w:t>
      </w:r>
      <w:r w:rsidRPr="00A47AD1">
        <w:rPr>
          <w:sz w:val="22"/>
          <w:szCs w:val="22"/>
        </w:rPr>
        <w:t xml:space="preserve">a permis de renforcer le dispositif communautaire d’identification, de référencement, de prise en charge et de réinsertion des survivantes de VBG. </w:t>
      </w:r>
      <w:r w:rsidR="001F52D0">
        <w:rPr>
          <w:sz w:val="22"/>
          <w:szCs w:val="22"/>
        </w:rPr>
        <w:t xml:space="preserve">En 2013, le Centre a reçu 12 183 cas de violence dont 28% de violences physiques, 34% de violences sexuelles, 30% de violences psychologiques et 6% de cas de négligence. </w:t>
      </w:r>
    </w:p>
    <w:p w:rsidR="001F52D0" w:rsidRDefault="001F52D0" w:rsidP="001F52D0">
      <w:pPr>
        <w:pStyle w:val="BodyText2"/>
        <w:spacing w:after="0" w:line="240" w:lineRule="auto"/>
        <w:jc w:val="both"/>
        <w:rPr>
          <w:sz w:val="22"/>
          <w:szCs w:val="22"/>
          <w:lang w:eastAsia="en-US"/>
        </w:rPr>
      </w:pPr>
    </w:p>
    <w:p w:rsidR="00DC4E20" w:rsidRDefault="001F52D0" w:rsidP="000C6E48">
      <w:pPr>
        <w:pStyle w:val="BodyText2"/>
        <w:spacing w:after="0" w:line="240" w:lineRule="auto"/>
        <w:jc w:val="both"/>
        <w:rPr>
          <w:bCs/>
          <w:sz w:val="22"/>
          <w:szCs w:val="22"/>
          <w:lang w:eastAsia="en-US"/>
        </w:rPr>
      </w:pPr>
      <w:r>
        <w:rPr>
          <w:bCs/>
          <w:sz w:val="22"/>
          <w:szCs w:val="22"/>
        </w:rPr>
        <w:t>E</w:t>
      </w:r>
      <w:r w:rsidR="00DC4E20">
        <w:rPr>
          <w:bCs/>
          <w:sz w:val="22"/>
          <w:szCs w:val="22"/>
        </w:rPr>
        <w:t>n</w:t>
      </w:r>
      <w:r>
        <w:rPr>
          <w:bCs/>
          <w:sz w:val="22"/>
          <w:szCs w:val="22"/>
        </w:rPr>
        <w:t xml:space="preserve"> ce qui concerne les perspectives pour</w:t>
      </w:r>
      <w:r w:rsidR="00DC4E20">
        <w:rPr>
          <w:bCs/>
          <w:sz w:val="22"/>
          <w:szCs w:val="22"/>
        </w:rPr>
        <w:t xml:space="preserve"> 2014, le projet devra se focaliser d’avantage sur la suite de la chaine pénale suivant les enquêtes préliminaires, notamment le traitement des dossiers en justice. En outre, </w:t>
      </w:r>
      <w:r w:rsidR="000609E9">
        <w:rPr>
          <w:bCs/>
          <w:sz w:val="22"/>
          <w:szCs w:val="22"/>
        </w:rPr>
        <w:t xml:space="preserve">l’accompagnement à court terme doit être renforcé par une </w:t>
      </w:r>
      <w:r w:rsidR="00DC4E20">
        <w:rPr>
          <w:bCs/>
          <w:sz w:val="22"/>
          <w:szCs w:val="22"/>
        </w:rPr>
        <w:t xml:space="preserve">assistance aux victimes dans le moyen terme pour assurer leur réintégration sociale et économique dans la société. Il y a un besoin d’harmoniser et rendre opérationnelle la base de données VBG et de promouvoir l’utilisation effective des Procédures Opérationnelles Standards.  </w:t>
      </w:r>
      <w:r>
        <w:rPr>
          <w:bCs/>
          <w:sz w:val="22"/>
          <w:szCs w:val="22"/>
          <w:lang w:eastAsia="en-US"/>
        </w:rPr>
        <w:t xml:space="preserve">Il est prévu </w:t>
      </w:r>
      <w:r w:rsidR="00E94C0F">
        <w:rPr>
          <w:bCs/>
          <w:sz w:val="22"/>
          <w:szCs w:val="22"/>
          <w:lang w:eastAsia="en-US"/>
        </w:rPr>
        <w:t xml:space="preserve">également </w:t>
      </w:r>
      <w:r>
        <w:rPr>
          <w:bCs/>
          <w:sz w:val="22"/>
          <w:szCs w:val="22"/>
          <w:lang w:eastAsia="en-US"/>
        </w:rPr>
        <w:t xml:space="preserve">en 2014 </w:t>
      </w:r>
      <w:r w:rsidRPr="00D73C2A">
        <w:rPr>
          <w:bCs/>
          <w:sz w:val="22"/>
          <w:szCs w:val="22"/>
          <w:lang w:eastAsia="en-US"/>
        </w:rPr>
        <w:t>un appui institutionnel à l’Observatoire National de Lutte contre les VBG, à travers la réhabilitation des locaux</w:t>
      </w:r>
      <w:r>
        <w:rPr>
          <w:bCs/>
          <w:sz w:val="22"/>
          <w:szCs w:val="22"/>
          <w:lang w:eastAsia="en-US"/>
        </w:rPr>
        <w:t xml:space="preserve">, </w:t>
      </w:r>
      <w:r w:rsidRPr="00D73C2A">
        <w:rPr>
          <w:bCs/>
          <w:sz w:val="22"/>
          <w:szCs w:val="22"/>
          <w:lang w:eastAsia="en-US"/>
        </w:rPr>
        <w:t>l’équipement en matériel informatique et bureautique</w:t>
      </w:r>
      <w:r>
        <w:rPr>
          <w:bCs/>
          <w:sz w:val="22"/>
          <w:szCs w:val="22"/>
          <w:lang w:eastAsia="en-US"/>
        </w:rPr>
        <w:t xml:space="preserve">, la formation et les échanges Sud-Sud. </w:t>
      </w:r>
    </w:p>
    <w:p w:rsidR="000C6E48" w:rsidRDefault="000C6E48" w:rsidP="000C6E48">
      <w:pPr>
        <w:pStyle w:val="BodyText2"/>
        <w:spacing w:after="0" w:line="240" w:lineRule="auto"/>
        <w:jc w:val="both"/>
        <w:rPr>
          <w:bCs/>
          <w:sz w:val="22"/>
          <w:szCs w:val="22"/>
        </w:rPr>
      </w:pPr>
    </w:p>
    <w:p w:rsidR="00DC4E20" w:rsidRPr="007F2F42" w:rsidRDefault="00DC4E20" w:rsidP="00341825">
      <w:pPr>
        <w:pStyle w:val="BodyText"/>
        <w:keepNext/>
        <w:keepLines/>
        <w:jc w:val="both"/>
        <w:rPr>
          <w:rFonts w:ascii="Times New Roman" w:hAnsi="Times New Roman"/>
          <w:bCs/>
          <w:sz w:val="22"/>
          <w:szCs w:val="22"/>
          <w:lang w:val="fr-FR"/>
        </w:rPr>
      </w:pPr>
      <w:r>
        <w:rPr>
          <w:rFonts w:ascii="Times New Roman" w:hAnsi="Times New Roman"/>
          <w:bCs/>
          <w:sz w:val="22"/>
          <w:szCs w:val="22"/>
          <w:lang w:val="fr-FR"/>
        </w:rPr>
        <w:t xml:space="preserve">Au niveau de la prise en compte du genre dans le processus de </w:t>
      </w:r>
      <w:proofErr w:type="spellStart"/>
      <w:r>
        <w:rPr>
          <w:rFonts w:ascii="Times New Roman" w:hAnsi="Times New Roman"/>
          <w:bCs/>
          <w:sz w:val="22"/>
          <w:szCs w:val="22"/>
          <w:lang w:val="fr-FR"/>
        </w:rPr>
        <w:t>reforme</w:t>
      </w:r>
      <w:proofErr w:type="spellEnd"/>
      <w:r>
        <w:rPr>
          <w:rFonts w:ascii="Times New Roman" w:hAnsi="Times New Roman"/>
          <w:bCs/>
          <w:sz w:val="22"/>
          <w:szCs w:val="22"/>
          <w:lang w:val="fr-FR"/>
        </w:rPr>
        <w:t xml:space="preserve"> du secteur de sécurité on constate certes une volonté politique accrue pour aborder ces questions. Cela s’est manifest</w:t>
      </w:r>
      <w:r w:rsidR="00E34B91">
        <w:rPr>
          <w:rFonts w:ascii="Times New Roman" w:hAnsi="Times New Roman"/>
          <w:bCs/>
          <w:sz w:val="22"/>
          <w:szCs w:val="22"/>
          <w:lang w:val="fr-FR"/>
        </w:rPr>
        <w:t>é</w:t>
      </w:r>
      <w:r>
        <w:rPr>
          <w:rFonts w:ascii="Times New Roman" w:hAnsi="Times New Roman"/>
          <w:bCs/>
          <w:sz w:val="22"/>
          <w:szCs w:val="22"/>
          <w:lang w:val="fr-FR"/>
        </w:rPr>
        <w:t xml:space="preserve"> notamment </w:t>
      </w:r>
      <w:r w:rsidR="00E34B91">
        <w:rPr>
          <w:rFonts w:ascii="Times New Roman" w:hAnsi="Times New Roman"/>
          <w:bCs/>
          <w:sz w:val="22"/>
          <w:szCs w:val="22"/>
          <w:lang w:val="fr-FR"/>
        </w:rPr>
        <w:t>par</w:t>
      </w:r>
      <w:r>
        <w:rPr>
          <w:rFonts w:ascii="Times New Roman" w:hAnsi="Times New Roman"/>
          <w:bCs/>
          <w:sz w:val="22"/>
          <w:szCs w:val="22"/>
          <w:lang w:val="fr-FR"/>
        </w:rPr>
        <w:t xml:space="preserve"> l’intégration d’une disposition de discrimination positive pour le recrutement des femmes dans les nouveaux statuts de la Police et de la Sécurité Intérieure, or,  un travail stratégique plus pouss</w:t>
      </w:r>
      <w:r w:rsidR="001F52D0">
        <w:rPr>
          <w:rFonts w:ascii="Times New Roman" w:hAnsi="Times New Roman"/>
          <w:bCs/>
          <w:sz w:val="22"/>
          <w:szCs w:val="22"/>
          <w:lang w:val="fr-FR"/>
        </w:rPr>
        <w:t>é</w:t>
      </w:r>
      <w:r>
        <w:rPr>
          <w:rFonts w:ascii="Times New Roman" w:hAnsi="Times New Roman"/>
          <w:bCs/>
          <w:sz w:val="22"/>
          <w:szCs w:val="22"/>
          <w:lang w:val="fr-FR"/>
        </w:rPr>
        <w:t xml:space="preserve"> doit être fait afin que les interventions opérationnelles puissent réellement</w:t>
      </w:r>
      <w:r w:rsidR="001F52D0">
        <w:rPr>
          <w:rFonts w:ascii="Times New Roman" w:hAnsi="Times New Roman"/>
          <w:bCs/>
          <w:sz w:val="22"/>
          <w:szCs w:val="22"/>
          <w:lang w:val="fr-FR"/>
        </w:rPr>
        <w:t xml:space="preserve"> avoir un impact et aboutir </w:t>
      </w:r>
      <w:proofErr w:type="spellStart"/>
      <w:r w:rsidR="001F52D0">
        <w:rPr>
          <w:rFonts w:ascii="Times New Roman" w:hAnsi="Times New Roman"/>
          <w:bCs/>
          <w:sz w:val="22"/>
          <w:szCs w:val="22"/>
          <w:lang w:val="fr-FR"/>
        </w:rPr>
        <w:t>a</w:t>
      </w:r>
      <w:proofErr w:type="spellEnd"/>
      <w:r w:rsidR="001F52D0">
        <w:rPr>
          <w:rFonts w:ascii="Times New Roman" w:hAnsi="Times New Roman"/>
          <w:bCs/>
          <w:sz w:val="22"/>
          <w:szCs w:val="22"/>
          <w:lang w:val="fr-FR"/>
        </w:rPr>
        <w:t xml:space="preserve"> une institutionnalisation</w:t>
      </w:r>
      <w:r w:rsidR="00E34B91">
        <w:rPr>
          <w:rFonts w:ascii="Times New Roman" w:hAnsi="Times New Roman"/>
          <w:bCs/>
          <w:sz w:val="22"/>
          <w:szCs w:val="22"/>
          <w:lang w:val="fr-FR"/>
        </w:rPr>
        <w:t xml:space="preserve"> pérennes de la dimension</w:t>
      </w:r>
      <w:r w:rsidR="001F52D0">
        <w:rPr>
          <w:rFonts w:ascii="Times New Roman" w:hAnsi="Times New Roman"/>
          <w:bCs/>
          <w:sz w:val="22"/>
          <w:szCs w:val="22"/>
          <w:lang w:val="fr-FR"/>
        </w:rPr>
        <w:t xml:space="preserve"> Genre au sein des FDS.</w:t>
      </w:r>
      <w:r w:rsidR="000609E9">
        <w:rPr>
          <w:rFonts w:ascii="Times New Roman" w:hAnsi="Times New Roman"/>
          <w:bCs/>
          <w:sz w:val="22"/>
          <w:szCs w:val="22"/>
          <w:lang w:val="fr-FR"/>
        </w:rPr>
        <w:t xml:space="preserve"> Aussi, pour s’assurer que les actions d’accompagnement juridique et judicaire des victimes </w:t>
      </w:r>
      <w:r w:rsidR="000C6E48">
        <w:rPr>
          <w:rFonts w:ascii="Times New Roman" w:hAnsi="Times New Roman"/>
          <w:bCs/>
          <w:sz w:val="22"/>
          <w:szCs w:val="22"/>
          <w:lang w:val="fr-FR"/>
        </w:rPr>
        <w:t>soient pérennes il faudra que le</w:t>
      </w:r>
      <w:r w:rsidR="000609E9">
        <w:rPr>
          <w:rFonts w:ascii="Times New Roman" w:hAnsi="Times New Roman"/>
          <w:bCs/>
          <w:sz w:val="22"/>
          <w:szCs w:val="22"/>
          <w:lang w:val="fr-FR"/>
        </w:rPr>
        <w:t xml:space="preserve"> renforcement du cadre </w:t>
      </w:r>
      <w:r w:rsidR="000C6E48">
        <w:rPr>
          <w:rFonts w:ascii="Times New Roman" w:hAnsi="Times New Roman"/>
          <w:bCs/>
          <w:sz w:val="22"/>
          <w:szCs w:val="22"/>
          <w:lang w:val="fr-FR"/>
        </w:rPr>
        <w:t>légal</w:t>
      </w:r>
      <w:r w:rsidR="000609E9">
        <w:rPr>
          <w:rFonts w:ascii="Times New Roman" w:hAnsi="Times New Roman"/>
          <w:bCs/>
          <w:sz w:val="22"/>
          <w:szCs w:val="22"/>
          <w:lang w:val="fr-FR"/>
        </w:rPr>
        <w:t xml:space="preserve"> de protection des femmes, </w:t>
      </w:r>
      <w:r w:rsidR="000C6E48">
        <w:rPr>
          <w:rFonts w:ascii="Times New Roman" w:hAnsi="Times New Roman"/>
          <w:bCs/>
          <w:sz w:val="22"/>
          <w:szCs w:val="22"/>
          <w:lang w:val="fr-FR"/>
        </w:rPr>
        <w:t xml:space="preserve">et l’accès des femmes </w:t>
      </w:r>
      <w:r w:rsidR="000C6E48" w:rsidRPr="000C6E48">
        <w:rPr>
          <w:rFonts w:ascii="Times New Roman" w:hAnsi="Times New Roman"/>
          <w:bCs/>
          <w:sz w:val="22"/>
          <w:szCs w:val="22"/>
          <w:lang w:val="fr-FR"/>
        </w:rPr>
        <w:t>à</w:t>
      </w:r>
      <w:r w:rsidR="000C6E48">
        <w:rPr>
          <w:rFonts w:ascii="Times New Roman" w:hAnsi="Times New Roman"/>
          <w:bCs/>
          <w:sz w:val="22"/>
          <w:szCs w:val="22"/>
          <w:lang w:val="fr-FR"/>
        </w:rPr>
        <w:t xml:space="preserve"> la justice fassent partie intégrante du</w:t>
      </w:r>
      <w:r w:rsidR="000609E9">
        <w:rPr>
          <w:rFonts w:ascii="Times New Roman" w:hAnsi="Times New Roman"/>
          <w:bCs/>
          <w:sz w:val="22"/>
          <w:szCs w:val="22"/>
          <w:lang w:val="fr-FR"/>
        </w:rPr>
        <w:t xml:space="preserve"> processus de </w:t>
      </w:r>
      <w:proofErr w:type="spellStart"/>
      <w:r w:rsidR="000609E9">
        <w:rPr>
          <w:rFonts w:ascii="Times New Roman" w:hAnsi="Times New Roman"/>
          <w:bCs/>
          <w:sz w:val="22"/>
          <w:szCs w:val="22"/>
          <w:lang w:val="fr-FR"/>
        </w:rPr>
        <w:t>reforme</w:t>
      </w:r>
      <w:proofErr w:type="spellEnd"/>
      <w:r w:rsidR="000609E9">
        <w:rPr>
          <w:rFonts w:ascii="Times New Roman" w:hAnsi="Times New Roman"/>
          <w:bCs/>
          <w:sz w:val="22"/>
          <w:szCs w:val="22"/>
          <w:lang w:val="fr-FR"/>
        </w:rPr>
        <w:t xml:space="preserve"> du secteur de la justice </w:t>
      </w:r>
      <w:r w:rsidR="000C6E48">
        <w:rPr>
          <w:rFonts w:ascii="Times New Roman" w:hAnsi="Times New Roman"/>
          <w:bCs/>
          <w:sz w:val="22"/>
          <w:szCs w:val="22"/>
          <w:lang w:val="fr-FR"/>
        </w:rPr>
        <w:t xml:space="preserve">piloté par l’Union Européenne. </w:t>
      </w:r>
    </w:p>
    <w:p w:rsidR="00DC4E20" w:rsidRPr="00DC4E20" w:rsidRDefault="00DC4E20" w:rsidP="0024056E">
      <w:pPr>
        <w:pStyle w:val="BodyText2"/>
        <w:spacing w:after="0" w:line="240" w:lineRule="auto"/>
        <w:jc w:val="both"/>
        <w:rPr>
          <w:sz w:val="22"/>
          <w:szCs w:val="22"/>
          <w:lang w:eastAsia="en-US"/>
        </w:rPr>
      </w:pPr>
    </w:p>
    <w:p w:rsidR="00264361" w:rsidRPr="00334073" w:rsidRDefault="00264361" w:rsidP="004D18B1">
      <w:pPr>
        <w:pStyle w:val="Heading1"/>
        <w:numPr>
          <w:ilvl w:val="0"/>
          <w:numId w:val="1"/>
        </w:numPr>
        <w:tabs>
          <w:tab w:val="clear" w:pos="1080"/>
          <w:tab w:val="left" w:pos="360"/>
        </w:tabs>
        <w:ind w:left="360" w:hanging="360"/>
        <w:jc w:val="left"/>
        <w:rPr>
          <w:rFonts w:ascii="Times New Roman" w:hAnsi="Times New Roman"/>
        </w:rPr>
      </w:pPr>
      <w:bookmarkStart w:id="1" w:name="_Toc249364483"/>
      <w:r w:rsidRPr="00334073">
        <w:rPr>
          <w:rFonts w:ascii="Times New Roman" w:hAnsi="Times New Roman"/>
        </w:rPr>
        <w:lastRenderedPageBreak/>
        <w:t>But</w:t>
      </w:r>
      <w:bookmarkEnd w:id="1"/>
    </w:p>
    <w:p w:rsidR="00264361" w:rsidRPr="001F52D0" w:rsidRDefault="00264361" w:rsidP="004954F9">
      <w:pPr>
        <w:pStyle w:val="BodyText"/>
        <w:jc w:val="both"/>
        <w:rPr>
          <w:rFonts w:ascii="Times New Roman" w:hAnsi="Times New Roman"/>
          <w:sz w:val="22"/>
          <w:szCs w:val="22"/>
          <w:lang w:val="fr-FR"/>
        </w:rPr>
      </w:pPr>
    </w:p>
    <w:p w:rsidR="004954F9" w:rsidRPr="001F52D0" w:rsidRDefault="004954F9" w:rsidP="004954F9">
      <w:pPr>
        <w:pStyle w:val="NormalWeb"/>
        <w:spacing w:before="0" w:after="0" w:line="240" w:lineRule="auto"/>
        <w:jc w:val="both"/>
        <w:rPr>
          <w:sz w:val="22"/>
          <w:szCs w:val="22"/>
          <w:lang w:val="fr-FR"/>
        </w:rPr>
      </w:pPr>
      <w:r w:rsidRPr="001F52D0">
        <w:rPr>
          <w:sz w:val="22"/>
          <w:szCs w:val="22"/>
          <w:lang w:val="fr-FR"/>
        </w:rPr>
        <w:t xml:space="preserve">Le programme a pour but de contribuer aux efforts de consolidation de la paix en République de Guinée à travers la prévention, la réponse aux violences et l’intégration du genre dans la réforme du système de sécurité, conformément aux </w:t>
      </w:r>
      <w:r w:rsidRPr="001F52D0">
        <w:rPr>
          <w:bCs/>
          <w:sz w:val="22"/>
          <w:szCs w:val="22"/>
          <w:lang w:val="fr-FR"/>
        </w:rPr>
        <w:t xml:space="preserve">objectifs du second plan prioritaire de consolidation de la paix (PCPPII) en Guinée. Les objectifs spécifiques du programme sont de (i) </w:t>
      </w:r>
      <w:r w:rsidRPr="001F52D0">
        <w:rPr>
          <w:sz w:val="22"/>
          <w:szCs w:val="22"/>
          <w:lang w:val="fr-FR"/>
        </w:rPr>
        <w:t xml:space="preserve">renforcer les capacités des forces de défense et de sécurité pour prévenir les violences sexuelles dans le cadre de la réforme du secteur de la sécurité conformément aux résolutions du Conseil de sécurité des Nations Unies sur les femmes, paix et sécurité (1325, 1820, 1888, 1889 et 1960) ; (ii) renforcer la prévention des violences sexuelles et autres formes de violences basées sur le genre par les institutions (santé, justice, sécurité), les </w:t>
      </w:r>
      <w:proofErr w:type="spellStart"/>
      <w:r w:rsidRPr="001F52D0">
        <w:rPr>
          <w:sz w:val="22"/>
          <w:szCs w:val="22"/>
          <w:lang w:val="fr-FR"/>
        </w:rPr>
        <w:t>ONGs</w:t>
      </w:r>
      <w:proofErr w:type="spellEnd"/>
      <w:r w:rsidRPr="001F52D0">
        <w:rPr>
          <w:sz w:val="22"/>
          <w:szCs w:val="22"/>
          <w:lang w:val="fr-FR"/>
        </w:rPr>
        <w:t>, les jeunes, les écoles et les communautés à travers le dispositif de protection à base communautaire (iii) renforcer la réponse judiciaire et la lutte contre l'impunité. Le programme contribuera à l’atteinte des résultats globaux 1, 2 et 8 du Fonds de Consolidation de la Paix liés respectivement à l’amélioration des capacités des Forces de Défense et de l’Armée (résultat 1), le renforcement du système judicaire (résultat 2) et l’autonomisation des femmes dans un contexte post-crise (résultat 8).</w:t>
      </w:r>
    </w:p>
    <w:p w:rsidR="001F52D0" w:rsidRDefault="001F52D0" w:rsidP="001F52D0">
      <w:pPr>
        <w:pStyle w:val="BodyText"/>
        <w:jc w:val="both"/>
        <w:rPr>
          <w:rFonts w:ascii="Times New Roman" w:hAnsi="Times New Roman"/>
          <w:b/>
          <w:sz w:val="24"/>
          <w:lang w:val="fr-FR"/>
        </w:rPr>
      </w:pPr>
    </w:p>
    <w:p w:rsidR="001F52D0" w:rsidRPr="00334073" w:rsidRDefault="001F52D0" w:rsidP="001F52D0">
      <w:pPr>
        <w:pStyle w:val="BodyText"/>
        <w:jc w:val="both"/>
        <w:rPr>
          <w:rFonts w:ascii="Times New Roman" w:hAnsi="Times New Roman"/>
          <w:sz w:val="16"/>
          <w:lang w:val="fr-FR"/>
        </w:rPr>
      </w:pPr>
    </w:p>
    <w:p w:rsidR="00264361" w:rsidRPr="00334073" w:rsidRDefault="00264361" w:rsidP="004D18B1">
      <w:pPr>
        <w:pStyle w:val="Heading1"/>
        <w:numPr>
          <w:ilvl w:val="0"/>
          <w:numId w:val="1"/>
        </w:numPr>
        <w:tabs>
          <w:tab w:val="clear" w:pos="1080"/>
          <w:tab w:val="left" w:pos="360"/>
        </w:tabs>
        <w:ind w:left="360" w:hanging="360"/>
        <w:jc w:val="left"/>
        <w:rPr>
          <w:rFonts w:ascii="Times New Roman" w:hAnsi="Times New Roman"/>
        </w:rPr>
      </w:pPr>
      <w:bookmarkStart w:id="2" w:name="_Toc249364486"/>
      <w:r w:rsidRPr="00334073">
        <w:rPr>
          <w:rFonts w:ascii="Times New Roman" w:hAnsi="Times New Roman"/>
        </w:rPr>
        <w:t>Résultats</w:t>
      </w:r>
      <w:bookmarkEnd w:id="2"/>
      <w:r w:rsidRPr="00334073">
        <w:rPr>
          <w:rFonts w:ascii="Times New Roman" w:hAnsi="Times New Roman"/>
        </w:rPr>
        <w:t xml:space="preserve"> </w:t>
      </w:r>
    </w:p>
    <w:p w:rsidR="00264361" w:rsidRPr="00334073" w:rsidRDefault="00264361" w:rsidP="004D18B1"/>
    <w:p w:rsidR="00264361" w:rsidRPr="00DF410C" w:rsidRDefault="00DF410C" w:rsidP="00DF410C">
      <w:pPr>
        <w:pStyle w:val="ListParagraph"/>
        <w:numPr>
          <w:ilvl w:val="1"/>
          <w:numId w:val="18"/>
        </w:numPr>
        <w:rPr>
          <w:b/>
        </w:rPr>
      </w:pPr>
      <w:r>
        <w:rPr>
          <w:b/>
        </w:rPr>
        <w:t xml:space="preserve"> </w:t>
      </w:r>
      <w:r w:rsidR="00264361" w:rsidRPr="00DF410C">
        <w:rPr>
          <w:b/>
        </w:rPr>
        <w:t>Rapport narratif sur les résultats:</w:t>
      </w:r>
    </w:p>
    <w:p w:rsidR="00264361" w:rsidRPr="00334073" w:rsidRDefault="00264361" w:rsidP="00DF410C"/>
    <w:p w:rsidR="00264361" w:rsidRPr="00DF410C" w:rsidRDefault="00264361" w:rsidP="00DF410C">
      <w:pPr>
        <w:pStyle w:val="BodyText"/>
        <w:numPr>
          <w:ilvl w:val="0"/>
          <w:numId w:val="4"/>
        </w:numPr>
        <w:ind w:left="709"/>
        <w:jc w:val="both"/>
        <w:rPr>
          <w:rFonts w:ascii="Times New Roman" w:hAnsi="Times New Roman"/>
          <w:sz w:val="24"/>
          <w:lang w:val="fr-FR"/>
        </w:rPr>
      </w:pPr>
      <w:r w:rsidRPr="00DF410C">
        <w:rPr>
          <w:rFonts w:ascii="Times New Roman" w:hAnsi="Times New Roman"/>
          <w:b/>
          <w:sz w:val="24"/>
          <w:lang w:val="fr-FR"/>
        </w:rPr>
        <w:t>Résultats</w:t>
      </w:r>
      <w:r w:rsidR="005F43B8">
        <w:rPr>
          <w:rFonts w:ascii="Times New Roman" w:hAnsi="Times New Roman"/>
          <w:b/>
          <w:sz w:val="24"/>
          <w:lang w:val="fr-FR"/>
        </w:rPr>
        <w:t xml:space="preserve"> et Produits </w:t>
      </w:r>
    </w:p>
    <w:p w:rsidR="00DF410C" w:rsidRDefault="00DF410C" w:rsidP="00DF410C">
      <w:pPr>
        <w:pStyle w:val="BodyText"/>
        <w:ind w:left="709"/>
        <w:jc w:val="both"/>
        <w:rPr>
          <w:rFonts w:ascii="Times New Roman" w:hAnsi="Times New Roman"/>
          <w:sz w:val="24"/>
          <w:u w:val="single"/>
          <w:lang w:val="fr-FR"/>
        </w:rPr>
      </w:pPr>
    </w:p>
    <w:p w:rsidR="00DF410C" w:rsidRDefault="00DF410C" w:rsidP="00DF410C">
      <w:pPr>
        <w:pStyle w:val="BodyText2"/>
        <w:spacing w:after="0" w:line="240" w:lineRule="auto"/>
        <w:ind w:left="349"/>
        <w:jc w:val="both"/>
        <w:rPr>
          <w:rFonts w:cs="Arial"/>
          <w:b/>
          <w:bCs/>
          <w:szCs w:val="20"/>
        </w:rPr>
      </w:pPr>
      <w:r w:rsidRPr="00CB637A">
        <w:rPr>
          <w:rFonts w:cs="Arial"/>
          <w:b/>
          <w:bCs/>
          <w:szCs w:val="20"/>
        </w:rPr>
        <w:t>Résultat 1 : Les Forces de Défense et de Sécurité sont en mesure de prendre en charge des cas de VBG</w:t>
      </w:r>
    </w:p>
    <w:p w:rsidR="00F7429A" w:rsidRDefault="00F7429A" w:rsidP="00DF410C">
      <w:pPr>
        <w:pStyle w:val="BodyText2"/>
        <w:spacing w:after="0" w:line="240" w:lineRule="auto"/>
        <w:ind w:left="349"/>
        <w:jc w:val="both"/>
        <w:rPr>
          <w:rFonts w:cs="Arial"/>
          <w:b/>
          <w:bCs/>
          <w:szCs w:val="20"/>
        </w:rPr>
      </w:pPr>
    </w:p>
    <w:p w:rsidR="006C7598" w:rsidRDefault="00F7429A" w:rsidP="006C7598">
      <w:pPr>
        <w:pStyle w:val="BodyText2"/>
        <w:spacing w:after="0" w:line="240" w:lineRule="auto"/>
        <w:ind w:left="349"/>
        <w:jc w:val="both"/>
        <w:rPr>
          <w:sz w:val="22"/>
          <w:szCs w:val="22"/>
        </w:rPr>
      </w:pPr>
      <w:r w:rsidRPr="006573F7">
        <w:rPr>
          <w:rFonts w:cs="Arial"/>
          <w:bCs/>
          <w:sz w:val="22"/>
          <w:szCs w:val="22"/>
        </w:rPr>
        <w:t xml:space="preserve">Les acquis clés pour ce résultat portent </w:t>
      </w:r>
      <w:r w:rsidR="006573F7">
        <w:rPr>
          <w:rFonts w:cs="Arial"/>
          <w:bCs/>
          <w:sz w:val="22"/>
          <w:szCs w:val="22"/>
        </w:rPr>
        <w:t xml:space="preserve">le renforcement des capacités des Officiers de la Police </w:t>
      </w:r>
      <w:proofErr w:type="spellStart"/>
      <w:r w:rsidR="006573F7">
        <w:rPr>
          <w:rFonts w:cs="Arial"/>
          <w:bCs/>
          <w:sz w:val="22"/>
          <w:szCs w:val="22"/>
        </w:rPr>
        <w:t>Judicaire</w:t>
      </w:r>
      <w:proofErr w:type="spellEnd"/>
      <w:r w:rsidR="006573F7">
        <w:rPr>
          <w:rFonts w:cs="Arial"/>
          <w:bCs/>
          <w:sz w:val="22"/>
          <w:szCs w:val="22"/>
        </w:rPr>
        <w:t xml:space="preserve"> (OPJ)  sur le</w:t>
      </w:r>
      <w:r w:rsidR="006573F7" w:rsidRPr="006573F7">
        <w:rPr>
          <w:rFonts w:cs="Arial"/>
          <w:bCs/>
          <w:sz w:val="22"/>
          <w:szCs w:val="22"/>
        </w:rPr>
        <w:t xml:space="preserve"> processus de prise en charge juridique, la collecte et </w:t>
      </w:r>
      <w:proofErr w:type="spellStart"/>
      <w:r w:rsidR="006573F7" w:rsidRPr="006573F7">
        <w:rPr>
          <w:rFonts w:cs="Arial"/>
          <w:bCs/>
          <w:sz w:val="22"/>
          <w:szCs w:val="22"/>
        </w:rPr>
        <w:t>reporting</w:t>
      </w:r>
      <w:proofErr w:type="spellEnd"/>
      <w:r w:rsidR="006573F7" w:rsidRPr="006573F7">
        <w:rPr>
          <w:rFonts w:cs="Arial"/>
          <w:bCs/>
          <w:sz w:val="22"/>
          <w:szCs w:val="22"/>
        </w:rPr>
        <w:t xml:space="preserve"> des données sur les cas </w:t>
      </w:r>
      <w:r w:rsidR="006573F7">
        <w:rPr>
          <w:rFonts w:cs="Arial"/>
          <w:bCs/>
          <w:sz w:val="22"/>
          <w:szCs w:val="22"/>
        </w:rPr>
        <w:t xml:space="preserve">de VBG </w:t>
      </w:r>
      <w:r w:rsidR="006573F7" w:rsidRPr="006573F7">
        <w:rPr>
          <w:rFonts w:cs="Arial"/>
          <w:bCs/>
          <w:sz w:val="22"/>
          <w:szCs w:val="22"/>
        </w:rPr>
        <w:t xml:space="preserve">assistés. </w:t>
      </w:r>
      <w:r w:rsidR="006573F7">
        <w:rPr>
          <w:rFonts w:cs="Arial"/>
          <w:bCs/>
          <w:sz w:val="22"/>
          <w:szCs w:val="22"/>
        </w:rPr>
        <w:t xml:space="preserve">Outre cette formation, </w:t>
      </w:r>
      <w:r w:rsidRPr="006573F7">
        <w:rPr>
          <w:rFonts w:cs="Arial"/>
          <w:bCs/>
          <w:sz w:val="22"/>
          <w:szCs w:val="22"/>
        </w:rPr>
        <w:t xml:space="preserve">l’institutionnalisation des modules VBG et Droits de l’Enfant au sein </w:t>
      </w:r>
      <w:r w:rsidR="006573F7">
        <w:rPr>
          <w:rFonts w:cs="Arial"/>
          <w:bCs/>
          <w:sz w:val="22"/>
          <w:szCs w:val="22"/>
        </w:rPr>
        <w:t xml:space="preserve">des curricula </w:t>
      </w:r>
      <w:r w:rsidRPr="006573F7">
        <w:rPr>
          <w:rFonts w:cs="Arial"/>
          <w:bCs/>
          <w:sz w:val="22"/>
          <w:szCs w:val="22"/>
        </w:rPr>
        <w:t xml:space="preserve">des écoles de la police et de gendarmerie </w:t>
      </w:r>
      <w:r w:rsidRPr="006573F7">
        <w:rPr>
          <w:sz w:val="22"/>
          <w:szCs w:val="22"/>
        </w:rPr>
        <w:t>à</w:t>
      </w:r>
      <w:r w:rsidRPr="006573F7">
        <w:rPr>
          <w:rFonts w:cs="Arial"/>
          <w:bCs/>
          <w:sz w:val="22"/>
          <w:szCs w:val="22"/>
        </w:rPr>
        <w:t xml:space="preserve"> travers l’élaboration d’outils harmonisés et la mise en place d’un pool de formateurs</w:t>
      </w:r>
      <w:r w:rsidR="006573F7">
        <w:rPr>
          <w:rFonts w:cs="Arial"/>
          <w:bCs/>
          <w:sz w:val="22"/>
          <w:szCs w:val="22"/>
        </w:rPr>
        <w:t xml:space="preserve"> </w:t>
      </w:r>
      <w:r w:rsidRPr="006573F7">
        <w:rPr>
          <w:rFonts w:cs="Arial"/>
          <w:bCs/>
          <w:sz w:val="22"/>
          <w:szCs w:val="22"/>
        </w:rPr>
        <w:t>permettra</w:t>
      </w:r>
      <w:r w:rsidR="0088420F">
        <w:rPr>
          <w:rFonts w:cs="Arial"/>
          <w:bCs/>
          <w:sz w:val="22"/>
          <w:szCs w:val="22"/>
        </w:rPr>
        <w:t xml:space="preserve"> prochainement</w:t>
      </w:r>
      <w:r w:rsidRPr="006573F7">
        <w:rPr>
          <w:rFonts w:cs="Arial"/>
          <w:bCs/>
          <w:sz w:val="22"/>
          <w:szCs w:val="22"/>
        </w:rPr>
        <w:t xml:space="preserve"> aux aspirants gendarmes et policiers d’acquérir des compétences-clé pour mieux prévenir et protéger les femmes et les enfants contre les violences</w:t>
      </w:r>
      <w:r w:rsidR="006573F7">
        <w:rPr>
          <w:rFonts w:cs="Arial"/>
          <w:bCs/>
          <w:sz w:val="22"/>
          <w:szCs w:val="22"/>
        </w:rPr>
        <w:t xml:space="preserve">. Quatre cadres des FDS ont aussi acquis des connaissances sur les </w:t>
      </w:r>
      <w:r w:rsidR="006573F7" w:rsidRPr="005D110C">
        <w:rPr>
          <w:sz w:val="22"/>
          <w:szCs w:val="22"/>
        </w:rPr>
        <w:t>nouvel</w:t>
      </w:r>
      <w:r w:rsidR="006573F7">
        <w:rPr>
          <w:sz w:val="22"/>
          <w:szCs w:val="22"/>
        </w:rPr>
        <w:t>les approches d’éradication des VBG</w:t>
      </w:r>
      <w:r w:rsidRPr="006573F7">
        <w:rPr>
          <w:sz w:val="22"/>
          <w:szCs w:val="22"/>
        </w:rPr>
        <w:t xml:space="preserve"> </w:t>
      </w:r>
      <w:r w:rsidR="006573F7">
        <w:rPr>
          <w:sz w:val="22"/>
          <w:szCs w:val="22"/>
        </w:rPr>
        <w:t>à travers des échanges Sud-Sud avec le Cote d’Ivoire et le Rwanda</w:t>
      </w:r>
      <w:r w:rsidR="0088420F">
        <w:rPr>
          <w:sz w:val="22"/>
          <w:szCs w:val="22"/>
        </w:rPr>
        <w:t xml:space="preserve">. Un programme de leadership des femmes a été piloté avec la formation initiale de 50 femmes FDS </w:t>
      </w:r>
      <w:r w:rsidR="0088420F" w:rsidRPr="006D35F0">
        <w:rPr>
          <w:sz w:val="22"/>
          <w:szCs w:val="22"/>
        </w:rPr>
        <w:t>sur les notions d’égalité et leadership à instaurer au sein des FDS</w:t>
      </w:r>
      <w:r w:rsidR="0088420F">
        <w:rPr>
          <w:sz w:val="22"/>
          <w:szCs w:val="22"/>
        </w:rPr>
        <w:t xml:space="preserve">. Quant à l’amélioration du traitement des cas de VBG par la Police,  on relève </w:t>
      </w:r>
      <w:r w:rsidR="006C7598">
        <w:rPr>
          <w:sz w:val="22"/>
          <w:szCs w:val="22"/>
        </w:rPr>
        <w:t xml:space="preserve">la </w:t>
      </w:r>
      <w:r w:rsidR="0088420F" w:rsidRPr="0088420F">
        <w:rPr>
          <w:sz w:val="22"/>
          <w:szCs w:val="22"/>
        </w:rPr>
        <w:t>création et l’équipement de cinq Cellules VBG au sein des commissariats de polices et des escadrons de la gendarmerie</w:t>
      </w:r>
      <w:r w:rsidR="006C7598">
        <w:rPr>
          <w:sz w:val="22"/>
          <w:szCs w:val="22"/>
        </w:rPr>
        <w:t xml:space="preserve">. </w:t>
      </w:r>
    </w:p>
    <w:p w:rsidR="006C7598" w:rsidRDefault="006C7598" w:rsidP="006C7598">
      <w:pPr>
        <w:pStyle w:val="BodyText2"/>
        <w:spacing w:after="0" w:line="240" w:lineRule="auto"/>
        <w:ind w:left="349"/>
        <w:jc w:val="both"/>
        <w:rPr>
          <w:sz w:val="22"/>
          <w:szCs w:val="22"/>
        </w:rPr>
      </w:pPr>
    </w:p>
    <w:p w:rsidR="006C7598" w:rsidRDefault="006C7598" w:rsidP="006C7598">
      <w:pPr>
        <w:pStyle w:val="BodyText2"/>
        <w:spacing w:after="0" w:line="240" w:lineRule="auto"/>
        <w:ind w:left="349"/>
        <w:jc w:val="both"/>
        <w:rPr>
          <w:sz w:val="22"/>
          <w:szCs w:val="22"/>
        </w:rPr>
      </w:pPr>
      <w:r>
        <w:rPr>
          <w:sz w:val="22"/>
          <w:szCs w:val="22"/>
        </w:rPr>
        <w:t>Suite</w:t>
      </w:r>
      <w:r w:rsidRPr="006C7598">
        <w:rPr>
          <w:sz w:val="22"/>
          <w:szCs w:val="22"/>
        </w:rPr>
        <w:t xml:space="preserve"> </w:t>
      </w:r>
      <w:r w:rsidRPr="006D35F0">
        <w:rPr>
          <w:sz w:val="22"/>
          <w:szCs w:val="22"/>
        </w:rPr>
        <w:t>à</w:t>
      </w:r>
      <w:r>
        <w:rPr>
          <w:sz w:val="22"/>
          <w:szCs w:val="22"/>
        </w:rPr>
        <w:t xml:space="preserve"> ces interventions de formation et politique d’expansion d’OPROGEM sur le terrain, on</w:t>
      </w:r>
      <w:r w:rsidRPr="00511ABB">
        <w:rPr>
          <w:sz w:val="22"/>
          <w:szCs w:val="22"/>
        </w:rPr>
        <w:t xml:space="preserve"> constate une augmentation considérable </w:t>
      </w:r>
      <w:r>
        <w:rPr>
          <w:sz w:val="22"/>
          <w:szCs w:val="22"/>
        </w:rPr>
        <w:t>dans le rapportage des cas, qui est pass</w:t>
      </w:r>
      <w:r w:rsidRPr="00511ABB">
        <w:rPr>
          <w:sz w:val="22"/>
          <w:szCs w:val="22"/>
        </w:rPr>
        <w:t>é</w:t>
      </w:r>
      <w:r>
        <w:rPr>
          <w:sz w:val="22"/>
          <w:szCs w:val="22"/>
        </w:rPr>
        <w:t xml:space="preserve"> de</w:t>
      </w:r>
      <w:r w:rsidRPr="00511ABB">
        <w:rPr>
          <w:sz w:val="22"/>
          <w:szCs w:val="22"/>
        </w:rPr>
        <w:t xml:space="preserve"> 83 cas enregistrés en 2012</w:t>
      </w:r>
      <w:r w:rsidR="001C644D">
        <w:rPr>
          <w:sz w:val="22"/>
          <w:szCs w:val="22"/>
        </w:rPr>
        <w:t xml:space="preserve"> à 689 cas en 2013</w:t>
      </w:r>
      <w:r w:rsidRPr="00511ABB">
        <w:rPr>
          <w:sz w:val="22"/>
          <w:szCs w:val="22"/>
        </w:rPr>
        <w:t xml:space="preserve">. Cela s’explique surtout par l’amélioration du fonctionnement et la professionnalisation de l’OPROGEM. La sensibilisation et </w:t>
      </w:r>
      <w:proofErr w:type="spellStart"/>
      <w:r w:rsidRPr="00511ABB">
        <w:rPr>
          <w:sz w:val="22"/>
          <w:szCs w:val="22"/>
        </w:rPr>
        <w:t>pro-activité</w:t>
      </w:r>
      <w:proofErr w:type="spellEnd"/>
      <w:r w:rsidRPr="00511ABB">
        <w:rPr>
          <w:sz w:val="22"/>
          <w:szCs w:val="22"/>
        </w:rPr>
        <w:t xml:space="preserve"> accrue des Officiers de la Police Judicaire à travers les formations dispensées, la collaboration avec les partenaires au niveau des communautés, notamment les élus locaux et les </w:t>
      </w:r>
      <w:proofErr w:type="spellStart"/>
      <w:r w:rsidRPr="00511ABB">
        <w:rPr>
          <w:sz w:val="22"/>
          <w:szCs w:val="22"/>
        </w:rPr>
        <w:t>ONGs</w:t>
      </w:r>
      <w:proofErr w:type="spellEnd"/>
      <w:r w:rsidRPr="00511ABB">
        <w:rPr>
          <w:sz w:val="22"/>
          <w:szCs w:val="22"/>
        </w:rPr>
        <w:t xml:space="preserve"> qui transfèrent les cas aux commissariats sont d’autres facteurs qui expliquent le rapportage accru des cas de VBG. En outre la remise d’équipements, notamment des motos et du matériel informatique ont contribué à  l’amélioration du système de collecte de données, qui reste toutefois rudimentaire en absence d’une base de données opérationnelle sur l’ensemble du territoire et l’absence de prise en charge des frais de fonctionnement par l’état au sein de l’OPROGREM.  Enfin, les communications sur la radio et télévision nationale ont aussi contribué</w:t>
      </w:r>
      <w:r w:rsidRPr="0088420F">
        <w:rPr>
          <w:sz w:val="22"/>
          <w:szCs w:val="22"/>
        </w:rPr>
        <w:t xml:space="preserve"> </w:t>
      </w:r>
      <w:r w:rsidRPr="00511ABB">
        <w:rPr>
          <w:sz w:val="22"/>
          <w:szCs w:val="22"/>
        </w:rPr>
        <w:t xml:space="preserve">à </w:t>
      </w:r>
      <w:r>
        <w:rPr>
          <w:sz w:val="22"/>
          <w:szCs w:val="22"/>
        </w:rPr>
        <w:t>la</w:t>
      </w:r>
      <w:r w:rsidRPr="00511ABB">
        <w:rPr>
          <w:sz w:val="22"/>
          <w:szCs w:val="22"/>
        </w:rPr>
        <w:t xml:space="preserve"> professionnalisation du service et </w:t>
      </w:r>
      <w:proofErr w:type="spellStart"/>
      <w:r w:rsidRPr="00511ABB">
        <w:rPr>
          <w:sz w:val="22"/>
          <w:szCs w:val="22"/>
        </w:rPr>
        <w:t>a</w:t>
      </w:r>
      <w:proofErr w:type="spellEnd"/>
      <w:r w:rsidRPr="00511ABB">
        <w:rPr>
          <w:sz w:val="22"/>
          <w:szCs w:val="22"/>
        </w:rPr>
        <w:t xml:space="preserve"> faire connaître son existence auprès du grand public.</w:t>
      </w:r>
    </w:p>
    <w:p w:rsidR="001C644D" w:rsidRDefault="001C644D" w:rsidP="006C7598">
      <w:pPr>
        <w:pStyle w:val="BodyText2"/>
        <w:spacing w:after="0" w:line="240" w:lineRule="auto"/>
        <w:ind w:left="349"/>
        <w:jc w:val="both"/>
        <w:rPr>
          <w:sz w:val="22"/>
          <w:szCs w:val="22"/>
        </w:rPr>
      </w:pPr>
    </w:p>
    <w:p w:rsidR="001C644D" w:rsidRPr="00511ABB" w:rsidRDefault="001C644D" w:rsidP="006C7598">
      <w:pPr>
        <w:pStyle w:val="BodyText2"/>
        <w:spacing w:after="0" w:line="240" w:lineRule="auto"/>
        <w:ind w:left="349"/>
        <w:jc w:val="both"/>
        <w:rPr>
          <w:sz w:val="22"/>
          <w:szCs w:val="22"/>
        </w:rPr>
      </w:pPr>
      <w:r>
        <w:rPr>
          <w:sz w:val="22"/>
          <w:szCs w:val="22"/>
        </w:rPr>
        <w:t>Les produits spécifiques pour ce résultat se présentent comme suit :</w:t>
      </w:r>
    </w:p>
    <w:p w:rsidR="006C7598" w:rsidRDefault="006C7598" w:rsidP="00DF410C">
      <w:pPr>
        <w:pStyle w:val="BodyText2"/>
        <w:spacing w:after="0" w:line="240" w:lineRule="auto"/>
        <w:ind w:left="349"/>
        <w:jc w:val="both"/>
        <w:rPr>
          <w:sz w:val="22"/>
          <w:szCs w:val="22"/>
        </w:rPr>
      </w:pPr>
    </w:p>
    <w:p w:rsidR="001F52D0" w:rsidRDefault="001F52D0" w:rsidP="00A9263B">
      <w:pPr>
        <w:pStyle w:val="BodyText2"/>
        <w:spacing w:after="0" w:line="240" w:lineRule="auto"/>
        <w:jc w:val="both"/>
        <w:rPr>
          <w:sz w:val="22"/>
          <w:szCs w:val="22"/>
        </w:rPr>
      </w:pPr>
    </w:p>
    <w:p w:rsidR="005F43B8" w:rsidRPr="00CB637A" w:rsidRDefault="005F43B8" w:rsidP="006D35F0">
      <w:pPr>
        <w:pStyle w:val="BodyText"/>
        <w:numPr>
          <w:ilvl w:val="1"/>
          <w:numId w:val="23"/>
        </w:numPr>
        <w:jc w:val="both"/>
        <w:rPr>
          <w:rFonts w:ascii="Times New Roman" w:hAnsi="Times New Roman"/>
          <w:b/>
          <w:i/>
          <w:sz w:val="22"/>
          <w:szCs w:val="22"/>
          <w:u w:val="single"/>
          <w:lang w:val="fr-FR"/>
        </w:rPr>
      </w:pPr>
      <w:r w:rsidRPr="00CB637A">
        <w:rPr>
          <w:rFonts w:ascii="Times New Roman" w:hAnsi="Times New Roman"/>
          <w:b/>
          <w:i/>
          <w:sz w:val="22"/>
          <w:szCs w:val="22"/>
          <w:u w:val="single"/>
          <w:lang w:val="fr-FR"/>
        </w:rPr>
        <w:t xml:space="preserve"> Les forces armées sont formées sur la prévention et la prise en charge des VBG</w:t>
      </w:r>
    </w:p>
    <w:p w:rsidR="0024056E" w:rsidRPr="006D35F0" w:rsidRDefault="0024056E" w:rsidP="0024056E">
      <w:pPr>
        <w:rPr>
          <w:sz w:val="22"/>
          <w:szCs w:val="22"/>
        </w:rPr>
      </w:pPr>
    </w:p>
    <w:p w:rsidR="0041187C" w:rsidRDefault="0024056E" w:rsidP="0041187C">
      <w:pPr>
        <w:autoSpaceDE w:val="0"/>
        <w:autoSpaceDN w:val="0"/>
        <w:adjustRightInd w:val="0"/>
        <w:ind w:left="349"/>
        <w:jc w:val="both"/>
        <w:rPr>
          <w:sz w:val="22"/>
          <w:szCs w:val="22"/>
        </w:rPr>
      </w:pPr>
      <w:r w:rsidRPr="00AD6515">
        <w:rPr>
          <w:rFonts w:cs="Arial"/>
          <w:bCs/>
          <w:sz w:val="22"/>
          <w:szCs w:val="22"/>
        </w:rPr>
        <w:t>Afin de</w:t>
      </w:r>
      <w:r w:rsidR="00AD6515" w:rsidRPr="00AD6515">
        <w:rPr>
          <w:rFonts w:cs="Arial"/>
          <w:bCs/>
          <w:sz w:val="22"/>
          <w:szCs w:val="22"/>
        </w:rPr>
        <w:t xml:space="preserve"> systématiser la formation des Forces de D</w:t>
      </w:r>
      <w:r w:rsidRPr="00AD6515">
        <w:rPr>
          <w:rFonts w:cs="Arial"/>
          <w:bCs/>
          <w:sz w:val="22"/>
          <w:szCs w:val="22"/>
        </w:rPr>
        <w:t xml:space="preserve">éfense et de </w:t>
      </w:r>
      <w:r w:rsidR="00AD6515" w:rsidRPr="00AD6515">
        <w:rPr>
          <w:rFonts w:cs="Arial"/>
          <w:bCs/>
          <w:sz w:val="22"/>
          <w:szCs w:val="22"/>
        </w:rPr>
        <w:t>S</w:t>
      </w:r>
      <w:r w:rsidRPr="00AD6515">
        <w:rPr>
          <w:rFonts w:cs="Arial"/>
          <w:bCs/>
          <w:sz w:val="22"/>
          <w:szCs w:val="22"/>
        </w:rPr>
        <w:t>écurité</w:t>
      </w:r>
      <w:r w:rsidR="00AD6515" w:rsidRPr="00AD6515">
        <w:rPr>
          <w:rFonts w:cs="Arial"/>
          <w:bCs/>
          <w:sz w:val="22"/>
          <w:szCs w:val="22"/>
        </w:rPr>
        <w:t xml:space="preserve"> (FDS), le projet a appuyé l’intégration </w:t>
      </w:r>
      <w:r w:rsidRPr="00AD6515">
        <w:rPr>
          <w:rFonts w:cs="Arial"/>
          <w:bCs/>
          <w:sz w:val="22"/>
          <w:szCs w:val="22"/>
        </w:rPr>
        <w:t xml:space="preserve"> </w:t>
      </w:r>
      <w:r w:rsidR="00AD6515" w:rsidRPr="00AD6515">
        <w:rPr>
          <w:rFonts w:cs="Arial"/>
          <w:bCs/>
          <w:sz w:val="22"/>
          <w:szCs w:val="22"/>
        </w:rPr>
        <w:t xml:space="preserve">de </w:t>
      </w:r>
      <w:r w:rsidRPr="00AD6515">
        <w:rPr>
          <w:rFonts w:cs="Arial"/>
          <w:bCs/>
          <w:sz w:val="22"/>
          <w:szCs w:val="22"/>
        </w:rPr>
        <w:t xml:space="preserve">trois types de modules dans les curricula </w:t>
      </w:r>
      <w:r w:rsidRPr="00AD6515">
        <w:rPr>
          <w:sz w:val="22"/>
          <w:szCs w:val="22"/>
        </w:rPr>
        <w:t>de formation des nouvelles recrues des écoles de Police, de Gendarmerie et de l'Armée</w:t>
      </w:r>
      <w:r w:rsidRPr="00AD6515">
        <w:rPr>
          <w:rFonts w:cs="Arial"/>
          <w:bCs/>
          <w:sz w:val="22"/>
          <w:szCs w:val="22"/>
        </w:rPr>
        <w:t>, à savoir (i) Droits Humains ; (ii) VBG ; (iii) Protection des Enfants.</w:t>
      </w:r>
      <w:r w:rsidRPr="00AD6515">
        <w:rPr>
          <w:sz w:val="22"/>
          <w:szCs w:val="22"/>
        </w:rPr>
        <w:t xml:space="preserve">  En ce qui concerne l’UNICEF, </w:t>
      </w:r>
      <w:r w:rsidRPr="00AD6515">
        <w:rPr>
          <w:sz w:val="22"/>
          <w:szCs w:val="22"/>
        </w:rPr>
        <w:lastRenderedPageBreak/>
        <w:t xml:space="preserve">un accord a été signé avec le Bureau International des droits de l’enfant (IBCR) pour l’intégration des droits de l’enfant dans le curriculum de formation initiale des policiers et des gendarmes en trois phases. Les deux premières phases ont </w:t>
      </w:r>
      <w:r w:rsidR="00AD6515">
        <w:rPr>
          <w:sz w:val="22"/>
          <w:szCs w:val="22"/>
        </w:rPr>
        <w:t>consist</w:t>
      </w:r>
      <w:r w:rsidR="00AD6515" w:rsidRPr="00AD6515">
        <w:rPr>
          <w:sz w:val="22"/>
          <w:szCs w:val="22"/>
        </w:rPr>
        <w:t>é</w:t>
      </w:r>
      <w:r w:rsidR="00AD6515">
        <w:rPr>
          <w:sz w:val="22"/>
          <w:szCs w:val="22"/>
        </w:rPr>
        <w:t xml:space="preserve"> </w:t>
      </w:r>
      <w:r w:rsidRPr="00AD6515">
        <w:rPr>
          <w:sz w:val="22"/>
          <w:szCs w:val="22"/>
        </w:rPr>
        <w:t xml:space="preserve">à la mise en place de structures de gestion du processus, la réalisation de trois ateliers de réflexion et </w:t>
      </w:r>
      <w:r w:rsidR="00867CF3">
        <w:rPr>
          <w:sz w:val="22"/>
          <w:szCs w:val="22"/>
        </w:rPr>
        <w:t xml:space="preserve">la réalisation </w:t>
      </w:r>
      <w:r w:rsidRPr="00AD6515">
        <w:rPr>
          <w:sz w:val="22"/>
          <w:szCs w:val="22"/>
        </w:rPr>
        <w:t>d’un état des lieux des besoins de renforcement des capacités en matière de droits de l’enfant et de justice juvénile. La 3</w:t>
      </w:r>
      <w:r w:rsidRPr="00AD6515">
        <w:rPr>
          <w:sz w:val="22"/>
          <w:szCs w:val="22"/>
          <w:vertAlign w:val="superscript"/>
        </w:rPr>
        <w:t>ème</w:t>
      </w:r>
      <w:r w:rsidRPr="00AD6515">
        <w:rPr>
          <w:sz w:val="22"/>
          <w:szCs w:val="22"/>
        </w:rPr>
        <w:t xml:space="preserve"> </w:t>
      </w:r>
      <w:r w:rsidR="00351B3A">
        <w:rPr>
          <w:sz w:val="22"/>
          <w:szCs w:val="22"/>
        </w:rPr>
        <w:t>phase</w:t>
      </w:r>
      <w:r w:rsidRPr="00AD6515">
        <w:rPr>
          <w:sz w:val="22"/>
          <w:szCs w:val="22"/>
        </w:rPr>
        <w:t xml:space="preserve"> a permis le développement effectif</w:t>
      </w:r>
      <w:r w:rsidR="00351B3A">
        <w:rPr>
          <w:sz w:val="22"/>
          <w:szCs w:val="22"/>
        </w:rPr>
        <w:t xml:space="preserve"> et la validation</w:t>
      </w:r>
      <w:r w:rsidRPr="00AD6515">
        <w:rPr>
          <w:sz w:val="22"/>
          <w:szCs w:val="22"/>
        </w:rPr>
        <w:t xml:space="preserve"> de la trousse de formation de six outils pédagogiques, la formation de 30 formateurs en vue de l’intégration du cours dans les curricula de formation et sur le développement de la trousse spécialisée sur des thématiques spécifiques de protection des enfants et des femmes. Comme résultats obtenus, la trousse de six outils (</w:t>
      </w:r>
      <w:r w:rsidRPr="00AD6515">
        <w:rPr>
          <w:sz w:val="22"/>
          <w:szCs w:val="22"/>
          <w:lang w:val="fr-CA"/>
        </w:rPr>
        <w:t xml:space="preserve">le </w:t>
      </w:r>
      <w:r w:rsidRPr="00AD6515">
        <w:rPr>
          <w:bCs/>
          <w:sz w:val="22"/>
          <w:szCs w:val="22"/>
          <w:lang w:val="fr-CA"/>
        </w:rPr>
        <w:t>manuel du formateur</w:t>
      </w:r>
      <w:r w:rsidRPr="00AD6515">
        <w:rPr>
          <w:sz w:val="22"/>
          <w:szCs w:val="22"/>
          <w:lang w:val="fr-CA"/>
        </w:rPr>
        <w:t xml:space="preserve">, le </w:t>
      </w:r>
      <w:r w:rsidRPr="00AD6515">
        <w:rPr>
          <w:bCs/>
          <w:sz w:val="22"/>
          <w:szCs w:val="22"/>
          <w:lang w:val="fr-CA"/>
        </w:rPr>
        <w:t>manuel de référence</w:t>
      </w:r>
      <w:r w:rsidRPr="00AD6515">
        <w:rPr>
          <w:sz w:val="22"/>
          <w:szCs w:val="22"/>
          <w:lang w:val="fr-CA"/>
        </w:rPr>
        <w:t xml:space="preserve">, </w:t>
      </w:r>
      <w:r w:rsidRPr="00AD6515">
        <w:rPr>
          <w:bCs/>
          <w:sz w:val="22"/>
          <w:szCs w:val="22"/>
          <w:lang w:val="fr-CA"/>
        </w:rPr>
        <w:t>une trousse pédagogique</w:t>
      </w:r>
      <w:r w:rsidRPr="00AD6515">
        <w:rPr>
          <w:sz w:val="22"/>
          <w:szCs w:val="22"/>
          <w:lang w:val="fr-CA"/>
        </w:rPr>
        <w:t xml:space="preserve">, </w:t>
      </w:r>
      <w:r w:rsidRPr="00AD6515">
        <w:rPr>
          <w:bCs/>
          <w:sz w:val="22"/>
          <w:szCs w:val="22"/>
          <w:lang w:val="fr-CA"/>
        </w:rPr>
        <w:t>une trousse d’évaluation</w:t>
      </w:r>
      <w:r w:rsidRPr="00AD6515">
        <w:rPr>
          <w:sz w:val="22"/>
          <w:szCs w:val="22"/>
          <w:lang w:val="fr-CA"/>
        </w:rPr>
        <w:t xml:space="preserve">, </w:t>
      </w:r>
      <w:r w:rsidRPr="00AD6515">
        <w:rPr>
          <w:bCs/>
          <w:sz w:val="22"/>
          <w:szCs w:val="22"/>
          <w:lang w:val="fr-CA"/>
        </w:rPr>
        <w:t>un guide de poche</w:t>
      </w:r>
      <w:r w:rsidRPr="00AD6515">
        <w:rPr>
          <w:sz w:val="22"/>
          <w:szCs w:val="22"/>
          <w:lang w:val="fr-CA"/>
        </w:rPr>
        <w:t xml:space="preserve"> et </w:t>
      </w:r>
      <w:r w:rsidRPr="00AD6515">
        <w:rPr>
          <w:bCs/>
          <w:sz w:val="22"/>
          <w:szCs w:val="22"/>
          <w:lang w:val="fr-CA"/>
        </w:rPr>
        <w:t>un manuel de l’élève</w:t>
      </w:r>
      <w:r w:rsidRPr="00AD6515">
        <w:rPr>
          <w:sz w:val="22"/>
          <w:szCs w:val="22"/>
          <w:lang w:val="fr-CA"/>
        </w:rPr>
        <w:t xml:space="preserve">) </w:t>
      </w:r>
      <w:r w:rsidRPr="00AD6515">
        <w:rPr>
          <w:sz w:val="22"/>
          <w:szCs w:val="22"/>
        </w:rPr>
        <w:t>est disponible et prêt à utiliser</w:t>
      </w:r>
      <w:r w:rsidR="00351B3A">
        <w:rPr>
          <w:sz w:val="22"/>
          <w:szCs w:val="22"/>
        </w:rPr>
        <w:t xml:space="preserve"> </w:t>
      </w:r>
      <w:r w:rsidR="00351B3A" w:rsidRPr="00AD6515">
        <w:rPr>
          <w:sz w:val="22"/>
          <w:szCs w:val="22"/>
        </w:rPr>
        <w:t>pour le cours initial sur les droits de l’enfant</w:t>
      </w:r>
      <w:r w:rsidR="00351B3A">
        <w:rPr>
          <w:sz w:val="22"/>
          <w:szCs w:val="22"/>
        </w:rPr>
        <w:t xml:space="preserve"> dans deux</w:t>
      </w:r>
      <w:r w:rsidR="00351B3A" w:rsidRPr="00AD6515">
        <w:rPr>
          <w:sz w:val="22"/>
          <w:szCs w:val="22"/>
        </w:rPr>
        <w:t xml:space="preserve"> écoles nationales de police et deux écoles nationales de gendarmerie</w:t>
      </w:r>
      <w:r w:rsidRPr="00AD6515">
        <w:rPr>
          <w:sz w:val="22"/>
          <w:szCs w:val="22"/>
        </w:rPr>
        <w:t xml:space="preserve">. 30 instructeurs de police (15) et de gendarmerie (15), dont 8 femmes, formés durant deux semaines ont été habilités à appliquer l’ensemble des outils pour </w:t>
      </w:r>
      <w:r w:rsidR="00351B3A">
        <w:rPr>
          <w:sz w:val="22"/>
          <w:szCs w:val="22"/>
        </w:rPr>
        <w:t>dispenser la formation initiale</w:t>
      </w:r>
      <w:r w:rsidRPr="00AD6515">
        <w:rPr>
          <w:sz w:val="22"/>
          <w:szCs w:val="22"/>
        </w:rPr>
        <w:t>. Ce cours permettra aux aspirants gendarmes et policiers d’acquérir désormais six compétences-clé, à savoir : (i) connaissance, promotion et mise en pratique des droits de l’enfant</w:t>
      </w:r>
      <w:r w:rsidRPr="00AD6515">
        <w:rPr>
          <w:sz w:val="22"/>
          <w:szCs w:val="22"/>
          <w:lang w:val="fr-CA"/>
        </w:rPr>
        <w:t xml:space="preserve"> ; (ii) </w:t>
      </w:r>
      <w:r w:rsidRPr="00AD6515">
        <w:rPr>
          <w:sz w:val="22"/>
          <w:szCs w:val="22"/>
        </w:rPr>
        <w:t>connaissance et mise pratique des règles de l’éthique et de la déontologie</w:t>
      </w:r>
      <w:r w:rsidRPr="00AD6515">
        <w:rPr>
          <w:sz w:val="22"/>
          <w:szCs w:val="22"/>
          <w:lang w:val="fr-CA"/>
        </w:rPr>
        <w:t xml:space="preserve"> ; (iii) </w:t>
      </w:r>
      <w:r w:rsidRPr="00AD6515">
        <w:rPr>
          <w:sz w:val="22"/>
          <w:szCs w:val="22"/>
        </w:rPr>
        <w:t>connaissance de l’enfant</w:t>
      </w:r>
      <w:r w:rsidRPr="00AD6515">
        <w:rPr>
          <w:sz w:val="22"/>
          <w:szCs w:val="22"/>
          <w:lang w:val="fr-CA"/>
        </w:rPr>
        <w:t xml:space="preserve"> ; (iv) </w:t>
      </w:r>
      <w:r w:rsidRPr="00AD6515">
        <w:rPr>
          <w:sz w:val="22"/>
          <w:szCs w:val="22"/>
        </w:rPr>
        <w:t>interactions et communication avec l’enfant et les acteurs de son milieu familial et communautaire</w:t>
      </w:r>
      <w:r w:rsidRPr="00AD6515">
        <w:rPr>
          <w:sz w:val="22"/>
          <w:szCs w:val="22"/>
          <w:lang w:val="fr-CA"/>
        </w:rPr>
        <w:t xml:space="preserve"> ; (v) </w:t>
      </w:r>
      <w:r w:rsidRPr="00AD6515">
        <w:rPr>
          <w:sz w:val="22"/>
          <w:szCs w:val="22"/>
        </w:rPr>
        <w:t>collaboration avec tous les intervenants formels et informels pour une bonne coordination de l’intervention</w:t>
      </w:r>
      <w:r w:rsidRPr="00AD6515">
        <w:rPr>
          <w:sz w:val="22"/>
          <w:szCs w:val="22"/>
          <w:lang w:val="fr-CA"/>
        </w:rPr>
        <w:t xml:space="preserve"> ; (vi) </w:t>
      </w:r>
      <w:r w:rsidRPr="00AD6515">
        <w:rPr>
          <w:sz w:val="22"/>
          <w:szCs w:val="22"/>
        </w:rPr>
        <w:t>utilisation efficace des outils de travail adaptés aux enfants</w:t>
      </w:r>
      <w:r w:rsidR="00062878">
        <w:rPr>
          <w:sz w:val="22"/>
          <w:szCs w:val="22"/>
        </w:rPr>
        <w:t>. U</w:t>
      </w:r>
      <w:r w:rsidR="0041187C" w:rsidRPr="00AD6515">
        <w:rPr>
          <w:sz w:val="22"/>
          <w:szCs w:val="22"/>
        </w:rPr>
        <w:t>n plan de développement de la trousse spécialisée est disponible et sera utilisé par IBCR pour l’élaboration des outils thématiques.</w:t>
      </w:r>
    </w:p>
    <w:p w:rsidR="0041187C" w:rsidRDefault="0041187C" w:rsidP="00062878">
      <w:pPr>
        <w:autoSpaceDE w:val="0"/>
        <w:autoSpaceDN w:val="0"/>
        <w:adjustRightInd w:val="0"/>
        <w:jc w:val="both"/>
        <w:rPr>
          <w:sz w:val="22"/>
          <w:szCs w:val="22"/>
        </w:rPr>
      </w:pPr>
    </w:p>
    <w:p w:rsidR="00351B3A" w:rsidRPr="00062878" w:rsidRDefault="00062878" w:rsidP="00062878">
      <w:pPr>
        <w:autoSpaceDE w:val="0"/>
        <w:autoSpaceDN w:val="0"/>
        <w:adjustRightInd w:val="0"/>
        <w:ind w:left="349"/>
        <w:jc w:val="both"/>
        <w:rPr>
          <w:sz w:val="22"/>
          <w:szCs w:val="22"/>
        </w:rPr>
      </w:pPr>
      <w:r w:rsidRPr="00062878">
        <w:rPr>
          <w:sz w:val="22"/>
          <w:szCs w:val="22"/>
        </w:rPr>
        <w:t>Au niveau de la prise en compte des modules VBG, sous la coordination d’UNFPA, un m</w:t>
      </w:r>
      <w:r w:rsidR="00351B3A" w:rsidRPr="00062878">
        <w:rPr>
          <w:sz w:val="22"/>
          <w:szCs w:val="22"/>
        </w:rPr>
        <w:t xml:space="preserve">anuel pédagogique </w:t>
      </w:r>
      <w:r w:rsidRPr="00062878">
        <w:rPr>
          <w:sz w:val="22"/>
          <w:szCs w:val="22"/>
        </w:rPr>
        <w:t xml:space="preserve">et un guide formateur ont été élaboré et suivie de la  formation de </w:t>
      </w:r>
      <w:r w:rsidR="00351B3A" w:rsidRPr="00062878">
        <w:rPr>
          <w:sz w:val="22"/>
          <w:szCs w:val="22"/>
        </w:rPr>
        <w:t xml:space="preserve">30 instructeurs militaires </w:t>
      </w:r>
      <w:r w:rsidRPr="00062878">
        <w:rPr>
          <w:sz w:val="22"/>
          <w:szCs w:val="22"/>
        </w:rPr>
        <w:t xml:space="preserve">et de la police </w:t>
      </w:r>
      <w:r w:rsidR="00351B3A" w:rsidRPr="00062878">
        <w:rPr>
          <w:sz w:val="22"/>
          <w:szCs w:val="22"/>
        </w:rPr>
        <w:t>pour enseigner les VBG dans les</w:t>
      </w:r>
      <w:r w:rsidR="00B201C0" w:rsidRPr="00062878">
        <w:rPr>
          <w:sz w:val="22"/>
          <w:szCs w:val="22"/>
        </w:rPr>
        <w:t xml:space="preserve"> 10</w:t>
      </w:r>
      <w:r w:rsidR="00351B3A" w:rsidRPr="00062878">
        <w:rPr>
          <w:sz w:val="22"/>
          <w:szCs w:val="22"/>
        </w:rPr>
        <w:t xml:space="preserve"> écoles militaires </w:t>
      </w:r>
      <w:r w:rsidR="00B201C0" w:rsidRPr="00062878">
        <w:rPr>
          <w:sz w:val="22"/>
          <w:szCs w:val="22"/>
        </w:rPr>
        <w:t xml:space="preserve">et de police </w:t>
      </w:r>
      <w:r w:rsidR="00351B3A" w:rsidRPr="00062878">
        <w:rPr>
          <w:sz w:val="22"/>
          <w:szCs w:val="22"/>
        </w:rPr>
        <w:t>du pays.</w:t>
      </w:r>
      <w:r w:rsidRPr="00062878">
        <w:rPr>
          <w:sz w:val="22"/>
          <w:szCs w:val="22"/>
        </w:rPr>
        <w:t xml:space="preserve"> </w:t>
      </w:r>
      <w:r w:rsidR="00351B3A" w:rsidRPr="00062878">
        <w:rPr>
          <w:sz w:val="22"/>
          <w:szCs w:val="22"/>
        </w:rPr>
        <w:t>Les prochaines  étapes  seront consacrées à la mise en place  d’un pool de formateur et l’impression et distribution des supports pédagogiques au niveau des écoles de formation</w:t>
      </w:r>
      <w:r>
        <w:rPr>
          <w:sz w:val="22"/>
          <w:szCs w:val="22"/>
        </w:rPr>
        <w:t>.</w:t>
      </w:r>
      <w:r w:rsidR="00B201C0">
        <w:rPr>
          <w:sz w:val="22"/>
          <w:szCs w:val="22"/>
        </w:rPr>
        <w:t xml:space="preserve"> </w:t>
      </w:r>
    </w:p>
    <w:p w:rsidR="00B201C0" w:rsidRPr="006D35F0" w:rsidRDefault="00B201C0" w:rsidP="00062878">
      <w:pPr>
        <w:autoSpaceDE w:val="0"/>
        <w:autoSpaceDN w:val="0"/>
        <w:adjustRightInd w:val="0"/>
        <w:jc w:val="both"/>
        <w:rPr>
          <w:rFonts w:eastAsia="Calibri"/>
          <w:color w:val="000000"/>
          <w:sz w:val="22"/>
          <w:szCs w:val="22"/>
          <w:highlight w:val="green"/>
          <w:lang w:eastAsia="en-US"/>
        </w:rPr>
      </w:pPr>
    </w:p>
    <w:p w:rsidR="005F43B8" w:rsidRPr="006D35F0" w:rsidRDefault="00062878" w:rsidP="0024056E">
      <w:pPr>
        <w:autoSpaceDE w:val="0"/>
        <w:autoSpaceDN w:val="0"/>
        <w:adjustRightInd w:val="0"/>
        <w:ind w:left="349"/>
        <w:jc w:val="both"/>
        <w:rPr>
          <w:sz w:val="22"/>
          <w:szCs w:val="22"/>
        </w:rPr>
      </w:pPr>
      <w:r>
        <w:rPr>
          <w:sz w:val="22"/>
          <w:szCs w:val="22"/>
        </w:rPr>
        <w:t>Toujours au niveau du renforcement des capacités</w:t>
      </w:r>
      <w:r w:rsidR="0024056E" w:rsidRPr="005D003B">
        <w:rPr>
          <w:sz w:val="22"/>
          <w:szCs w:val="22"/>
        </w:rPr>
        <w:t>, l’</w:t>
      </w:r>
      <w:r w:rsidR="0024056E" w:rsidRPr="005D003B">
        <w:rPr>
          <w:rFonts w:eastAsia="Calibri"/>
          <w:sz w:val="22"/>
          <w:szCs w:val="22"/>
        </w:rPr>
        <w:t>Office pour la Protection du Genre et des Mœurs de la Police (</w:t>
      </w:r>
      <w:r w:rsidR="0024056E" w:rsidRPr="005D003B">
        <w:rPr>
          <w:sz w:val="22"/>
          <w:szCs w:val="22"/>
        </w:rPr>
        <w:t xml:space="preserve">OPROGEM) a été appuyé </w:t>
      </w:r>
      <w:r>
        <w:rPr>
          <w:sz w:val="22"/>
          <w:szCs w:val="22"/>
        </w:rPr>
        <w:t>a</w:t>
      </w:r>
      <w:r w:rsidRPr="005D003B">
        <w:rPr>
          <w:sz w:val="22"/>
          <w:szCs w:val="22"/>
        </w:rPr>
        <w:t xml:space="preserve">u cours du premier semestre </w:t>
      </w:r>
      <w:r w:rsidR="0024056E" w:rsidRPr="005D003B">
        <w:rPr>
          <w:sz w:val="22"/>
          <w:szCs w:val="22"/>
        </w:rPr>
        <w:t xml:space="preserve">pour mettre en œuvre 5 sessions de formation respectivement à Conakry, Kindia, Labé, Kankan et Nzérékoré. 150 officiers de la Police Judiciaire (75), de la gendarmerie (75), dont 12 femmes, ont renforcé leurs connaissances et leurs outils de travail notamment sur les thèmes suivants : les typologies de violences basées sur le genre en général et dans le contexte de la Guinée, les instruments juridiques internationaux et nationaux de protection contre les VBG, les services juridiques requis en cas d’agression et les modalités de leur fourniture et leur disponibilité dans le pays, le rôle des différents corps de sécurité dans le processus de prise en charge juridique, la collecte et </w:t>
      </w:r>
      <w:proofErr w:type="spellStart"/>
      <w:r w:rsidR="0024056E" w:rsidRPr="005D003B">
        <w:rPr>
          <w:sz w:val="22"/>
          <w:szCs w:val="22"/>
        </w:rPr>
        <w:t>reporting</w:t>
      </w:r>
      <w:proofErr w:type="spellEnd"/>
      <w:r w:rsidR="0024056E" w:rsidRPr="005D003B">
        <w:rPr>
          <w:sz w:val="22"/>
          <w:szCs w:val="22"/>
        </w:rPr>
        <w:t xml:space="preserve"> des données sur les cas assistés. Aussi, ces formations ont aussi permis de faire des partages d'information et d'expériences théoriques et pratiques sur la prise en charge (PEC) des personnes à risques et victimes des </w:t>
      </w:r>
      <w:r w:rsidR="005D003B" w:rsidRPr="005D003B">
        <w:rPr>
          <w:sz w:val="22"/>
          <w:szCs w:val="22"/>
        </w:rPr>
        <w:t>VBG</w:t>
      </w:r>
      <w:r w:rsidR="0024056E" w:rsidRPr="005D003B">
        <w:rPr>
          <w:sz w:val="22"/>
          <w:szCs w:val="22"/>
        </w:rPr>
        <w:t xml:space="preserve"> lors des troubles sociaux, avant et après toutes manifestations. Les échanges d’expériences entre les participants ont permis d’enrichir le contenu et les résultats de la formation et de stimuler les engagements de ces officiers à jouer leur rôle dans le processus de prise en charge des violences basées sur le genre, conformément à leur mandat. Les connaissances acquises par ces officiers sont en cours de restitution progressive à leurs pairs principalement lors des rencontres autour des mâts et des rassemblements hebdomadaires des différentes unités, les vendredis de chaque semaine.</w:t>
      </w:r>
      <w:r w:rsidR="0024056E" w:rsidRPr="006D35F0">
        <w:rPr>
          <w:sz w:val="22"/>
          <w:szCs w:val="22"/>
        </w:rPr>
        <w:t xml:space="preserve"> </w:t>
      </w:r>
    </w:p>
    <w:p w:rsidR="005F43B8" w:rsidRPr="006D35F0" w:rsidRDefault="005F43B8" w:rsidP="005F43B8">
      <w:pPr>
        <w:pStyle w:val="BodyText2"/>
        <w:spacing w:after="0" w:line="240" w:lineRule="auto"/>
        <w:jc w:val="both"/>
        <w:rPr>
          <w:rFonts w:cs="Arial"/>
          <w:b/>
          <w:bCs/>
          <w:i/>
          <w:sz w:val="22"/>
          <w:szCs w:val="22"/>
        </w:rPr>
      </w:pPr>
    </w:p>
    <w:p w:rsidR="005F43B8" w:rsidRPr="006D35F0" w:rsidRDefault="005F43B8" w:rsidP="005F43B8">
      <w:pPr>
        <w:pStyle w:val="BodyText2"/>
        <w:spacing w:after="0" w:line="240" w:lineRule="auto"/>
        <w:ind w:left="360"/>
        <w:jc w:val="both"/>
        <w:rPr>
          <w:rFonts w:cs="Arial"/>
          <w:bCs/>
          <w:sz w:val="22"/>
          <w:szCs w:val="22"/>
        </w:rPr>
      </w:pPr>
      <w:r w:rsidRPr="006D35F0">
        <w:rPr>
          <w:rFonts w:cs="Arial"/>
          <w:bCs/>
          <w:sz w:val="22"/>
          <w:szCs w:val="22"/>
        </w:rPr>
        <w:t xml:space="preserve">Il est à noter également que </w:t>
      </w:r>
      <w:r w:rsidR="00F7429A">
        <w:rPr>
          <w:rFonts w:cs="Arial"/>
          <w:bCs/>
          <w:sz w:val="22"/>
          <w:szCs w:val="22"/>
        </w:rPr>
        <w:t>1000</w:t>
      </w:r>
      <w:r w:rsidRPr="00F7429A">
        <w:rPr>
          <w:rFonts w:cs="Arial"/>
          <w:bCs/>
          <w:sz w:val="22"/>
          <w:szCs w:val="22"/>
        </w:rPr>
        <w:t xml:space="preserve"> membres supplémentaires des FDS o</w:t>
      </w:r>
      <w:r w:rsidRPr="006D35F0">
        <w:rPr>
          <w:rFonts w:cs="Arial"/>
          <w:bCs/>
          <w:sz w:val="22"/>
          <w:szCs w:val="22"/>
        </w:rPr>
        <w:t>nt été sensibilisé</w:t>
      </w:r>
      <w:r w:rsidR="00C15843">
        <w:rPr>
          <w:rFonts w:cs="Arial"/>
          <w:bCs/>
          <w:sz w:val="22"/>
          <w:szCs w:val="22"/>
        </w:rPr>
        <w:t>s</w:t>
      </w:r>
      <w:r w:rsidRPr="006D35F0">
        <w:rPr>
          <w:rFonts w:cs="Arial"/>
          <w:bCs/>
          <w:sz w:val="22"/>
          <w:szCs w:val="22"/>
        </w:rPr>
        <w:t xml:space="preserve"> sur les VBG à travers les sessions d’information et de sensibilisation sur le rôle et responsabilité des institutions intervenant dans le contrôle démocratique et civil des forces de défense et de sécurité dans le cadre du projet PBF sur le Contrôle Civile et Démocratique des FDS. En effet, d’importantes passerelles ont été </w:t>
      </w:r>
      <w:proofErr w:type="spellStart"/>
      <w:r w:rsidRPr="006D35F0">
        <w:rPr>
          <w:rFonts w:cs="Arial"/>
          <w:bCs/>
          <w:sz w:val="22"/>
          <w:szCs w:val="22"/>
        </w:rPr>
        <w:t>crée</w:t>
      </w:r>
      <w:proofErr w:type="spellEnd"/>
      <w:r w:rsidRPr="006D35F0">
        <w:rPr>
          <w:rFonts w:cs="Arial"/>
          <w:bCs/>
          <w:sz w:val="22"/>
          <w:szCs w:val="22"/>
        </w:rPr>
        <w:t xml:space="preserve"> entre les deux projets qui ont permis cette synergie d’action. </w:t>
      </w:r>
    </w:p>
    <w:p w:rsidR="005F43B8" w:rsidRPr="00C15843" w:rsidRDefault="005F43B8" w:rsidP="0024056E">
      <w:pPr>
        <w:autoSpaceDE w:val="0"/>
        <w:autoSpaceDN w:val="0"/>
        <w:adjustRightInd w:val="0"/>
        <w:ind w:left="349"/>
        <w:jc w:val="both"/>
        <w:rPr>
          <w:rFonts w:cs="Arial"/>
          <w:bCs/>
          <w:sz w:val="22"/>
          <w:szCs w:val="22"/>
        </w:rPr>
      </w:pPr>
    </w:p>
    <w:p w:rsidR="00C15843" w:rsidRDefault="009A6AD2" w:rsidP="009A6AD2">
      <w:pPr>
        <w:autoSpaceDE w:val="0"/>
        <w:autoSpaceDN w:val="0"/>
        <w:adjustRightInd w:val="0"/>
        <w:ind w:left="349"/>
        <w:jc w:val="both"/>
        <w:rPr>
          <w:sz w:val="22"/>
          <w:szCs w:val="22"/>
        </w:rPr>
      </w:pPr>
      <w:r>
        <w:rPr>
          <w:rFonts w:cs="Arial"/>
          <w:bCs/>
          <w:sz w:val="22"/>
          <w:szCs w:val="22"/>
        </w:rPr>
        <w:t xml:space="preserve">Des échanges Sud-Sud </w:t>
      </w:r>
      <w:r w:rsidRPr="005D110C">
        <w:rPr>
          <w:sz w:val="22"/>
          <w:szCs w:val="22"/>
        </w:rPr>
        <w:t>sur le rôle des organes de sécurité pour mettre fin aux violences f</w:t>
      </w:r>
      <w:r>
        <w:rPr>
          <w:sz w:val="22"/>
          <w:szCs w:val="22"/>
        </w:rPr>
        <w:t xml:space="preserve">aites aux femmes et aux filles </w:t>
      </w:r>
      <w:r>
        <w:rPr>
          <w:rFonts w:cs="Arial"/>
          <w:bCs/>
          <w:sz w:val="22"/>
          <w:szCs w:val="22"/>
        </w:rPr>
        <w:t xml:space="preserve">ont eu lieu également </w:t>
      </w:r>
      <w:r w:rsidR="006573F7">
        <w:rPr>
          <w:rFonts w:cs="Arial"/>
          <w:bCs/>
          <w:sz w:val="22"/>
          <w:szCs w:val="22"/>
        </w:rPr>
        <w:t>à</w:t>
      </w:r>
      <w:r>
        <w:rPr>
          <w:rFonts w:cs="Arial"/>
          <w:bCs/>
          <w:sz w:val="22"/>
          <w:szCs w:val="22"/>
        </w:rPr>
        <w:t xml:space="preserve"> travers le projet. Ainsi,  </w:t>
      </w:r>
      <w:r w:rsidR="00C15843" w:rsidRPr="00C15843">
        <w:rPr>
          <w:rFonts w:cs="Arial"/>
          <w:bCs/>
          <w:sz w:val="22"/>
          <w:szCs w:val="22"/>
        </w:rPr>
        <w:t>quatre</w:t>
      </w:r>
      <w:r w:rsidR="005F43B8" w:rsidRPr="00C15843">
        <w:rPr>
          <w:rFonts w:cs="Arial"/>
          <w:bCs/>
          <w:sz w:val="22"/>
          <w:szCs w:val="22"/>
        </w:rPr>
        <w:t xml:space="preserve"> officiers de la Gendarmerie (2)</w:t>
      </w:r>
      <w:r w:rsidR="00C15843" w:rsidRPr="00C15843">
        <w:rPr>
          <w:rFonts w:cs="Arial"/>
          <w:bCs/>
          <w:sz w:val="22"/>
          <w:szCs w:val="22"/>
        </w:rPr>
        <w:t>, de la Police (1)</w:t>
      </w:r>
      <w:r w:rsidR="005F43B8" w:rsidRPr="00C15843">
        <w:rPr>
          <w:rFonts w:cs="Arial"/>
          <w:bCs/>
          <w:sz w:val="22"/>
          <w:szCs w:val="22"/>
        </w:rPr>
        <w:t xml:space="preserve"> et de l’Armée (1), dont une femme, ont aussi renforcé leurs connaissances et expérien</w:t>
      </w:r>
      <w:r w:rsidR="00C15843" w:rsidRPr="00C15843">
        <w:rPr>
          <w:rFonts w:cs="Arial"/>
          <w:bCs/>
          <w:sz w:val="22"/>
          <w:szCs w:val="22"/>
        </w:rPr>
        <w:t xml:space="preserve">ces grâce à leur participation </w:t>
      </w:r>
      <w:r w:rsidR="005F43B8" w:rsidRPr="00C15843">
        <w:rPr>
          <w:rFonts w:cs="Arial"/>
          <w:bCs/>
          <w:sz w:val="22"/>
          <w:szCs w:val="22"/>
        </w:rPr>
        <w:t xml:space="preserve">à deux ateliers internationaux d’échanges et de formation respectivement tenus en Côte d’Ivoire et </w:t>
      </w:r>
      <w:r w:rsidR="00C15843" w:rsidRPr="00C15843">
        <w:rPr>
          <w:rFonts w:cs="Arial"/>
          <w:bCs/>
          <w:sz w:val="22"/>
          <w:szCs w:val="22"/>
        </w:rPr>
        <w:t>Rwanda</w:t>
      </w:r>
      <w:r>
        <w:rPr>
          <w:rFonts w:cs="Arial"/>
          <w:bCs/>
          <w:sz w:val="22"/>
          <w:szCs w:val="22"/>
        </w:rPr>
        <w:t xml:space="preserve">. Le dernier atelier s’inscrit </w:t>
      </w:r>
      <w:r w:rsidR="005D110C">
        <w:rPr>
          <w:rFonts w:cs="Arial"/>
          <w:bCs/>
          <w:sz w:val="22"/>
          <w:szCs w:val="22"/>
        </w:rPr>
        <w:t xml:space="preserve"> dans le cadre du suivi de la Kigali International </w:t>
      </w:r>
      <w:r>
        <w:rPr>
          <w:rFonts w:cs="Arial"/>
          <w:bCs/>
          <w:sz w:val="22"/>
          <w:szCs w:val="22"/>
        </w:rPr>
        <w:t>Conférence</w:t>
      </w:r>
      <w:r w:rsidR="005D110C">
        <w:rPr>
          <w:rFonts w:cs="Arial"/>
          <w:bCs/>
          <w:sz w:val="22"/>
          <w:szCs w:val="22"/>
        </w:rPr>
        <w:t xml:space="preserve"> </w:t>
      </w:r>
      <w:proofErr w:type="spellStart"/>
      <w:r w:rsidR="005D110C">
        <w:rPr>
          <w:rFonts w:cs="Arial"/>
          <w:bCs/>
          <w:sz w:val="22"/>
          <w:szCs w:val="22"/>
        </w:rPr>
        <w:t>Declaration</w:t>
      </w:r>
      <w:proofErr w:type="spellEnd"/>
      <w:r w:rsidR="005D110C">
        <w:rPr>
          <w:rFonts w:cs="Arial"/>
          <w:bCs/>
          <w:sz w:val="22"/>
          <w:szCs w:val="22"/>
        </w:rPr>
        <w:t xml:space="preserve"> (KICD)</w:t>
      </w:r>
      <w:r>
        <w:rPr>
          <w:rFonts w:cs="Arial"/>
          <w:bCs/>
          <w:sz w:val="22"/>
          <w:szCs w:val="22"/>
        </w:rPr>
        <w:t xml:space="preserve">, </w:t>
      </w:r>
      <w:r w:rsidR="007706C5" w:rsidRPr="005D110C">
        <w:rPr>
          <w:sz w:val="22"/>
          <w:szCs w:val="22"/>
        </w:rPr>
        <w:t xml:space="preserve"> mécanisme né en 2010 </w:t>
      </w:r>
      <w:r>
        <w:rPr>
          <w:sz w:val="22"/>
          <w:szCs w:val="22"/>
        </w:rPr>
        <w:t xml:space="preserve">faisant parti de la campagne </w:t>
      </w:r>
      <w:proofErr w:type="spellStart"/>
      <w:r>
        <w:rPr>
          <w:sz w:val="22"/>
          <w:szCs w:val="22"/>
        </w:rPr>
        <w:t>Africa</w:t>
      </w:r>
      <w:proofErr w:type="spellEnd"/>
      <w:r>
        <w:rPr>
          <w:sz w:val="22"/>
          <w:szCs w:val="22"/>
        </w:rPr>
        <w:t xml:space="preserve"> </w:t>
      </w:r>
      <w:proofErr w:type="spellStart"/>
      <w:r>
        <w:rPr>
          <w:sz w:val="22"/>
          <w:szCs w:val="22"/>
        </w:rPr>
        <w:t>UNiTe</w:t>
      </w:r>
      <w:proofErr w:type="spellEnd"/>
      <w:r>
        <w:rPr>
          <w:sz w:val="22"/>
          <w:szCs w:val="22"/>
        </w:rPr>
        <w:t xml:space="preserve"> ayant</w:t>
      </w:r>
      <w:r w:rsidR="007706C5" w:rsidRPr="005D110C">
        <w:rPr>
          <w:sz w:val="22"/>
          <w:szCs w:val="22"/>
        </w:rPr>
        <w:t xml:space="preserve"> pour objectif de renforcer les capacités techniques des organes de sécurité par de nouvel</w:t>
      </w:r>
      <w:r>
        <w:rPr>
          <w:sz w:val="22"/>
          <w:szCs w:val="22"/>
        </w:rPr>
        <w:t>les approches d’éradication des VBG</w:t>
      </w:r>
      <w:r w:rsidR="007706C5" w:rsidRPr="005D110C">
        <w:rPr>
          <w:sz w:val="22"/>
          <w:szCs w:val="22"/>
        </w:rPr>
        <w:t>.</w:t>
      </w:r>
    </w:p>
    <w:p w:rsidR="00A9263B" w:rsidRDefault="00A9263B" w:rsidP="009A6AD2">
      <w:pPr>
        <w:autoSpaceDE w:val="0"/>
        <w:autoSpaceDN w:val="0"/>
        <w:adjustRightInd w:val="0"/>
        <w:ind w:left="349"/>
        <w:jc w:val="both"/>
        <w:rPr>
          <w:sz w:val="22"/>
          <w:szCs w:val="22"/>
        </w:rPr>
      </w:pPr>
    </w:p>
    <w:p w:rsidR="00A9263B" w:rsidRPr="009A6AD2" w:rsidRDefault="00A9263B" w:rsidP="009A6AD2">
      <w:pPr>
        <w:autoSpaceDE w:val="0"/>
        <w:autoSpaceDN w:val="0"/>
        <w:adjustRightInd w:val="0"/>
        <w:ind w:left="349"/>
        <w:jc w:val="both"/>
        <w:rPr>
          <w:sz w:val="22"/>
          <w:szCs w:val="22"/>
        </w:rPr>
      </w:pPr>
    </w:p>
    <w:p w:rsidR="00C15843" w:rsidRDefault="00C15843" w:rsidP="0024056E">
      <w:pPr>
        <w:autoSpaceDE w:val="0"/>
        <w:autoSpaceDN w:val="0"/>
        <w:adjustRightInd w:val="0"/>
        <w:ind w:left="349"/>
        <w:jc w:val="both"/>
        <w:rPr>
          <w:rFonts w:eastAsia="Calibri"/>
          <w:color w:val="000000"/>
          <w:sz w:val="22"/>
          <w:szCs w:val="22"/>
          <w:lang w:eastAsia="en-US"/>
        </w:rPr>
      </w:pPr>
    </w:p>
    <w:p w:rsidR="005F43B8" w:rsidRPr="00CB637A" w:rsidRDefault="005F43B8" w:rsidP="006D35F0">
      <w:pPr>
        <w:pStyle w:val="BodyText"/>
        <w:numPr>
          <w:ilvl w:val="1"/>
          <w:numId w:val="23"/>
        </w:numPr>
        <w:jc w:val="both"/>
        <w:rPr>
          <w:rFonts w:ascii="Times New Roman" w:hAnsi="Times New Roman"/>
          <w:b/>
          <w:i/>
          <w:sz w:val="22"/>
          <w:szCs w:val="22"/>
          <w:u w:val="single"/>
          <w:lang w:val="fr-FR"/>
        </w:rPr>
      </w:pPr>
      <w:r w:rsidRPr="00CB637A">
        <w:rPr>
          <w:rFonts w:ascii="Times New Roman" w:hAnsi="Times New Roman"/>
          <w:b/>
          <w:i/>
          <w:sz w:val="22"/>
          <w:szCs w:val="22"/>
          <w:u w:val="single"/>
          <w:lang w:val="fr-FR"/>
        </w:rPr>
        <w:lastRenderedPageBreak/>
        <w:t>Un code de conduite imposant une tolérance zéro VBG est adopt</w:t>
      </w:r>
      <w:r w:rsidR="0041187C" w:rsidRPr="00CB637A">
        <w:rPr>
          <w:rFonts w:ascii="Times New Roman" w:hAnsi="Times New Roman"/>
          <w:b/>
          <w:i/>
          <w:sz w:val="22"/>
          <w:szCs w:val="22"/>
          <w:u w:val="single"/>
          <w:lang w:val="fr-FR"/>
        </w:rPr>
        <w:t>é</w:t>
      </w:r>
      <w:r w:rsidRPr="00CB637A">
        <w:rPr>
          <w:rFonts w:ascii="Times New Roman" w:hAnsi="Times New Roman"/>
          <w:b/>
          <w:i/>
          <w:sz w:val="22"/>
          <w:szCs w:val="22"/>
          <w:u w:val="single"/>
          <w:lang w:val="fr-FR"/>
        </w:rPr>
        <w:t xml:space="preserve"> et mis en œuvre par les FDS</w:t>
      </w:r>
    </w:p>
    <w:p w:rsidR="005F43B8" w:rsidRPr="006D35F0" w:rsidRDefault="005F43B8" w:rsidP="005F43B8">
      <w:pPr>
        <w:pStyle w:val="BodyText"/>
        <w:ind w:left="1080"/>
        <w:jc w:val="both"/>
        <w:rPr>
          <w:rFonts w:ascii="Times New Roman" w:hAnsi="Times New Roman"/>
          <w:sz w:val="22"/>
          <w:szCs w:val="22"/>
          <w:lang w:val="fr-FR"/>
        </w:rPr>
      </w:pPr>
    </w:p>
    <w:p w:rsidR="0041187C" w:rsidRDefault="0041187C" w:rsidP="0041187C">
      <w:pPr>
        <w:autoSpaceDE w:val="0"/>
        <w:autoSpaceDN w:val="0"/>
        <w:adjustRightInd w:val="0"/>
        <w:ind w:left="349"/>
        <w:jc w:val="both"/>
        <w:rPr>
          <w:sz w:val="22"/>
          <w:szCs w:val="22"/>
        </w:rPr>
      </w:pPr>
      <w:r w:rsidRPr="00AD6515">
        <w:rPr>
          <w:sz w:val="22"/>
          <w:szCs w:val="22"/>
        </w:rPr>
        <w:t>D</w:t>
      </w:r>
      <w:r>
        <w:rPr>
          <w:sz w:val="22"/>
          <w:szCs w:val="22"/>
        </w:rPr>
        <w:t xml:space="preserve">ans </w:t>
      </w:r>
      <w:r w:rsidR="00F86340">
        <w:rPr>
          <w:sz w:val="22"/>
          <w:szCs w:val="22"/>
        </w:rPr>
        <w:t xml:space="preserve">la foulée </w:t>
      </w:r>
      <w:r>
        <w:rPr>
          <w:sz w:val="22"/>
          <w:szCs w:val="22"/>
        </w:rPr>
        <w:t xml:space="preserve">de la </w:t>
      </w:r>
      <w:r w:rsidRPr="00AD6515">
        <w:rPr>
          <w:sz w:val="22"/>
          <w:szCs w:val="22"/>
        </w:rPr>
        <w:t>formation</w:t>
      </w:r>
      <w:r>
        <w:rPr>
          <w:sz w:val="22"/>
          <w:szCs w:val="22"/>
        </w:rPr>
        <w:t xml:space="preserve"> des FDS sur les droits des Enfants</w:t>
      </w:r>
      <w:r w:rsidRPr="00AD6515">
        <w:rPr>
          <w:sz w:val="22"/>
          <w:szCs w:val="22"/>
        </w:rPr>
        <w:t>, les 30</w:t>
      </w:r>
      <w:r>
        <w:rPr>
          <w:sz w:val="22"/>
          <w:szCs w:val="22"/>
        </w:rPr>
        <w:t xml:space="preserve"> instructeurs de la police et de la gendarmerie </w:t>
      </w:r>
      <w:r w:rsidRPr="00AD6515">
        <w:rPr>
          <w:sz w:val="22"/>
          <w:szCs w:val="22"/>
        </w:rPr>
        <w:t xml:space="preserve">ont élaboré et signé un code de conduite les engageant à respecter les principes éthiques et les normes et standards en matière de protection des droits des enfants et de prise en charge des victimes de VBG. </w:t>
      </w:r>
    </w:p>
    <w:p w:rsidR="005F43B8" w:rsidRPr="006D35F0" w:rsidRDefault="005F43B8" w:rsidP="0024056E">
      <w:pPr>
        <w:autoSpaceDE w:val="0"/>
        <w:autoSpaceDN w:val="0"/>
        <w:adjustRightInd w:val="0"/>
        <w:ind w:left="349"/>
        <w:jc w:val="both"/>
        <w:rPr>
          <w:sz w:val="22"/>
          <w:szCs w:val="22"/>
        </w:rPr>
      </w:pPr>
    </w:p>
    <w:p w:rsidR="006D35F0" w:rsidRDefault="006D35F0" w:rsidP="0024056E">
      <w:pPr>
        <w:autoSpaceDE w:val="0"/>
        <w:autoSpaceDN w:val="0"/>
        <w:adjustRightInd w:val="0"/>
        <w:ind w:left="349"/>
        <w:jc w:val="both"/>
        <w:rPr>
          <w:color w:val="000000"/>
          <w:sz w:val="22"/>
          <w:szCs w:val="22"/>
        </w:rPr>
      </w:pPr>
    </w:p>
    <w:p w:rsidR="0024056E" w:rsidRPr="008C78DC" w:rsidRDefault="006D35F0" w:rsidP="006D35F0">
      <w:pPr>
        <w:pStyle w:val="ListParagraph"/>
        <w:numPr>
          <w:ilvl w:val="1"/>
          <w:numId w:val="23"/>
        </w:numPr>
        <w:autoSpaceDE w:val="0"/>
        <w:autoSpaceDN w:val="0"/>
        <w:adjustRightInd w:val="0"/>
        <w:jc w:val="both"/>
        <w:rPr>
          <w:color w:val="000000"/>
          <w:sz w:val="22"/>
          <w:szCs w:val="22"/>
          <w:u w:val="single"/>
        </w:rPr>
      </w:pPr>
      <w:r w:rsidRPr="008C78DC">
        <w:rPr>
          <w:b/>
          <w:i/>
          <w:sz w:val="22"/>
          <w:szCs w:val="22"/>
          <w:u w:val="single"/>
        </w:rPr>
        <w:t>La représentation des femmes FDS est augmentée et leurs conditions de travail améliorées</w:t>
      </w:r>
    </w:p>
    <w:p w:rsidR="006D35F0" w:rsidRDefault="006D35F0" w:rsidP="0024056E">
      <w:pPr>
        <w:autoSpaceDE w:val="0"/>
        <w:autoSpaceDN w:val="0"/>
        <w:adjustRightInd w:val="0"/>
        <w:ind w:left="349"/>
        <w:jc w:val="both"/>
        <w:rPr>
          <w:color w:val="000000"/>
          <w:sz w:val="22"/>
          <w:szCs w:val="22"/>
        </w:rPr>
      </w:pPr>
    </w:p>
    <w:p w:rsidR="0079034F" w:rsidRPr="006D35F0" w:rsidRDefault="00EB2DE9" w:rsidP="00EB2DE9">
      <w:pPr>
        <w:pStyle w:val="BodyText2"/>
        <w:spacing w:after="0" w:line="240" w:lineRule="auto"/>
        <w:ind w:left="360"/>
        <w:jc w:val="both"/>
        <w:rPr>
          <w:sz w:val="22"/>
          <w:szCs w:val="22"/>
        </w:rPr>
      </w:pPr>
      <w:r w:rsidRPr="006D35F0">
        <w:rPr>
          <w:sz w:val="22"/>
          <w:szCs w:val="22"/>
        </w:rPr>
        <w:t>Quant à la transformation de la culture i</w:t>
      </w:r>
      <w:r w:rsidR="00CB637A">
        <w:rPr>
          <w:sz w:val="22"/>
          <w:szCs w:val="22"/>
        </w:rPr>
        <w:t>nstitutionnelle interne des FDS pour promouvoir la participation des femmes au sein des FDS</w:t>
      </w:r>
      <w:r w:rsidR="00D33FC5">
        <w:rPr>
          <w:sz w:val="22"/>
          <w:szCs w:val="22"/>
        </w:rPr>
        <w:t>,</w:t>
      </w:r>
      <w:r w:rsidR="00CB637A">
        <w:rPr>
          <w:sz w:val="22"/>
          <w:szCs w:val="22"/>
        </w:rPr>
        <w:t xml:space="preserve">  un </w:t>
      </w:r>
      <w:r w:rsidRPr="006D35F0">
        <w:rPr>
          <w:sz w:val="22"/>
          <w:szCs w:val="22"/>
        </w:rPr>
        <w:t xml:space="preserve">programme de renforcement de capacités </w:t>
      </w:r>
      <w:r w:rsidR="00CB637A">
        <w:rPr>
          <w:sz w:val="22"/>
          <w:szCs w:val="22"/>
        </w:rPr>
        <w:t xml:space="preserve">a été mis en place </w:t>
      </w:r>
      <w:r w:rsidRPr="006D35F0">
        <w:rPr>
          <w:sz w:val="22"/>
          <w:szCs w:val="22"/>
        </w:rPr>
        <w:t>ciblant les femmes militaires, gendarmes et policières sur les notions d’égalité et leadership à instaurer au sein des FDS</w:t>
      </w:r>
      <w:r w:rsidR="00CB637A">
        <w:rPr>
          <w:sz w:val="22"/>
          <w:szCs w:val="22"/>
        </w:rPr>
        <w:t>. Ce programme a été adapt</w:t>
      </w:r>
      <w:r w:rsidR="00D33FC5">
        <w:rPr>
          <w:sz w:val="22"/>
          <w:szCs w:val="22"/>
        </w:rPr>
        <w:t>é</w:t>
      </w:r>
      <w:r w:rsidR="00CB637A">
        <w:rPr>
          <w:sz w:val="22"/>
          <w:szCs w:val="22"/>
        </w:rPr>
        <w:t xml:space="preserve"> </w:t>
      </w:r>
      <w:r w:rsidRPr="006D35F0">
        <w:rPr>
          <w:sz w:val="22"/>
          <w:szCs w:val="22"/>
        </w:rPr>
        <w:t>d</w:t>
      </w:r>
      <w:r w:rsidR="00D33FC5">
        <w:rPr>
          <w:sz w:val="22"/>
          <w:szCs w:val="22"/>
        </w:rPr>
        <w:t xml:space="preserve">’une </w:t>
      </w:r>
      <w:r w:rsidRPr="006D35F0">
        <w:rPr>
          <w:sz w:val="22"/>
          <w:szCs w:val="22"/>
        </w:rPr>
        <w:t>expérience</w:t>
      </w:r>
      <w:r w:rsidR="00D33FC5">
        <w:rPr>
          <w:sz w:val="22"/>
          <w:szCs w:val="22"/>
        </w:rPr>
        <w:t xml:space="preserve"> semblable</w:t>
      </w:r>
      <w:r w:rsidRPr="006D35F0">
        <w:rPr>
          <w:sz w:val="22"/>
          <w:szCs w:val="22"/>
        </w:rPr>
        <w:t xml:space="preserve"> avec les femmes policières au Burundi. </w:t>
      </w:r>
      <w:r w:rsidR="00D33FC5">
        <w:rPr>
          <w:sz w:val="22"/>
          <w:szCs w:val="22"/>
        </w:rPr>
        <w:t xml:space="preserve">Ainsi un premier pool de 50 femmes ont été acquiert des notions sur les modules suivants : </w:t>
      </w:r>
      <w:r w:rsidR="00D9618A">
        <w:rPr>
          <w:sz w:val="22"/>
          <w:szCs w:val="22"/>
        </w:rPr>
        <w:t xml:space="preserve">(i) </w:t>
      </w:r>
      <w:r w:rsidR="00D33FC5" w:rsidRPr="00D33FC5">
        <w:rPr>
          <w:sz w:val="22"/>
          <w:szCs w:val="22"/>
        </w:rPr>
        <w:t>La conscience de soi</w:t>
      </w:r>
      <w:r w:rsidR="00D9618A">
        <w:rPr>
          <w:sz w:val="22"/>
          <w:szCs w:val="22"/>
        </w:rPr>
        <w:t xml:space="preserve"> ; (ii) </w:t>
      </w:r>
      <w:r w:rsidR="00D33FC5" w:rsidRPr="00D33FC5">
        <w:rPr>
          <w:sz w:val="22"/>
          <w:szCs w:val="22"/>
        </w:rPr>
        <w:t>R</w:t>
      </w:r>
      <w:r w:rsidR="008C6B02">
        <w:rPr>
          <w:sz w:val="22"/>
          <w:szCs w:val="22"/>
        </w:rPr>
        <w:t>é</w:t>
      </w:r>
      <w:r w:rsidR="00D33FC5" w:rsidRPr="00D33FC5">
        <w:rPr>
          <w:sz w:val="22"/>
          <w:szCs w:val="22"/>
        </w:rPr>
        <w:t>formes, Statuts et M</w:t>
      </w:r>
      <w:r w:rsidR="00D9618A">
        <w:rPr>
          <w:sz w:val="22"/>
          <w:szCs w:val="22"/>
        </w:rPr>
        <w:t xml:space="preserve">ixité au sein des FDS en Guinée ; (iii) </w:t>
      </w:r>
      <w:r w:rsidR="00D33FC5" w:rsidRPr="00D33FC5">
        <w:rPr>
          <w:sz w:val="22"/>
          <w:szCs w:val="22"/>
        </w:rPr>
        <w:t>Fonctions FDS et rôles sociaux des sexes</w:t>
      </w:r>
      <w:r w:rsidR="00D9618A">
        <w:rPr>
          <w:sz w:val="22"/>
          <w:szCs w:val="22"/>
        </w:rPr>
        <w:t xml:space="preserve"> ; (iv) </w:t>
      </w:r>
      <w:r w:rsidR="00D33FC5" w:rsidRPr="00D33FC5">
        <w:rPr>
          <w:sz w:val="22"/>
          <w:szCs w:val="22"/>
        </w:rPr>
        <w:t>La cohabitation des sexes dans les FDS</w:t>
      </w:r>
      <w:r w:rsidR="00D9618A">
        <w:rPr>
          <w:sz w:val="22"/>
          <w:szCs w:val="22"/>
        </w:rPr>
        <w:t xml:space="preserve"> ; (v) </w:t>
      </w:r>
      <w:r w:rsidR="00D33FC5" w:rsidRPr="00D33FC5">
        <w:rPr>
          <w:sz w:val="22"/>
          <w:szCs w:val="22"/>
        </w:rPr>
        <w:t>Les problématiques critiques en relation avec la présence des femmes dans les FDS</w:t>
      </w:r>
      <w:r w:rsidR="00D9618A">
        <w:rPr>
          <w:sz w:val="22"/>
          <w:szCs w:val="22"/>
        </w:rPr>
        <w:t xml:space="preserve"> (vi) </w:t>
      </w:r>
      <w:r w:rsidR="00D33FC5" w:rsidRPr="00D33FC5">
        <w:rPr>
          <w:sz w:val="22"/>
          <w:szCs w:val="22"/>
        </w:rPr>
        <w:t>Construire la cohabitation pacifique et respectueuse des femmes et des hommes au sein des forces armées</w:t>
      </w:r>
      <w:r w:rsidR="00D9618A">
        <w:rPr>
          <w:sz w:val="22"/>
          <w:szCs w:val="22"/>
        </w:rPr>
        <w:t xml:space="preserve"> (vi) </w:t>
      </w:r>
      <w:r w:rsidR="00D33FC5" w:rsidRPr="00D33FC5">
        <w:rPr>
          <w:sz w:val="22"/>
          <w:szCs w:val="22"/>
        </w:rPr>
        <w:t>La réhabilitation du rôle des femmes au sein des F</w:t>
      </w:r>
      <w:r w:rsidR="00D9618A">
        <w:rPr>
          <w:sz w:val="22"/>
          <w:szCs w:val="22"/>
        </w:rPr>
        <w:t xml:space="preserve">orces de Défense et de Sécurité. Le second pool de femmes sera </w:t>
      </w:r>
      <w:r w:rsidR="00A9263B">
        <w:rPr>
          <w:sz w:val="22"/>
          <w:szCs w:val="22"/>
        </w:rPr>
        <w:t>formé</w:t>
      </w:r>
      <w:r w:rsidR="00D9618A">
        <w:rPr>
          <w:sz w:val="22"/>
          <w:szCs w:val="22"/>
        </w:rPr>
        <w:t xml:space="preserve"> lors du premier trimestre de 2014. </w:t>
      </w:r>
      <w:r w:rsidR="00D33FC5">
        <w:rPr>
          <w:sz w:val="22"/>
          <w:szCs w:val="22"/>
        </w:rPr>
        <w:t xml:space="preserve"> </w:t>
      </w:r>
      <w:r w:rsidRPr="006D35F0">
        <w:rPr>
          <w:sz w:val="22"/>
          <w:szCs w:val="22"/>
        </w:rPr>
        <w:t>En outre, afin de faire appliquer les dispositions des nouveaux statuts spéciaux de la Police Nationale et de la Protection Civile entré en force le 15 Janvier 2013 concernant le quota de 10 à 30% pour le recrutement de personnel féminin et pour la promotion de la dimension genre</w:t>
      </w:r>
      <w:r w:rsidR="00F10B3C">
        <w:rPr>
          <w:sz w:val="22"/>
          <w:szCs w:val="22"/>
        </w:rPr>
        <w:t xml:space="preserve"> au sein du processus de </w:t>
      </w:r>
      <w:proofErr w:type="spellStart"/>
      <w:r w:rsidR="00F10B3C">
        <w:rPr>
          <w:sz w:val="22"/>
          <w:szCs w:val="22"/>
        </w:rPr>
        <w:t>reforme</w:t>
      </w:r>
      <w:proofErr w:type="spellEnd"/>
      <w:r w:rsidR="00F10B3C">
        <w:rPr>
          <w:sz w:val="22"/>
          <w:szCs w:val="22"/>
        </w:rPr>
        <w:t xml:space="preserve"> du secteur de sécurité </w:t>
      </w:r>
      <w:r w:rsidRPr="006D35F0">
        <w:rPr>
          <w:sz w:val="22"/>
          <w:szCs w:val="22"/>
        </w:rPr>
        <w:t xml:space="preserve"> d’une manière plus large, le recrutement d’expertise est en cours pour développer une stratégie sectorielle </w:t>
      </w:r>
      <w:r w:rsidR="00F10B3C" w:rsidRPr="006D35F0">
        <w:rPr>
          <w:sz w:val="22"/>
          <w:szCs w:val="22"/>
        </w:rPr>
        <w:t xml:space="preserve">genre </w:t>
      </w:r>
      <w:r w:rsidRPr="006D35F0">
        <w:rPr>
          <w:sz w:val="22"/>
          <w:szCs w:val="22"/>
        </w:rPr>
        <w:t xml:space="preserve">pour les FDS. </w:t>
      </w:r>
    </w:p>
    <w:p w:rsidR="006D35F0" w:rsidRPr="006D35F0" w:rsidRDefault="006D35F0" w:rsidP="0079034F">
      <w:pPr>
        <w:pStyle w:val="BodyText2"/>
        <w:spacing w:after="0" w:line="240" w:lineRule="auto"/>
        <w:jc w:val="both"/>
        <w:rPr>
          <w:sz w:val="22"/>
          <w:szCs w:val="22"/>
        </w:rPr>
      </w:pPr>
    </w:p>
    <w:p w:rsidR="006D35F0" w:rsidRPr="008C78DC" w:rsidRDefault="006D35F0" w:rsidP="006D35F0">
      <w:pPr>
        <w:pStyle w:val="BodyText"/>
        <w:numPr>
          <w:ilvl w:val="1"/>
          <w:numId w:val="23"/>
        </w:numPr>
        <w:jc w:val="both"/>
        <w:rPr>
          <w:rFonts w:ascii="Times New Roman" w:hAnsi="Times New Roman"/>
          <w:b/>
          <w:i/>
          <w:sz w:val="22"/>
          <w:szCs w:val="22"/>
          <w:u w:val="single"/>
          <w:lang w:val="fr-FR"/>
        </w:rPr>
      </w:pPr>
      <w:r w:rsidRPr="008C78DC">
        <w:rPr>
          <w:rFonts w:ascii="Times New Roman" w:hAnsi="Times New Roman"/>
          <w:b/>
          <w:i/>
          <w:sz w:val="22"/>
          <w:szCs w:val="22"/>
          <w:u w:val="single"/>
          <w:lang w:val="fr-FR"/>
        </w:rPr>
        <w:t>Les commissariats de police traitent les cas de VBG selon les standards internationaux des droits de l’homme</w:t>
      </w:r>
    </w:p>
    <w:p w:rsidR="006D35F0" w:rsidRPr="006D35F0" w:rsidRDefault="006D35F0" w:rsidP="006D35F0">
      <w:pPr>
        <w:pStyle w:val="BodyText"/>
        <w:ind w:left="1080"/>
        <w:jc w:val="both"/>
        <w:rPr>
          <w:rFonts w:ascii="Times New Roman" w:hAnsi="Times New Roman"/>
          <w:sz w:val="22"/>
          <w:szCs w:val="22"/>
          <w:lang w:val="fr-FR"/>
        </w:rPr>
      </w:pPr>
    </w:p>
    <w:p w:rsidR="006D35F0" w:rsidRDefault="006D35F0" w:rsidP="006D35F0">
      <w:pPr>
        <w:ind w:left="360"/>
        <w:jc w:val="both"/>
        <w:rPr>
          <w:sz w:val="22"/>
          <w:szCs w:val="22"/>
        </w:rPr>
      </w:pPr>
      <w:r w:rsidRPr="0094231F">
        <w:rPr>
          <w:sz w:val="22"/>
          <w:szCs w:val="22"/>
        </w:rPr>
        <w:t xml:space="preserve">Au niveau du renforcement du rôle de la police dans le traitement des cas des VBG violences, les différentes interventions en faveur de l’opérationnalisation de l’Office pour la Promotion du Genre et des Mœurs (OPROGEM) ont contribué à la création et l’équipement de cinq Cellules VBG au sein des commissariats de polices et des escadrons de la gendarmerie des communes de Matam, </w:t>
      </w:r>
      <w:proofErr w:type="spellStart"/>
      <w:r w:rsidRPr="0094231F">
        <w:rPr>
          <w:sz w:val="22"/>
          <w:szCs w:val="22"/>
        </w:rPr>
        <w:t>Ratoma</w:t>
      </w:r>
      <w:proofErr w:type="spellEnd"/>
      <w:r w:rsidRPr="0094231F">
        <w:rPr>
          <w:sz w:val="22"/>
          <w:szCs w:val="22"/>
        </w:rPr>
        <w:t xml:space="preserve"> et </w:t>
      </w:r>
      <w:proofErr w:type="spellStart"/>
      <w:r w:rsidRPr="0094231F">
        <w:rPr>
          <w:sz w:val="22"/>
          <w:szCs w:val="22"/>
        </w:rPr>
        <w:t>Matoto</w:t>
      </w:r>
      <w:proofErr w:type="spellEnd"/>
      <w:r w:rsidRPr="0094231F">
        <w:rPr>
          <w:sz w:val="22"/>
          <w:szCs w:val="22"/>
        </w:rPr>
        <w:t xml:space="preserve"> à Conakry et dans la Région de Kindia; Un travail de repérage est en cours également pour identifier les 5 autres Cellules dans les Régions Administratives.</w:t>
      </w:r>
      <w:r w:rsidRPr="006D35F0">
        <w:rPr>
          <w:sz w:val="22"/>
          <w:szCs w:val="22"/>
        </w:rPr>
        <w:t xml:space="preserve"> Il est à noter que ces actions sont renforcées grâce </w:t>
      </w:r>
      <w:r w:rsidR="0094231F" w:rsidRPr="006D35F0">
        <w:rPr>
          <w:sz w:val="22"/>
          <w:szCs w:val="22"/>
        </w:rPr>
        <w:t>à</w:t>
      </w:r>
      <w:r w:rsidRPr="006D35F0">
        <w:rPr>
          <w:sz w:val="22"/>
          <w:szCs w:val="22"/>
        </w:rPr>
        <w:t xml:space="preserve"> une synergie d’actions avec le Projet de Police de Proximité du PNUD qui a permis un renforcement organisationnel de l’OPROGREM au niveau central et la création de cellules VBG dans deux commissariats  supplémentaires.  Une fois que les 12 Cellules (10 </w:t>
      </w:r>
      <w:proofErr w:type="spellStart"/>
      <w:r w:rsidRPr="006D35F0">
        <w:rPr>
          <w:sz w:val="22"/>
          <w:szCs w:val="22"/>
        </w:rPr>
        <w:t>a</w:t>
      </w:r>
      <w:proofErr w:type="spellEnd"/>
      <w:r w:rsidRPr="006D35F0">
        <w:rPr>
          <w:sz w:val="22"/>
          <w:szCs w:val="22"/>
        </w:rPr>
        <w:t xml:space="preserve"> travers le présent programme et 2 par le projet police) seront pleinement opérationnel, un package d’accompagnement permettra de renforcer le fonctionnement de ces cellules pour une meilleure prise en charge des cas des VBG et de traitement des données.   </w:t>
      </w:r>
    </w:p>
    <w:p w:rsidR="00511ABB" w:rsidRDefault="00511ABB" w:rsidP="006D35F0">
      <w:pPr>
        <w:ind w:left="360"/>
        <w:jc w:val="both"/>
        <w:rPr>
          <w:sz w:val="22"/>
          <w:szCs w:val="22"/>
        </w:rPr>
      </w:pPr>
    </w:p>
    <w:p w:rsidR="001F52D0" w:rsidRPr="00A9263B" w:rsidRDefault="00511ABB" w:rsidP="00A9263B">
      <w:pPr>
        <w:ind w:left="360"/>
        <w:jc w:val="both"/>
        <w:rPr>
          <w:sz w:val="22"/>
          <w:szCs w:val="22"/>
        </w:rPr>
      </w:pPr>
      <w:r>
        <w:rPr>
          <w:sz w:val="22"/>
          <w:szCs w:val="22"/>
        </w:rPr>
        <w:t xml:space="preserve">Selon </w:t>
      </w:r>
      <w:r w:rsidRPr="006D35F0">
        <w:rPr>
          <w:sz w:val="22"/>
          <w:szCs w:val="22"/>
        </w:rPr>
        <w:t>les données provisoires collectées par</w:t>
      </w:r>
      <w:r>
        <w:rPr>
          <w:sz w:val="22"/>
          <w:szCs w:val="22"/>
        </w:rPr>
        <w:t xml:space="preserve"> l’OPROGEM, </w:t>
      </w:r>
      <w:r w:rsidRPr="00511ABB">
        <w:rPr>
          <w:sz w:val="22"/>
          <w:szCs w:val="22"/>
        </w:rPr>
        <w:t>6</w:t>
      </w:r>
      <w:r w:rsidR="00F565B9">
        <w:rPr>
          <w:sz w:val="22"/>
          <w:szCs w:val="22"/>
        </w:rPr>
        <w:t>89</w:t>
      </w:r>
      <w:r w:rsidRPr="00511ABB">
        <w:rPr>
          <w:sz w:val="22"/>
          <w:szCs w:val="22"/>
        </w:rPr>
        <w:t xml:space="preserve"> cas de violences basées sur le genre ont été enregistrés auprès de </w:t>
      </w:r>
      <w:r w:rsidR="0088420F">
        <w:rPr>
          <w:sz w:val="22"/>
          <w:szCs w:val="22"/>
        </w:rPr>
        <w:t>23</w:t>
      </w:r>
      <w:r w:rsidRPr="00511ABB">
        <w:rPr>
          <w:sz w:val="22"/>
          <w:szCs w:val="22"/>
        </w:rPr>
        <w:t xml:space="preserve"> commissariats  de police (sur un total de 40) à travers l’Office de Protection du Genre de l’E</w:t>
      </w:r>
      <w:r w:rsidR="00F565B9">
        <w:rPr>
          <w:sz w:val="22"/>
          <w:szCs w:val="22"/>
        </w:rPr>
        <w:t>nfant et des Mœurs (OPROGEM). 78</w:t>
      </w:r>
      <w:r w:rsidRPr="00511ABB">
        <w:rPr>
          <w:sz w:val="22"/>
          <w:szCs w:val="22"/>
        </w:rPr>
        <w:t xml:space="preserve">% de ces cas sont exercées contre les femmes et les filles et en </w:t>
      </w:r>
      <w:r w:rsidR="00F565B9">
        <w:rPr>
          <w:sz w:val="22"/>
          <w:szCs w:val="22"/>
        </w:rPr>
        <w:t>37</w:t>
      </w:r>
      <w:r w:rsidRPr="00511ABB">
        <w:rPr>
          <w:sz w:val="22"/>
          <w:szCs w:val="22"/>
        </w:rPr>
        <w:t xml:space="preserve">% des cas il s’agit des filles de moins de 18 ans. Quant aux violences sexuelles, </w:t>
      </w:r>
      <w:r w:rsidR="00F565B9">
        <w:rPr>
          <w:sz w:val="22"/>
          <w:szCs w:val="22"/>
        </w:rPr>
        <w:t>85</w:t>
      </w:r>
      <w:r w:rsidRPr="00511ABB">
        <w:rPr>
          <w:sz w:val="22"/>
          <w:szCs w:val="22"/>
        </w:rPr>
        <w:t xml:space="preserve"> des cas enregistrés</w:t>
      </w:r>
      <w:r w:rsidR="00F565B9">
        <w:rPr>
          <w:sz w:val="22"/>
          <w:szCs w:val="22"/>
        </w:rPr>
        <w:t xml:space="preserve"> concernaient des viols, soit 12</w:t>
      </w:r>
      <w:r w:rsidRPr="00511ABB">
        <w:rPr>
          <w:sz w:val="22"/>
          <w:szCs w:val="22"/>
        </w:rPr>
        <w:t xml:space="preserve">% dont </w:t>
      </w:r>
      <w:r w:rsidR="00F565B9">
        <w:rPr>
          <w:sz w:val="22"/>
          <w:szCs w:val="22"/>
        </w:rPr>
        <w:t>67</w:t>
      </w:r>
      <w:r w:rsidRPr="00511ABB">
        <w:rPr>
          <w:sz w:val="22"/>
          <w:szCs w:val="22"/>
        </w:rPr>
        <w:t xml:space="preserve"> cas contre les filles mineurs</w:t>
      </w:r>
      <w:r w:rsidR="00F565B9">
        <w:rPr>
          <w:sz w:val="22"/>
          <w:szCs w:val="22"/>
        </w:rPr>
        <w:t xml:space="preserve"> (soit 79% des cas)</w:t>
      </w:r>
      <w:r w:rsidRPr="00511ABB">
        <w:rPr>
          <w:sz w:val="22"/>
          <w:szCs w:val="22"/>
        </w:rPr>
        <w:t>.  Sur l’ensemble des cas, 16</w:t>
      </w:r>
      <w:r w:rsidR="00F565B9">
        <w:rPr>
          <w:sz w:val="22"/>
          <w:szCs w:val="22"/>
        </w:rPr>
        <w:t>6</w:t>
      </w:r>
      <w:r w:rsidRPr="00511ABB">
        <w:rPr>
          <w:sz w:val="22"/>
          <w:szCs w:val="22"/>
        </w:rPr>
        <w:t xml:space="preserve"> ont </w:t>
      </w:r>
      <w:r w:rsidR="00F565B9">
        <w:rPr>
          <w:sz w:val="22"/>
          <w:szCs w:val="22"/>
        </w:rPr>
        <w:t>été déféré à la Justice, soit 24</w:t>
      </w:r>
      <w:r w:rsidRPr="00511ABB">
        <w:rPr>
          <w:sz w:val="22"/>
          <w:szCs w:val="22"/>
        </w:rPr>
        <w:t>%. Pour les cas de viols,  6</w:t>
      </w:r>
      <w:r w:rsidR="00AF26BE">
        <w:rPr>
          <w:sz w:val="22"/>
          <w:szCs w:val="22"/>
        </w:rPr>
        <w:t>6</w:t>
      </w:r>
      <w:r w:rsidRPr="00511ABB">
        <w:rPr>
          <w:sz w:val="22"/>
          <w:szCs w:val="22"/>
        </w:rPr>
        <w:t>% ont été déféré à la justice.</w:t>
      </w:r>
      <w:r>
        <w:rPr>
          <w:sz w:val="22"/>
          <w:szCs w:val="22"/>
        </w:rPr>
        <w:t xml:space="preserve"> </w:t>
      </w:r>
    </w:p>
    <w:p w:rsidR="001F52D0" w:rsidRDefault="001F52D0" w:rsidP="006B2368">
      <w:pPr>
        <w:pStyle w:val="BodyText"/>
        <w:jc w:val="both"/>
        <w:rPr>
          <w:rFonts w:ascii="Times New Roman" w:hAnsi="Times New Roman"/>
          <w:sz w:val="24"/>
          <w:lang w:val="fr-FR"/>
        </w:rPr>
      </w:pPr>
    </w:p>
    <w:p w:rsidR="00DF410C" w:rsidRDefault="00DF410C" w:rsidP="00DF410C">
      <w:pPr>
        <w:pStyle w:val="BodyText2"/>
        <w:spacing w:after="0" w:line="240" w:lineRule="auto"/>
        <w:ind w:left="360"/>
        <w:jc w:val="both"/>
        <w:rPr>
          <w:rFonts w:cs="Arial"/>
          <w:b/>
          <w:bCs/>
          <w:i/>
          <w:szCs w:val="20"/>
        </w:rPr>
      </w:pPr>
      <w:r>
        <w:rPr>
          <w:rFonts w:cs="Arial"/>
          <w:b/>
          <w:bCs/>
          <w:i/>
          <w:szCs w:val="20"/>
        </w:rPr>
        <w:t xml:space="preserve">Résultat 2 : Les survivant (e)s des violences basées sur le Genre ont accès aux programmes ciblés d’assistance et de réintégration.  </w:t>
      </w:r>
    </w:p>
    <w:p w:rsidR="005F43B8" w:rsidRPr="005F43B8" w:rsidRDefault="005F43B8" w:rsidP="00DF410C">
      <w:pPr>
        <w:pStyle w:val="BodyText2"/>
        <w:spacing w:after="0" w:line="240" w:lineRule="auto"/>
        <w:ind w:left="360"/>
        <w:jc w:val="both"/>
        <w:rPr>
          <w:rFonts w:cs="Arial"/>
          <w:bCs/>
          <w:i/>
          <w:szCs w:val="20"/>
        </w:rPr>
      </w:pPr>
    </w:p>
    <w:p w:rsidR="00E34B91" w:rsidRDefault="005F43B8" w:rsidP="00E34B91">
      <w:pPr>
        <w:pStyle w:val="BodyText2"/>
        <w:spacing w:after="0" w:line="240" w:lineRule="auto"/>
        <w:jc w:val="both"/>
        <w:rPr>
          <w:sz w:val="22"/>
          <w:szCs w:val="22"/>
          <w:lang w:eastAsia="en-US"/>
        </w:rPr>
      </w:pPr>
      <w:r w:rsidRPr="006A61FF">
        <w:rPr>
          <w:sz w:val="22"/>
          <w:szCs w:val="22"/>
        </w:rPr>
        <w:t xml:space="preserve">Des efforts ont été consentis pour renforcer le dispositif </w:t>
      </w:r>
      <w:r w:rsidR="006A61FF">
        <w:rPr>
          <w:sz w:val="22"/>
          <w:szCs w:val="22"/>
        </w:rPr>
        <w:t>de prise en charge holistique à travers  l</w:t>
      </w:r>
      <w:r w:rsidRPr="006A61FF">
        <w:rPr>
          <w:sz w:val="22"/>
          <w:szCs w:val="22"/>
        </w:rPr>
        <w:t>’assistance</w:t>
      </w:r>
      <w:r w:rsidR="006A61FF">
        <w:rPr>
          <w:sz w:val="22"/>
          <w:szCs w:val="22"/>
        </w:rPr>
        <w:t xml:space="preserve"> </w:t>
      </w:r>
      <w:r w:rsidRPr="006A61FF">
        <w:rPr>
          <w:sz w:val="22"/>
          <w:szCs w:val="22"/>
        </w:rPr>
        <w:t xml:space="preserve"> médicale</w:t>
      </w:r>
      <w:r w:rsidR="006A61FF">
        <w:rPr>
          <w:sz w:val="22"/>
          <w:szCs w:val="22"/>
        </w:rPr>
        <w:t>,</w:t>
      </w:r>
      <w:r w:rsidRPr="006A61FF">
        <w:rPr>
          <w:sz w:val="22"/>
          <w:szCs w:val="22"/>
        </w:rPr>
        <w:t xml:space="preserve"> psychosociale</w:t>
      </w:r>
      <w:r w:rsidR="006A61FF">
        <w:rPr>
          <w:sz w:val="22"/>
          <w:szCs w:val="22"/>
        </w:rPr>
        <w:t>, judiciaire</w:t>
      </w:r>
      <w:r w:rsidRPr="006A61FF">
        <w:rPr>
          <w:sz w:val="22"/>
          <w:szCs w:val="22"/>
        </w:rPr>
        <w:t xml:space="preserve"> aux fem</w:t>
      </w:r>
      <w:r w:rsidR="006A61FF">
        <w:rPr>
          <w:sz w:val="22"/>
          <w:szCs w:val="22"/>
        </w:rPr>
        <w:t xml:space="preserve">mes et enfants victimes des VBG ainsi que la mise en place des programmes de réinsertion socio-économique des victimes. </w:t>
      </w:r>
      <w:r w:rsidR="004B72C8">
        <w:rPr>
          <w:sz w:val="22"/>
          <w:szCs w:val="22"/>
        </w:rPr>
        <w:t>Ainsi un total de 2</w:t>
      </w:r>
      <w:r w:rsidR="00D73C2A">
        <w:rPr>
          <w:sz w:val="22"/>
          <w:szCs w:val="22"/>
        </w:rPr>
        <w:t>7</w:t>
      </w:r>
      <w:r w:rsidR="004B72C8">
        <w:rPr>
          <w:sz w:val="22"/>
          <w:szCs w:val="22"/>
        </w:rPr>
        <w:t xml:space="preserve">9 prestataires de services </w:t>
      </w:r>
      <w:proofErr w:type="gramStart"/>
      <w:r w:rsidR="004B72C8">
        <w:rPr>
          <w:sz w:val="22"/>
          <w:szCs w:val="22"/>
        </w:rPr>
        <w:t>ont</w:t>
      </w:r>
      <w:proofErr w:type="gramEnd"/>
      <w:r w:rsidR="004B72C8">
        <w:rPr>
          <w:sz w:val="22"/>
          <w:szCs w:val="22"/>
        </w:rPr>
        <w:t xml:space="preserve"> été form</w:t>
      </w:r>
      <w:r w:rsidR="004B72C8" w:rsidRPr="006A61FF">
        <w:rPr>
          <w:sz w:val="22"/>
          <w:szCs w:val="22"/>
        </w:rPr>
        <w:t>é</w:t>
      </w:r>
      <w:r w:rsidR="004B72C8">
        <w:rPr>
          <w:sz w:val="22"/>
          <w:szCs w:val="22"/>
        </w:rPr>
        <w:t>s sur la période</w:t>
      </w:r>
      <w:r w:rsidR="00C55B19">
        <w:rPr>
          <w:sz w:val="22"/>
          <w:szCs w:val="22"/>
        </w:rPr>
        <w:t xml:space="preserve">, dont 30 du corps médical, 129 </w:t>
      </w:r>
      <w:r w:rsidR="007E1A2C">
        <w:rPr>
          <w:sz w:val="22"/>
          <w:szCs w:val="22"/>
        </w:rPr>
        <w:t>prestataires pour l’accompagnement psychosocial et 120 professionnels de la justice</w:t>
      </w:r>
      <w:r w:rsidR="00D73C2A">
        <w:rPr>
          <w:sz w:val="22"/>
          <w:szCs w:val="22"/>
        </w:rPr>
        <w:t>.</w:t>
      </w:r>
      <w:r w:rsidR="007E1A2C">
        <w:rPr>
          <w:sz w:val="22"/>
          <w:szCs w:val="22"/>
        </w:rPr>
        <w:t xml:space="preserve"> </w:t>
      </w:r>
      <w:proofErr w:type="spellStart"/>
      <w:r w:rsidR="007E1A2C">
        <w:rPr>
          <w:sz w:val="22"/>
          <w:szCs w:val="22"/>
        </w:rPr>
        <w:t>Quand</w:t>
      </w:r>
      <w:proofErr w:type="spellEnd"/>
      <w:r w:rsidR="007E1A2C">
        <w:rPr>
          <w:sz w:val="22"/>
          <w:szCs w:val="22"/>
        </w:rPr>
        <w:t xml:space="preserve"> aux victimes, 602 ont bénéficié d’assistance, dont 515 d’</w:t>
      </w:r>
      <w:r w:rsidR="006A61FF" w:rsidRPr="007E1A2C">
        <w:rPr>
          <w:sz w:val="22"/>
          <w:szCs w:val="22"/>
        </w:rPr>
        <w:t xml:space="preserve">un appui médical, </w:t>
      </w:r>
      <w:r w:rsidR="007E1A2C" w:rsidRPr="007E1A2C">
        <w:rPr>
          <w:sz w:val="22"/>
          <w:szCs w:val="22"/>
        </w:rPr>
        <w:t xml:space="preserve">54 d’un appui </w:t>
      </w:r>
      <w:r w:rsidR="006A61FF" w:rsidRPr="007E1A2C">
        <w:rPr>
          <w:sz w:val="22"/>
          <w:szCs w:val="22"/>
        </w:rPr>
        <w:t>psychosocial et</w:t>
      </w:r>
      <w:r w:rsidR="007E1A2C" w:rsidRPr="007E1A2C">
        <w:rPr>
          <w:sz w:val="22"/>
          <w:szCs w:val="22"/>
        </w:rPr>
        <w:t xml:space="preserve"> 54 d’un accompagnement</w:t>
      </w:r>
      <w:r w:rsidR="006A61FF" w:rsidRPr="007E1A2C">
        <w:rPr>
          <w:sz w:val="22"/>
          <w:szCs w:val="22"/>
        </w:rPr>
        <w:t xml:space="preserve"> judicaire</w:t>
      </w:r>
      <w:r w:rsidR="00D73C2A" w:rsidRPr="007E1A2C">
        <w:rPr>
          <w:sz w:val="22"/>
          <w:szCs w:val="22"/>
        </w:rPr>
        <w:t>.</w:t>
      </w:r>
      <w:r w:rsidR="007E1A2C" w:rsidRPr="007E1A2C">
        <w:rPr>
          <w:sz w:val="22"/>
          <w:szCs w:val="22"/>
        </w:rPr>
        <w:t xml:space="preserve"> Le numéro vert 116 a également été réactivé</w:t>
      </w:r>
      <w:r w:rsidR="007E1A2C">
        <w:rPr>
          <w:sz w:val="22"/>
          <w:szCs w:val="22"/>
        </w:rPr>
        <w:t xml:space="preserve"> et </w:t>
      </w:r>
      <w:r w:rsidR="007E1A2C" w:rsidRPr="00A47AD1">
        <w:rPr>
          <w:sz w:val="22"/>
          <w:szCs w:val="22"/>
        </w:rPr>
        <w:t xml:space="preserve">a permis de renforcer le dispositif communautaire d’identification, de référencement, de prise en charge et de réinsertion des survivantes de VBG. </w:t>
      </w:r>
      <w:r w:rsidR="007E1A2C">
        <w:rPr>
          <w:sz w:val="22"/>
          <w:szCs w:val="22"/>
        </w:rPr>
        <w:t xml:space="preserve">Un centre d’appel géré par 9 </w:t>
      </w:r>
      <w:proofErr w:type="spellStart"/>
      <w:r w:rsidR="007E1A2C">
        <w:rPr>
          <w:sz w:val="22"/>
          <w:szCs w:val="22"/>
        </w:rPr>
        <w:t>operateurs</w:t>
      </w:r>
      <w:proofErr w:type="spellEnd"/>
      <w:r w:rsidR="007E1A2C">
        <w:rPr>
          <w:sz w:val="22"/>
          <w:szCs w:val="22"/>
        </w:rPr>
        <w:t xml:space="preserve"> spécialisés dans l’écoute est en charge des appels et le référencement vers les </w:t>
      </w:r>
      <w:r w:rsidR="007E1A2C">
        <w:rPr>
          <w:sz w:val="22"/>
          <w:szCs w:val="22"/>
        </w:rPr>
        <w:lastRenderedPageBreak/>
        <w:t>services appropriés</w:t>
      </w:r>
      <w:r w:rsidR="00E34B91">
        <w:rPr>
          <w:sz w:val="22"/>
          <w:szCs w:val="22"/>
        </w:rPr>
        <w:t>.</w:t>
      </w:r>
      <w:r w:rsidR="007E1A2C">
        <w:rPr>
          <w:sz w:val="22"/>
          <w:szCs w:val="22"/>
        </w:rPr>
        <w:t xml:space="preserve"> </w:t>
      </w:r>
      <w:r w:rsidR="00E34B91">
        <w:rPr>
          <w:sz w:val="22"/>
          <w:szCs w:val="22"/>
        </w:rPr>
        <w:t xml:space="preserve">En 2013, le Centre a reçu 12 183 cas de violence dont 28% de violences physiques, 34% de violences sexuelles, 30% de violences psychologiques et 6% de cas de négligence. </w:t>
      </w:r>
    </w:p>
    <w:p w:rsidR="006A61FF" w:rsidRPr="00E34B91" w:rsidRDefault="006A61FF" w:rsidP="00D73C2A">
      <w:pPr>
        <w:pStyle w:val="BodyText2"/>
        <w:spacing w:after="0" w:line="240" w:lineRule="auto"/>
        <w:ind w:left="360"/>
        <w:jc w:val="both"/>
        <w:rPr>
          <w:sz w:val="18"/>
          <w:szCs w:val="18"/>
          <w:highlight w:val="green"/>
        </w:rPr>
      </w:pPr>
    </w:p>
    <w:p w:rsidR="00C664AD" w:rsidRPr="007E1A2C" w:rsidRDefault="00C664AD" w:rsidP="00C664AD">
      <w:pPr>
        <w:pStyle w:val="BodyText"/>
        <w:jc w:val="both"/>
        <w:rPr>
          <w:rFonts w:ascii="Times New Roman" w:hAnsi="Times New Roman" w:cs="Times New Roman"/>
          <w:sz w:val="24"/>
          <w:szCs w:val="24"/>
          <w:lang w:val="fr-BE" w:eastAsia="fr-FR"/>
        </w:rPr>
      </w:pPr>
    </w:p>
    <w:p w:rsidR="00C664AD" w:rsidRDefault="00C664AD" w:rsidP="00C664AD">
      <w:pPr>
        <w:pStyle w:val="BodyText"/>
        <w:numPr>
          <w:ilvl w:val="1"/>
          <w:numId w:val="26"/>
        </w:numPr>
        <w:jc w:val="both"/>
        <w:rPr>
          <w:rFonts w:ascii="Times New Roman" w:hAnsi="Times New Roman"/>
          <w:b/>
          <w:i/>
          <w:sz w:val="22"/>
          <w:szCs w:val="22"/>
          <w:lang w:val="fr-FR"/>
        </w:rPr>
      </w:pPr>
      <w:r w:rsidRPr="00C664AD">
        <w:rPr>
          <w:rFonts w:ascii="Times New Roman" w:hAnsi="Times New Roman"/>
          <w:b/>
          <w:i/>
          <w:sz w:val="22"/>
          <w:szCs w:val="22"/>
          <w:lang w:val="fr-FR"/>
        </w:rPr>
        <w:t xml:space="preserve"> </w:t>
      </w:r>
      <w:r w:rsidR="00CA557C" w:rsidRPr="00CA557C">
        <w:rPr>
          <w:rFonts w:ascii="Times New Roman" w:hAnsi="Times New Roman"/>
          <w:b/>
          <w:i/>
          <w:sz w:val="22"/>
          <w:szCs w:val="22"/>
          <w:lang w:val="fr-FR"/>
        </w:rPr>
        <w:t>L’assistance médicale, psychosociale, judicaire et la réintégration socio-économique de qualité sont</w:t>
      </w:r>
    </w:p>
    <w:p w:rsidR="00CA557C" w:rsidRDefault="006A61FF" w:rsidP="00C664AD">
      <w:pPr>
        <w:pStyle w:val="BodyText"/>
        <w:ind w:left="709" w:firstLine="360"/>
        <w:jc w:val="both"/>
        <w:rPr>
          <w:rFonts w:ascii="Times New Roman" w:hAnsi="Times New Roman"/>
          <w:b/>
          <w:i/>
          <w:sz w:val="22"/>
          <w:szCs w:val="22"/>
          <w:lang w:val="fr-FR"/>
        </w:rPr>
      </w:pPr>
      <w:r w:rsidRPr="00CA557C">
        <w:rPr>
          <w:rFonts w:ascii="Times New Roman" w:hAnsi="Times New Roman"/>
          <w:b/>
          <w:i/>
          <w:sz w:val="22"/>
          <w:szCs w:val="22"/>
          <w:lang w:val="fr-FR"/>
        </w:rPr>
        <w:t>D</w:t>
      </w:r>
      <w:r w:rsidR="00CA557C" w:rsidRPr="00CA557C">
        <w:rPr>
          <w:rFonts w:ascii="Times New Roman" w:hAnsi="Times New Roman"/>
          <w:b/>
          <w:i/>
          <w:sz w:val="22"/>
          <w:szCs w:val="22"/>
          <w:lang w:val="fr-FR"/>
        </w:rPr>
        <w:t>isponibles</w:t>
      </w:r>
    </w:p>
    <w:p w:rsidR="006A61FF" w:rsidRDefault="006A61FF" w:rsidP="00C664AD">
      <w:pPr>
        <w:pStyle w:val="BodyText"/>
        <w:ind w:left="709" w:firstLine="360"/>
        <w:jc w:val="both"/>
        <w:rPr>
          <w:rFonts w:ascii="Times New Roman" w:hAnsi="Times New Roman"/>
          <w:b/>
          <w:i/>
          <w:sz w:val="22"/>
          <w:szCs w:val="22"/>
          <w:lang w:val="fr-FR"/>
        </w:rPr>
      </w:pPr>
    </w:p>
    <w:p w:rsidR="00295A26" w:rsidRDefault="006A61FF" w:rsidP="00295A26">
      <w:pPr>
        <w:autoSpaceDE w:val="0"/>
        <w:autoSpaceDN w:val="0"/>
        <w:adjustRightInd w:val="0"/>
        <w:ind w:left="349"/>
        <w:jc w:val="both"/>
        <w:rPr>
          <w:sz w:val="22"/>
          <w:szCs w:val="22"/>
        </w:rPr>
      </w:pPr>
      <w:r w:rsidRPr="0094231F">
        <w:rPr>
          <w:sz w:val="22"/>
          <w:szCs w:val="22"/>
        </w:rPr>
        <w:t xml:space="preserve">Au niveau du dispositif médical, les actions durant la période ont portée sur (i) l’identification des locaux et le matériel de fonctionnement pour la mise en place </w:t>
      </w:r>
      <w:r w:rsidR="0094231F">
        <w:rPr>
          <w:sz w:val="22"/>
          <w:szCs w:val="22"/>
        </w:rPr>
        <w:t>d’une unité</w:t>
      </w:r>
      <w:r w:rsidRPr="0094231F">
        <w:rPr>
          <w:sz w:val="22"/>
          <w:szCs w:val="22"/>
        </w:rPr>
        <w:t xml:space="preserve"> de prise en charge des VBG dans </w:t>
      </w:r>
      <w:r w:rsidR="0094231F">
        <w:rPr>
          <w:sz w:val="22"/>
          <w:szCs w:val="22"/>
        </w:rPr>
        <w:t xml:space="preserve">une </w:t>
      </w:r>
      <w:r w:rsidRPr="0094231F">
        <w:rPr>
          <w:sz w:val="22"/>
          <w:szCs w:val="22"/>
        </w:rPr>
        <w:t>s</w:t>
      </w:r>
      <w:r w:rsidR="0094231F">
        <w:rPr>
          <w:sz w:val="22"/>
          <w:szCs w:val="22"/>
        </w:rPr>
        <w:t>tructure</w:t>
      </w:r>
      <w:r w:rsidR="00C75636" w:rsidRPr="0094231F">
        <w:rPr>
          <w:sz w:val="22"/>
          <w:szCs w:val="22"/>
        </w:rPr>
        <w:t xml:space="preserve"> de santé de Macenta</w:t>
      </w:r>
      <w:r w:rsidR="00295A26">
        <w:rPr>
          <w:sz w:val="22"/>
          <w:szCs w:val="22"/>
        </w:rPr>
        <w:t>. Ainsi, il le nombre total de Centre VBG dans les structures de sante s’élève a sept</w:t>
      </w:r>
      <w:r w:rsidRPr="0094231F">
        <w:rPr>
          <w:sz w:val="22"/>
          <w:szCs w:val="22"/>
        </w:rPr>
        <w:t>; (ii)</w:t>
      </w:r>
      <w:r w:rsidR="00C75636" w:rsidRPr="0094231F">
        <w:rPr>
          <w:sz w:val="22"/>
          <w:szCs w:val="22"/>
        </w:rPr>
        <w:t xml:space="preserve"> </w:t>
      </w:r>
      <w:r w:rsidR="007E1A2C">
        <w:rPr>
          <w:sz w:val="22"/>
          <w:szCs w:val="22"/>
        </w:rPr>
        <w:t>la mise e disposition de 50</w:t>
      </w:r>
      <w:r w:rsidRPr="0094231F">
        <w:rPr>
          <w:sz w:val="22"/>
          <w:szCs w:val="22"/>
        </w:rPr>
        <w:t xml:space="preserve"> kits post-viols</w:t>
      </w:r>
      <w:r w:rsidR="0092773D">
        <w:rPr>
          <w:sz w:val="22"/>
          <w:szCs w:val="22"/>
        </w:rPr>
        <w:t xml:space="preserve"> pouvant servir 750 victimes de violences sexuelles </w:t>
      </w:r>
      <w:r w:rsidR="00C75636" w:rsidRPr="0094231F">
        <w:rPr>
          <w:sz w:val="22"/>
          <w:szCs w:val="22"/>
        </w:rPr>
        <w:t>ont été livré au 6 Centre VBG  (</w:t>
      </w:r>
      <w:r w:rsidR="00C82F58" w:rsidRPr="0094231F">
        <w:rPr>
          <w:sz w:val="22"/>
          <w:szCs w:val="22"/>
        </w:rPr>
        <w:t>Labé</w:t>
      </w:r>
      <w:r w:rsidR="00C75636" w:rsidRPr="0094231F">
        <w:rPr>
          <w:sz w:val="22"/>
          <w:szCs w:val="22"/>
        </w:rPr>
        <w:t>, Kankan, N’</w:t>
      </w:r>
      <w:r w:rsidR="0092773D" w:rsidRPr="0094231F">
        <w:rPr>
          <w:sz w:val="22"/>
          <w:szCs w:val="22"/>
        </w:rPr>
        <w:t>Nzérékoré</w:t>
      </w:r>
      <w:r w:rsidR="00C75636" w:rsidRPr="0094231F">
        <w:rPr>
          <w:sz w:val="22"/>
          <w:szCs w:val="22"/>
        </w:rPr>
        <w:t xml:space="preserve"> et 2 Conakry , </w:t>
      </w:r>
      <w:proofErr w:type="spellStart"/>
      <w:r w:rsidR="00C75636" w:rsidRPr="0094231F">
        <w:rPr>
          <w:sz w:val="22"/>
          <w:szCs w:val="22"/>
        </w:rPr>
        <w:t>Kamsar</w:t>
      </w:r>
      <w:proofErr w:type="spellEnd"/>
      <w:r w:rsidR="00C75636" w:rsidRPr="0094231F">
        <w:rPr>
          <w:sz w:val="22"/>
          <w:szCs w:val="22"/>
        </w:rPr>
        <w:t xml:space="preserve"> </w:t>
      </w:r>
      <w:r w:rsidRPr="0094231F">
        <w:rPr>
          <w:sz w:val="22"/>
          <w:szCs w:val="22"/>
        </w:rPr>
        <w:t>(iii)</w:t>
      </w:r>
      <w:r w:rsidR="00C75636" w:rsidRPr="0094231F">
        <w:rPr>
          <w:sz w:val="22"/>
          <w:szCs w:val="22"/>
        </w:rPr>
        <w:t xml:space="preserve"> Formatio</w:t>
      </w:r>
      <w:r w:rsidR="00295A26">
        <w:rPr>
          <w:sz w:val="22"/>
          <w:szCs w:val="22"/>
        </w:rPr>
        <w:t xml:space="preserve">n 20 professionnel de la sante </w:t>
      </w:r>
      <w:r w:rsidR="00C75636" w:rsidRPr="0094231F">
        <w:rPr>
          <w:sz w:val="22"/>
          <w:szCs w:val="22"/>
        </w:rPr>
        <w:t xml:space="preserve">a </w:t>
      </w:r>
      <w:proofErr w:type="spellStart"/>
      <w:r w:rsidR="00C75636" w:rsidRPr="0094231F">
        <w:rPr>
          <w:sz w:val="22"/>
          <w:szCs w:val="22"/>
        </w:rPr>
        <w:t>Suiguiri</w:t>
      </w:r>
      <w:proofErr w:type="spellEnd"/>
      <w:r w:rsidR="00C75636" w:rsidRPr="0094231F">
        <w:rPr>
          <w:sz w:val="22"/>
          <w:szCs w:val="22"/>
        </w:rPr>
        <w:t xml:space="preserve"> et Macenta sur la prise en charg</w:t>
      </w:r>
      <w:r w:rsidR="0094231F" w:rsidRPr="0094231F">
        <w:rPr>
          <w:sz w:val="22"/>
          <w:szCs w:val="22"/>
        </w:rPr>
        <w:t>e médicale des victimes de VBG</w:t>
      </w:r>
      <w:r w:rsidR="00295A26">
        <w:rPr>
          <w:sz w:val="22"/>
          <w:szCs w:val="22"/>
        </w:rPr>
        <w:t>;</w:t>
      </w:r>
      <w:r w:rsidR="0092773D">
        <w:rPr>
          <w:sz w:val="22"/>
          <w:szCs w:val="22"/>
        </w:rPr>
        <w:t xml:space="preserve"> </w:t>
      </w:r>
      <w:r w:rsidR="00295A26">
        <w:rPr>
          <w:sz w:val="22"/>
          <w:szCs w:val="22"/>
        </w:rPr>
        <w:t>(iv)</w:t>
      </w:r>
      <w:r w:rsidR="0092773D">
        <w:rPr>
          <w:sz w:val="22"/>
          <w:szCs w:val="22"/>
        </w:rPr>
        <w:t xml:space="preserve"> </w:t>
      </w:r>
      <w:r w:rsidRPr="0094231F">
        <w:rPr>
          <w:sz w:val="22"/>
          <w:szCs w:val="22"/>
        </w:rPr>
        <w:t>l</w:t>
      </w:r>
      <w:r w:rsidR="00C75636" w:rsidRPr="0094231F">
        <w:rPr>
          <w:sz w:val="22"/>
          <w:szCs w:val="22"/>
        </w:rPr>
        <w:t>’</w:t>
      </w:r>
      <w:r w:rsidR="0094231F" w:rsidRPr="0094231F">
        <w:rPr>
          <w:sz w:val="22"/>
          <w:szCs w:val="22"/>
        </w:rPr>
        <w:t>élaboration</w:t>
      </w:r>
      <w:r w:rsidR="00295A26">
        <w:rPr>
          <w:sz w:val="22"/>
          <w:szCs w:val="22"/>
        </w:rPr>
        <w:t xml:space="preserve"> d’un module </w:t>
      </w:r>
      <w:r w:rsidRPr="0094231F">
        <w:rPr>
          <w:sz w:val="22"/>
          <w:szCs w:val="22"/>
        </w:rPr>
        <w:t>intégré sur les VBG avec ceux de la Santé de Reproduction et la Planification Familiale</w:t>
      </w:r>
      <w:r w:rsidR="00295A26">
        <w:rPr>
          <w:sz w:val="22"/>
          <w:szCs w:val="22"/>
        </w:rPr>
        <w:t xml:space="preserve"> en collaboration</w:t>
      </w:r>
      <w:r w:rsidRPr="0094231F">
        <w:rPr>
          <w:sz w:val="22"/>
          <w:szCs w:val="22"/>
        </w:rPr>
        <w:t xml:space="preserve"> </w:t>
      </w:r>
      <w:r w:rsidR="00295A26" w:rsidRPr="0094231F">
        <w:rPr>
          <w:sz w:val="22"/>
          <w:szCs w:val="22"/>
        </w:rPr>
        <w:t xml:space="preserve">avec le Ministère de la Santé et l’ONG JHPIEGO </w:t>
      </w:r>
      <w:r w:rsidR="00295A26">
        <w:rPr>
          <w:sz w:val="22"/>
          <w:szCs w:val="22"/>
        </w:rPr>
        <w:t>qui sera dispens</w:t>
      </w:r>
      <w:r w:rsidR="00295A26" w:rsidRPr="0094231F">
        <w:rPr>
          <w:sz w:val="22"/>
          <w:szCs w:val="22"/>
        </w:rPr>
        <w:t>é</w:t>
      </w:r>
      <w:r w:rsidR="00295A26">
        <w:rPr>
          <w:sz w:val="22"/>
          <w:szCs w:val="22"/>
        </w:rPr>
        <w:t xml:space="preserve"> </w:t>
      </w:r>
      <w:r w:rsidRPr="0094231F">
        <w:rPr>
          <w:sz w:val="22"/>
          <w:szCs w:val="22"/>
        </w:rPr>
        <w:t xml:space="preserve">dans </w:t>
      </w:r>
      <w:r w:rsidR="00C75636" w:rsidRPr="0094231F">
        <w:rPr>
          <w:sz w:val="22"/>
          <w:szCs w:val="22"/>
        </w:rPr>
        <w:t>8</w:t>
      </w:r>
      <w:r w:rsidRPr="0094231F">
        <w:rPr>
          <w:sz w:val="22"/>
          <w:szCs w:val="22"/>
        </w:rPr>
        <w:t xml:space="preserve"> écoles de santé</w:t>
      </w:r>
      <w:r w:rsidR="00C75636" w:rsidRPr="0094231F">
        <w:rPr>
          <w:sz w:val="22"/>
          <w:szCs w:val="22"/>
        </w:rPr>
        <w:t xml:space="preserve"> sur l’ensemble</w:t>
      </w:r>
      <w:r w:rsidR="00295A26">
        <w:rPr>
          <w:sz w:val="22"/>
          <w:szCs w:val="22"/>
        </w:rPr>
        <w:t xml:space="preserve"> du territoire</w:t>
      </w:r>
      <w:r w:rsidRPr="0094231F">
        <w:rPr>
          <w:sz w:val="22"/>
          <w:szCs w:val="22"/>
        </w:rPr>
        <w:t>.</w:t>
      </w:r>
    </w:p>
    <w:p w:rsidR="00295A26" w:rsidRDefault="00295A26" w:rsidP="00295A26">
      <w:pPr>
        <w:autoSpaceDE w:val="0"/>
        <w:autoSpaceDN w:val="0"/>
        <w:adjustRightInd w:val="0"/>
        <w:ind w:left="349"/>
        <w:jc w:val="both"/>
        <w:rPr>
          <w:sz w:val="22"/>
          <w:szCs w:val="22"/>
        </w:rPr>
      </w:pPr>
    </w:p>
    <w:p w:rsidR="00295A26" w:rsidRPr="00295A26" w:rsidRDefault="00295A26" w:rsidP="00295A26">
      <w:pPr>
        <w:autoSpaceDE w:val="0"/>
        <w:autoSpaceDN w:val="0"/>
        <w:adjustRightInd w:val="0"/>
        <w:ind w:left="349"/>
        <w:jc w:val="both"/>
        <w:rPr>
          <w:sz w:val="22"/>
          <w:szCs w:val="22"/>
        </w:rPr>
      </w:pPr>
      <w:r w:rsidRPr="00295A26">
        <w:rPr>
          <w:sz w:val="22"/>
          <w:szCs w:val="22"/>
        </w:rPr>
        <w:t xml:space="preserve">Dans la même veine, 90 prestataires sociaux ont vu leurs capacités renforcées sur la prise en charge psychosociale des enfants. Ces formations ont été mises en œuvre selon un processus en cascade par 29 travailleurs sociaux formés en qualité de formateur à Kindia en juin 2013. Soit un total de près 119 acteurs des services sociaux du pays mieux outillés à exercer une meilleure prise en charge psychosociale des enfants et des femmes victimes de VBG. </w:t>
      </w:r>
    </w:p>
    <w:p w:rsidR="00B70A46" w:rsidRPr="0094231F" w:rsidRDefault="00B70A46" w:rsidP="006A61FF">
      <w:pPr>
        <w:pStyle w:val="BodyText2"/>
        <w:spacing w:after="0" w:line="240" w:lineRule="auto"/>
        <w:ind w:left="349"/>
        <w:jc w:val="both"/>
        <w:rPr>
          <w:sz w:val="22"/>
          <w:szCs w:val="22"/>
        </w:rPr>
      </w:pPr>
    </w:p>
    <w:p w:rsidR="00295A26" w:rsidRDefault="00125271" w:rsidP="00295A26">
      <w:pPr>
        <w:pStyle w:val="BodyText2"/>
        <w:spacing w:after="0" w:line="240" w:lineRule="auto"/>
        <w:ind w:left="349"/>
        <w:jc w:val="both"/>
        <w:rPr>
          <w:sz w:val="22"/>
          <w:szCs w:val="22"/>
        </w:rPr>
      </w:pPr>
      <w:r>
        <w:rPr>
          <w:sz w:val="22"/>
          <w:szCs w:val="22"/>
        </w:rPr>
        <w:t>Pour renforcer le système de référence et de contre-référence au niveau régional, l</w:t>
      </w:r>
      <w:r w:rsidR="00295A26" w:rsidRPr="00295A26">
        <w:rPr>
          <w:sz w:val="22"/>
          <w:szCs w:val="22"/>
        </w:rPr>
        <w:t xml:space="preserve">es procédures opérationnelles standards (POS) </w:t>
      </w:r>
      <w:r w:rsidR="00295A26">
        <w:rPr>
          <w:sz w:val="22"/>
          <w:szCs w:val="22"/>
        </w:rPr>
        <w:t xml:space="preserve">nationales </w:t>
      </w:r>
      <w:r w:rsidR="00295A26" w:rsidRPr="00295A26">
        <w:rPr>
          <w:sz w:val="22"/>
          <w:szCs w:val="22"/>
        </w:rPr>
        <w:t xml:space="preserve">pour la prévention et la réponse aux violences basées sur le Genre </w:t>
      </w:r>
      <w:r w:rsidR="00295A26">
        <w:rPr>
          <w:sz w:val="22"/>
          <w:szCs w:val="22"/>
        </w:rPr>
        <w:t>ont été adaptés au contexte spécifique des</w:t>
      </w:r>
      <w:r w:rsidR="00295A26" w:rsidRPr="00295A26">
        <w:rPr>
          <w:sz w:val="22"/>
          <w:szCs w:val="22"/>
        </w:rPr>
        <w:t xml:space="preserve"> Régions Administratives de Kankan et de Labé.</w:t>
      </w:r>
      <w:r w:rsidR="00295A26">
        <w:rPr>
          <w:sz w:val="22"/>
          <w:szCs w:val="22"/>
        </w:rPr>
        <w:t xml:space="preserve"> Quarante intervenants </w:t>
      </w:r>
      <w:r>
        <w:rPr>
          <w:sz w:val="22"/>
          <w:szCs w:val="22"/>
        </w:rPr>
        <w:t xml:space="preserve">impliques </w:t>
      </w:r>
      <w:r w:rsidR="00295A26">
        <w:rPr>
          <w:sz w:val="22"/>
          <w:szCs w:val="22"/>
        </w:rPr>
        <w:t>dans la chaine de prise en charge (</w:t>
      </w:r>
      <w:r>
        <w:rPr>
          <w:sz w:val="22"/>
          <w:szCs w:val="22"/>
        </w:rPr>
        <w:t>médical</w:t>
      </w:r>
      <w:r w:rsidR="00295A26">
        <w:rPr>
          <w:sz w:val="22"/>
          <w:szCs w:val="22"/>
        </w:rPr>
        <w:t xml:space="preserve">, </w:t>
      </w:r>
      <w:r>
        <w:rPr>
          <w:sz w:val="22"/>
          <w:szCs w:val="22"/>
        </w:rPr>
        <w:t>psychosocial</w:t>
      </w:r>
      <w:r w:rsidR="00295A26">
        <w:rPr>
          <w:sz w:val="22"/>
          <w:szCs w:val="22"/>
        </w:rPr>
        <w:t xml:space="preserve"> et judiciaire) </w:t>
      </w:r>
      <w:r>
        <w:rPr>
          <w:sz w:val="22"/>
          <w:szCs w:val="22"/>
        </w:rPr>
        <w:t xml:space="preserve">dans ces deux régions </w:t>
      </w:r>
      <w:r w:rsidR="00295A26">
        <w:rPr>
          <w:sz w:val="22"/>
          <w:szCs w:val="22"/>
        </w:rPr>
        <w:t xml:space="preserve">ont </w:t>
      </w:r>
      <w:r>
        <w:rPr>
          <w:sz w:val="22"/>
          <w:szCs w:val="22"/>
        </w:rPr>
        <w:t xml:space="preserve">participé </w:t>
      </w:r>
      <w:proofErr w:type="spellStart"/>
      <w:r>
        <w:rPr>
          <w:sz w:val="22"/>
          <w:szCs w:val="22"/>
        </w:rPr>
        <w:t>a</w:t>
      </w:r>
      <w:proofErr w:type="spellEnd"/>
      <w:r>
        <w:rPr>
          <w:sz w:val="22"/>
          <w:szCs w:val="22"/>
        </w:rPr>
        <w:t xml:space="preserve"> un atelier de réflexion et de validation des</w:t>
      </w:r>
      <w:r w:rsidR="00295A26">
        <w:rPr>
          <w:sz w:val="22"/>
          <w:szCs w:val="22"/>
        </w:rPr>
        <w:t xml:space="preserve"> POS. Un document de </w:t>
      </w:r>
      <w:r>
        <w:rPr>
          <w:sz w:val="22"/>
          <w:szCs w:val="22"/>
        </w:rPr>
        <w:t>référence</w:t>
      </w:r>
      <w:r w:rsidR="00295A26">
        <w:rPr>
          <w:sz w:val="22"/>
          <w:szCs w:val="22"/>
        </w:rPr>
        <w:t xml:space="preserve"> reste </w:t>
      </w:r>
      <w:r>
        <w:rPr>
          <w:sz w:val="22"/>
          <w:szCs w:val="22"/>
        </w:rPr>
        <w:t>à</w:t>
      </w:r>
      <w:r w:rsidR="00295A26">
        <w:rPr>
          <w:sz w:val="22"/>
          <w:szCs w:val="22"/>
        </w:rPr>
        <w:t xml:space="preserve"> éditer</w:t>
      </w:r>
      <w:r>
        <w:rPr>
          <w:sz w:val="22"/>
          <w:szCs w:val="22"/>
        </w:rPr>
        <w:t>.</w:t>
      </w:r>
    </w:p>
    <w:p w:rsidR="00C82F58" w:rsidRDefault="00C82F58" w:rsidP="00B901A1">
      <w:pPr>
        <w:pStyle w:val="BodyText2"/>
        <w:spacing w:after="0" w:line="240" w:lineRule="auto"/>
        <w:ind w:left="349"/>
        <w:jc w:val="both"/>
        <w:rPr>
          <w:rFonts w:cs="Arial"/>
          <w:bCs/>
          <w:sz w:val="22"/>
          <w:szCs w:val="22"/>
          <w:lang w:eastAsia="en-US"/>
        </w:rPr>
      </w:pPr>
    </w:p>
    <w:p w:rsidR="00B70A46" w:rsidRPr="00125271" w:rsidRDefault="00125271" w:rsidP="00B901A1">
      <w:pPr>
        <w:pStyle w:val="BodyText2"/>
        <w:spacing w:after="0" w:line="240" w:lineRule="auto"/>
        <w:ind w:left="349"/>
        <w:jc w:val="both"/>
        <w:rPr>
          <w:rFonts w:cs="Arial"/>
          <w:bCs/>
          <w:sz w:val="22"/>
          <w:szCs w:val="22"/>
          <w:lang w:eastAsia="en-US"/>
        </w:rPr>
      </w:pPr>
      <w:r w:rsidRPr="00125271">
        <w:rPr>
          <w:rFonts w:cs="Arial"/>
          <w:bCs/>
          <w:sz w:val="22"/>
          <w:szCs w:val="22"/>
          <w:lang w:eastAsia="en-US"/>
        </w:rPr>
        <w:t>En terme</w:t>
      </w:r>
      <w:r w:rsidR="007B391D">
        <w:rPr>
          <w:rFonts w:cs="Arial"/>
          <w:bCs/>
          <w:sz w:val="22"/>
          <w:szCs w:val="22"/>
          <w:lang w:eastAsia="en-US"/>
        </w:rPr>
        <w:t>s</w:t>
      </w:r>
      <w:r w:rsidRPr="00125271">
        <w:rPr>
          <w:rFonts w:cs="Arial"/>
          <w:bCs/>
          <w:sz w:val="22"/>
          <w:szCs w:val="22"/>
          <w:lang w:eastAsia="en-US"/>
        </w:rPr>
        <w:t xml:space="preserve"> de résultats de la part des interventions de l’OPROGEM</w:t>
      </w:r>
      <w:r w:rsidR="007B391D">
        <w:rPr>
          <w:rFonts w:cs="Arial"/>
          <w:bCs/>
          <w:sz w:val="22"/>
          <w:szCs w:val="22"/>
          <w:lang w:eastAsia="en-US"/>
        </w:rPr>
        <w:t xml:space="preserve">, suite </w:t>
      </w:r>
      <w:r w:rsidRPr="00125271">
        <w:rPr>
          <w:rFonts w:cs="Arial"/>
          <w:bCs/>
          <w:sz w:val="22"/>
          <w:szCs w:val="22"/>
          <w:lang w:eastAsia="en-US"/>
        </w:rPr>
        <w:t>aux difficultés financières rencontrées</w:t>
      </w:r>
      <w:r w:rsidR="00C82F58">
        <w:rPr>
          <w:rFonts w:cs="Arial"/>
          <w:bCs/>
          <w:sz w:val="22"/>
          <w:szCs w:val="22"/>
          <w:lang w:eastAsia="en-US"/>
        </w:rPr>
        <w:t xml:space="preserve"> pou</w:t>
      </w:r>
      <w:r w:rsidRPr="00125271">
        <w:rPr>
          <w:rFonts w:cs="Arial"/>
          <w:bCs/>
          <w:sz w:val="22"/>
          <w:szCs w:val="22"/>
          <w:lang w:eastAsia="en-US"/>
        </w:rPr>
        <w:t xml:space="preserve">r </w:t>
      </w:r>
      <w:r w:rsidR="007B391D">
        <w:rPr>
          <w:rFonts w:cs="Arial"/>
          <w:bCs/>
          <w:sz w:val="22"/>
          <w:szCs w:val="22"/>
          <w:lang w:eastAsia="en-US"/>
        </w:rPr>
        <w:t>rendre fonctionnel le Centre de Transit de la Police</w:t>
      </w:r>
      <w:r w:rsidRPr="00125271">
        <w:rPr>
          <w:rFonts w:cs="Arial"/>
          <w:bCs/>
          <w:sz w:val="22"/>
          <w:szCs w:val="22"/>
          <w:lang w:eastAsia="en-US"/>
        </w:rPr>
        <w:t xml:space="preserve">, les enfants identifiés comme victimes de violences ont été orientés vers l’ONG </w:t>
      </w:r>
      <w:proofErr w:type="spellStart"/>
      <w:r w:rsidRPr="00125271">
        <w:rPr>
          <w:rFonts w:cs="Arial"/>
          <w:bCs/>
          <w:sz w:val="22"/>
          <w:szCs w:val="22"/>
          <w:lang w:eastAsia="en-US"/>
        </w:rPr>
        <w:t>Sabou</w:t>
      </w:r>
      <w:proofErr w:type="spellEnd"/>
      <w:r w:rsidRPr="00125271">
        <w:rPr>
          <w:rFonts w:cs="Arial"/>
          <w:bCs/>
          <w:sz w:val="22"/>
          <w:szCs w:val="22"/>
          <w:lang w:eastAsia="en-US"/>
        </w:rPr>
        <w:t xml:space="preserve"> Guinée qui a ainsi pris en charge 46 enfants victimes de violence dont 25 filles victimes de violences basées sur le genre</w:t>
      </w:r>
      <w:r w:rsidR="007B391D">
        <w:rPr>
          <w:rFonts w:cs="Arial"/>
          <w:bCs/>
          <w:sz w:val="22"/>
          <w:szCs w:val="22"/>
          <w:lang w:eastAsia="en-US"/>
        </w:rPr>
        <w:t xml:space="preserve">. Des réflexions sont en cours comment rendre fonctionnel le Centre </w:t>
      </w:r>
      <w:r w:rsidR="00B901A1">
        <w:rPr>
          <w:rFonts w:cs="Arial"/>
          <w:bCs/>
          <w:sz w:val="22"/>
          <w:szCs w:val="22"/>
          <w:lang w:eastAsia="en-US"/>
        </w:rPr>
        <w:t>National de Transit et une demande de financement</w:t>
      </w:r>
      <w:r w:rsidR="007B391D">
        <w:rPr>
          <w:rFonts w:cs="Arial"/>
          <w:bCs/>
          <w:sz w:val="22"/>
          <w:szCs w:val="22"/>
          <w:lang w:eastAsia="en-US"/>
        </w:rPr>
        <w:t xml:space="preserve"> a été soumis au Fonds d’Affection </w:t>
      </w:r>
      <w:r w:rsidR="00B901A1">
        <w:rPr>
          <w:rFonts w:cs="Arial"/>
          <w:bCs/>
          <w:sz w:val="22"/>
          <w:szCs w:val="22"/>
          <w:lang w:eastAsia="en-US"/>
        </w:rPr>
        <w:t>Spéciale</w:t>
      </w:r>
      <w:r w:rsidR="007B391D">
        <w:rPr>
          <w:rFonts w:cs="Arial"/>
          <w:bCs/>
          <w:sz w:val="22"/>
          <w:szCs w:val="22"/>
          <w:lang w:eastAsia="en-US"/>
        </w:rPr>
        <w:t xml:space="preserve"> des Nations Unies de Lutte contre les violences faites aux femmes et aux filles </w:t>
      </w:r>
    </w:p>
    <w:p w:rsidR="00B70A46" w:rsidRPr="00B70A46" w:rsidRDefault="00B70A46" w:rsidP="00B70A46">
      <w:pPr>
        <w:rPr>
          <w:sz w:val="22"/>
          <w:szCs w:val="22"/>
        </w:rPr>
      </w:pPr>
    </w:p>
    <w:p w:rsidR="00B70A46" w:rsidRPr="00D73C2A" w:rsidRDefault="00B70A46" w:rsidP="00B70A46">
      <w:pPr>
        <w:pStyle w:val="BodyText2"/>
        <w:spacing w:after="0" w:line="240" w:lineRule="auto"/>
        <w:ind w:left="349"/>
        <w:jc w:val="both"/>
        <w:rPr>
          <w:bCs/>
          <w:sz w:val="22"/>
          <w:szCs w:val="22"/>
          <w:lang w:eastAsia="en-US"/>
        </w:rPr>
      </w:pPr>
      <w:r w:rsidRPr="00B70A46">
        <w:rPr>
          <w:rFonts w:cs="Arial"/>
          <w:bCs/>
          <w:sz w:val="22"/>
          <w:szCs w:val="22"/>
          <w:lang w:eastAsia="en-US"/>
        </w:rPr>
        <w:t xml:space="preserve">Durant la période d’avril à mai, </w:t>
      </w:r>
      <w:proofErr w:type="spellStart"/>
      <w:r w:rsidRPr="00B70A46">
        <w:rPr>
          <w:rFonts w:cs="Arial"/>
          <w:bCs/>
          <w:sz w:val="22"/>
          <w:szCs w:val="22"/>
          <w:lang w:eastAsia="en-US"/>
        </w:rPr>
        <w:t>Tostan</w:t>
      </w:r>
      <w:proofErr w:type="spellEnd"/>
      <w:r w:rsidRPr="00B70A46">
        <w:rPr>
          <w:rFonts w:cs="Arial"/>
          <w:bCs/>
          <w:sz w:val="22"/>
          <w:szCs w:val="22"/>
          <w:lang w:eastAsia="en-US"/>
        </w:rPr>
        <w:t xml:space="preserve"> appuyé par l’UNICEF, grâce à l’assistance financière de PBF, a continué les activités d’encadrement de 76 communautés pour l’abandon des pratiques néfastes. Cela a abouti à l’habilitation de 125 délégués et déléguées de 92 communautés de </w:t>
      </w:r>
      <w:proofErr w:type="spellStart"/>
      <w:r w:rsidRPr="00B70A46">
        <w:rPr>
          <w:rFonts w:cs="Arial"/>
          <w:bCs/>
          <w:sz w:val="22"/>
          <w:szCs w:val="22"/>
          <w:lang w:eastAsia="en-US"/>
        </w:rPr>
        <w:t>Guékédou</w:t>
      </w:r>
      <w:proofErr w:type="spellEnd"/>
      <w:r w:rsidRPr="00B70A46">
        <w:rPr>
          <w:rFonts w:cs="Arial"/>
          <w:bCs/>
          <w:sz w:val="22"/>
          <w:szCs w:val="22"/>
          <w:lang w:eastAsia="en-US"/>
        </w:rPr>
        <w:t xml:space="preserve"> en matière gestion pacifique de conflit et représentant une population d’environ 36,000 personnes et une déclaration d’abandon public des mutilations génitales et des mariages précoces. Conformément à leur mandat, les comités de gestion communautaires présents dans chacune des communautés ont mené leurs activités de suivi et de veille des cas de filles et de femmes victimes des mutilations génitales féminines au sein de leurs communautés et dans les </w:t>
      </w:r>
      <w:r w:rsidRPr="00D73C2A">
        <w:rPr>
          <w:bCs/>
          <w:sz w:val="22"/>
          <w:szCs w:val="22"/>
          <w:lang w:eastAsia="en-US"/>
        </w:rPr>
        <w:t xml:space="preserve">structures de santé. Aucun cas d’excision n’a été reporté pour la période. </w:t>
      </w:r>
    </w:p>
    <w:p w:rsidR="00B70A46" w:rsidRPr="00D73C2A" w:rsidRDefault="00B70A46" w:rsidP="00B70A46">
      <w:pPr>
        <w:pStyle w:val="BodyText2"/>
        <w:spacing w:after="0" w:line="240" w:lineRule="auto"/>
        <w:ind w:left="349"/>
        <w:jc w:val="both"/>
        <w:rPr>
          <w:bCs/>
          <w:sz w:val="22"/>
          <w:szCs w:val="22"/>
          <w:lang w:eastAsia="en-US"/>
        </w:rPr>
      </w:pPr>
    </w:p>
    <w:p w:rsidR="00B70A46" w:rsidRPr="00D73C2A" w:rsidRDefault="00B70A46" w:rsidP="00B70A46">
      <w:pPr>
        <w:pStyle w:val="BodyText2"/>
        <w:spacing w:after="0" w:line="240" w:lineRule="auto"/>
        <w:ind w:left="349"/>
        <w:jc w:val="both"/>
        <w:rPr>
          <w:bCs/>
          <w:sz w:val="22"/>
          <w:szCs w:val="22"/>
          <w:lang w:eastAsia="en-US"/>
        </w:rPr>
      </w:pPr>
      <w:r w:rsidRPr="00D73C2A">
        <w:rPr>
          <w:bCs/>
          <w:sz w:val="22"/>
          <w:szCs w:val="22"/>
          <w:lang w:eastAsia="en-US"/>
        </w:rPr>
        <w:t xml:space="preserve">En outre, en termes de résultat direct sur le processus de consolidation de la Paix en Guinée au cours de l’année 2013, il convient de souligner, qu’aucun des 19 villages de Nzérékoré accompagnés par </w:t>
      </w:r>
      <w:proofErr w:type="spellStart"/>
      <w:r w:rsidRPr="00D73C2A">
        <w:rPr>
          <w:bCs/>
          <w:sz w:val="22"/>
          <w:szCs w:val="22"/>
          <w:lang w:eastAsia="en-US"/>
        </w:rPr>
        <w:t>Tostan</w:t>
      </w:r>
      <w:proofErr w:type="spellEnd"/>
      <w:r w:rsidRPr="00D73C2A">
        <w:rPr>
          <w:bCs/>
          <w:sz w:val="22"/>
          <w:szCs w:val="22"/>
          <w:lang w:eastAsia="en-US"/>
        </w:rPr>
        <w:t xml:space="preserve"> n’a pris part au conflit </w:t>
      </w:r>
      <w:r w:rsidR="009E6439" w:rsidRPr="00D73C2A">
        <w:rPr>
          <w:bCs/>
          <w:sz w:val="22"/>
          <w:szCs w:val="22"/>
          <w:lang w:eastAsia="en-US"/>
        </w:rPr>
        <w:t>interethnique</w:t>
      </w:r>
      <w:r w:rsidRPr="00D73C2A">
        <w:rPr>
          <w:bCs/>
          <w:sz w:val="22"/>
          <w:szCs w:val="22"/>
          <w:lang w:eastAsia="en-US"/>
        </w:rPr>
        <w:t xml:space="preserve"> qui a survenu en juillet 2013, dans cette région. Cette considération concerne en particulier quatre (4) des villages accompagnés par </w:t>
      </w:r>
      <w:proofErr w:type="spellStart"/>
      <w:r w:rsidRPr="00D73C2A">
        <w:rPr>
          <w:bCs/>
          <w:sz w:val="22"/>
          <w:szCs w:val="22"/>
          <w:lang w:eastAsia="en-US"/>
        </w:rPr>
        <w:t>Tostan</w:t>
      </w:r>
      <w:proofErr w:type="spellEnd"/>
      <w:r w:rsidRPr="00D73C2A">
        <w:rPr>
          <w:bCs/>
          <w:sz w:val="22"/>
          <w:szCs w:val="22"/>
          <w:lang w:eastAsia="en-US"/>
        </w:rPr>
        <w:t xml:space="preserve"> qui auraient dû être été directement impliqués par le conflit, soit deux villages (</w:t>
      </w:r>
      <w:proofErr w:type="spellStart"/>
      <w:r w:rsidRPr="00D73C2A">
        <w:rPr>
          <w:bCs/>
          <w:sz w:val="22"/>
          <w:szCs w:val="22"/>
          <w:lang w:eastAsia="en-US"/>
        </w:rPr>
        <w:t>Tamoé</w:t>
      </w:r>
      <w:proofErr w:type="spellEnd"/>
      <w:r w:rsidRPr="00D73C2A">
        <w:rPr>
          <w:bCs/>
          <w:sz w:val="22"/>
          <w:szCs w:val="22"/>
          <w:lang w:eastAsia="en-US"/>
        </w:rPr>
        <w:t xml:space="preserve"> et </w:t>
      </w:r>
      <w:proofErr w:type="spellStart"/>
      <w:r w:rsidRPr="00D73C2A">
        <w:rPr>
          <w:bCs/>
          <w:sz w:val="22"/>
          <w:szCs w:val="22"/>
          <w:lang w:eastAsia="en-US"/>
        </w:rPr>
        <w:t>Godoyé</w:t>
      </w:r>
      <w:proofErr w:type="spellEnd"/>
      <w:r w:rsidRPr="00D73C2A">
        <w:rPr>
          <w:bCs/>
          <w:sz w:val="22"/>
          <w:szCs w:val="22"/>
          <w:lang w:eastAsia="en-US"/>
        </w:rPr>
        <w:t xml:space="preserve">) où cohabitent les deux groupes ethniques qui étaient en conflit (Malinké et </w:t>
      </w:r>
      <w:proofErr w:type="spellStart"/>
      <w:r w:rsidRPr="00D73C2A">
        <w:rPr>
          <w:bCs/>
          <w:sz w:val="22"/>
          <w:szCs w:val="22"/>
          <w:lang w:eastAsia="en-US"/>
        </w:rPr>
        <w:t>Guerzé</w:t>
      </w:r>
      <w:proofErr w:type="spellEnd"/>
      <w:r w:rsidRPr="00D73C2A">
        <w:rPr>
          <w:bCs/>
          <w:sz w:val="22"/>
          <w:szCs w:val="22"/>
          <w:lang w:eastAsia="en-US"/>
        </w:rPr>
        <w:t xml:space="preserve">) et deux exclusivement habités par l'ethnie </w:t>
      </w:r>
      <w:proofErr w:type="spellStart"/>
      <w:r w:rsidRPr="00D73C2A">
        <w:rPr>
          <w:bCs/>
          <w:sz w:val="22"/>
          <w:szCs w:val="22"/>
          <w:lang w:eastAsia="en-US"/>
        </w:rPr>
        <w:t>Guerze</w:t>
      </w:r>
      <w:proofErr w:type="spellEnd"/>
      <w:r w:rsidRPr="00D73C2A">
        <w:rPr>
          <w:bCs/>
          <w:sz w:val="22"/>
          <w:szCs w:val="22"/>
          <w:lang w:eastAsia="en-US"/>
        </w:rPr>
        <w:t xml:space="preserve"> (</w:t>
      </w:r>
      <w:proofErr w:type="spellStart"/>
      <w:r w:rsidRPr="00D73C2A">
        <w:rPr>
          <w:bCs/>
          <w:sz w:val="22"/>
          <w:szCs w:val="22"/>
          <w:lang w:eastAsia="en-US"/>
        </w:rPr>
        <w:t>Konia</w:t>
      </w:r>
      <w:proofErr w:type="spellEnd"/>
      <w:r w:rsidRPr="00D73C2A">
        <w:rPr>
          <w:bCs/>
          <w:sz w:val="22"/>
          <w:szCs w:val="22"/>
          <w:lang w:eastAsia="en-US"/>
        </w:rPr>
        <w:t>, Aviation). Ces deux derniers villages n’ont pas subi de menaces pendant cette période difficile.</w:t>
      </w:r>
    </w:p>
    <w:p w:rsidR="00B70A46" w:rsidRPr="00D73C2A" w:rsidRDefault="00B70A46" w:rsidP="00161B6B">
      <w:pPr>
        <w:pStyle w:val="BodyText2"/>
        <w:spacing w:after="0" w:line="240" w:lineRule="auto"/>
        <w:jc w:val="both"/>
        <w:rPr>
          <w:sz w:val="22"/>
          <w:szCs w:val="22"/>
        </w:rPr>
      </w:pPr>
    </w:p>
    <w:p w:rsidR="00B70A46" w:rsidRPr="00D73C2A" w:rsidRDefault="005F43B8" w:rsidP="00B70A46">
      <w:pPr>
        <w:pStyle w:val="BodyText2"/>
        <w:spacing w:after="0" w:line="240" w:lineRule="auto"/>
        <w:ind w:left="349"/>
        <w:jc w:val="both"/>
        <w:rPr>
          <w:sz w:val="22"/>
          <w:szCs w:val="22"/>
        </w:rPr>
      </w:pPr>
      <w:r w:rsidRPr="00D73C2A">
        <w:rPr>
          <w:bCs/>
          <w:sz w:val="22"/>
          <w:szCs w:val="22"/>
          <w:lang w:eastAsia="en-US"/>
        </w:rPr>
        <w:t xml:space="preserve">En ce qui concerne la prise en charge juridique des cas des VBG, un guide pour l’accompagnement juridique et judiciaire des victimes a été développé </w:t>
      </w:r>
      <w:r w:rsidR="00161B6B" w:rsidRPr="00D73C2A">
        <w:rPr>
          <w:bCs/>
          <w:sz w:val="22"/>
          <w:szCs w:val="22"/>
          <w:lang w:eastAsia="en-US"/>
        </w:rPr>
        <w:t xml:space="preserve">et </w:t>
      </w:r>
      <w:r w:rsidR="00CC7815" w:rsidRPr="00D73C2A">
        <w:rPr>
          <w:bCs/>
          <w:sz w:val="22"/>
          <w:szCs w:val="22"/>
          <w:lang w:eastAsia="en-US"/>
        </w:rPr>
        <w:t>utilis</w:t>
      </w:r>
      <w:r w:rsidR="00161B6B" w:rsidRPr="00D73C2A">
        <w:rPr>
          <w:bCs/>
          <w:sz w:val="22"/>
          <w:szCs w:val="22"/>
          <w:lang w:eastAsia="en-US"/>
        </w:rPr>
        <w:t>é</w:t>
      </w:r>
      <w:r w:rsidR="00CC7815" w:rsidRPr="00D73C2A">
        <w:rPr>
          <w:bCs/>
          <w:sz w:val="22"/>
          <w:szCs w:val="22"/>
          <w:lang w:eastAsia="en-US"/>
        </w:rPr>
        <w:t xml:space="preserve"> comme </w:t>
      </w:r>
      <w:r w:rsidR="00161B6B" w:rsidRPr="00D73C2A">
        <w:rPr>
          <w:bCs/>
          <w:sz w:val="22"/>
          <w:szCs w:val="22"/>
          <w:lang w:eastAsia="en-US"/>
        </w:rPr>
        <w:t xml:space="preserve">principal support pour les trois sessions formation organisée </w:t>
      </w:r>
      <w:proofErr w:type="spellStart"/>
      <w:r w:rsidR="00161B6B" w:rsidRPr="00D73C2A">
        <w:rPr>
          <w:bCs/>
          <w:sz w:val="22"/>
          <w:szCs w:val="22"/>
          <w:lang w:eastAsia="en-US"/>
        </w:rPr>
        <w:t>a</w:t>
      </w:r>
      <w:proofErr w:type="spellEnd"/>
      <w:r w:rsidR="00161B6B" w:rsidRPr="00D73C2A">
        <w:rPr>
          <w:bCs/>
          <w:sz w:val="22"/>
          <w:szCs w:val="22"/>
          <w:lang w:eastAsia="en-US"/>
        </w:rPr>
        <w:t xml:space="preserve"> Conakry et les </w:t>
      </w:r>
      <w:r w:rsidR="00CC7815" w:rsidRPr="00D73C2A">
        <w:rPr>
          <w:bCs/>
          <w:sz w:val="22"/>
          <w:szCs w:val="22"/>
          <w:lang w:eastAsia="en-US"/>
        </w:rPr>
        <w:t>Régions</w:t>
      </w:r>
      <w:r w:rsidR="00161B6B" w:rsidRPr="00D73C2A">
        <w:rPr>
          <w:bCs/>
          <w:sz w:val="22"/>
          <w:szCs w:val="22"/>
          <w:lang w:eastAsia="en-US"/>
        </w:rPr>
        <w:t xml:space="preserve"> Administratives de Kankan et Labé</w:t>
      </w:r>
      <w:r w:rsidR="00CC7815" w:rsidRPr="00D73C2A">
        <w:rPr>
          <w:bCs/>
          <w:sz w:val="22"/>
          <w:szCs w:val="22"/>
          <w:lang w:eastAsia="en-US"/>
        </w:rPr>
        <w:t xml:space="preserve"> qui ont ciblé</w:t>
      </w:r>
      <w:r w:rsidR="00161B6B" w:rsidRPr="00D73C2A">
        <w:rPr>
          <w:bCs/>
          <w:sz w:val="22"/>
          <w:szCs w:val="22"/>
          <w:lang w:eastAsia="en-US"/>
        </w:rPr>
        <w:t xml:space="preserve"> </w:t>
      </w:r>
      <w:r w:rsidR="005951FB" w:rsidRPr="00D73C2A">
        <w:rPr>
          <w:bCs/>
          <w:sz w:val="22"/>
          <w:szCs w:val="22"/>
          <w:lang w:eastAsia="en-US"/>
        </w:rPr>
        <w:t>1</w:t>
      </w:r>
      <w:r w:rsidR="00621CBC" w:rsidRPr="00D73C2A">
        <w:rPr>
          <w:bCs/>
          <w:sz w:val="22"/>
          <w:szCs w:val="22"/>
          <w:lang w:eastAsia="en-US"/>
        </w:rPr>
        <w:t>0</w:t>
      </w:r>
      <w:r w:rsidR="005951FB" w:rsidRPr="00D73C2A">
        <w:rPr>
          <w:bCs/>
          <w:sz w:val="22"/>
          <w:szCs w:val="22"/>
          <w:lang w:eastAsia="en-US"/>
        </w:rPr>
        <w:t>0</w:t>
      </w:r>
      <w:r w:rsidR="00161B6B" w:rsidRPr="00D73C2A">
        <w:rPr>
          <w:bCs/>
          <w:sz w:val="22"/>
          <w:szCs w:val="22"/>
          <w:lang w:eastAsia="en-US"/>
        </w:rPr>
        <w:t xml:space="preserve"> </w:t>
      </w:r>
      <w:r w:rsidRPr="00D73C2A">
        <w:rPr>
          <w:bCs/>
          <w:sz w:val="22"/>
          <w:szCs w:val="22"/>
          <w:lang w:eastAsia="en-US"/>
        </w:rPr>
        <w:t>professionnels de la justice, notamment les juristes et para-juristes, les avocats, les officiers de police judicaire, les Juges et les Magistrats afin de renforcer l’application correcte de la loi pour les cas des VBG. En outre</w:t>
      </w:r>
      <w:r w:rsidR="00CC7815" w:rsidRPr="00D73C2A">
        <w:rPr>
          <w:bCs/>
          <w:sz w:val="22"/>
          <w:szCs w:val="22"/>
          <w:lang w:eastAsia="en-US"/>
        </w:rPr>
        <w:t xml:space="preserve">, </w:t>
      </w:r>
      <w:r w:rsidR="00621CBC" w:rsidRPr="00D73C2A">
        <w:rPr>
          <w:bCs/>
          <w:sz w:val="22"/>
          <w:szCs w:val="22"/>
          <w:lang w:eastAsia="en-US"/>
        </w:rPr>
        <w:t>32</w:t>
      </w:r>
      <w:r w:rsidR="00CC7815" w:rsidRPr="00D73C2A">
        <w:rPr>
          <w:bCs/>
          <w:sz w:val="22"/>
          <w:szCs w:val="22"/>
          <w:lang w:eastAsia="en-US"/>
        </w:rPr>
        <w:t xml:space="preserve"> victimes de VBG</w:t>
      </w:r>
      <w:r w:rsidR="00621CBC" w:rsidRPr="00D73C2A">
        <w:rPr>
          <w:bCs/>
          <w:sz w:val="22"/>
          <w:szCs w:val="22"/>
          <w:lang w:eastAsia="en-US"/>
        </w:rPr>
        <w:t xml:space="preserve"> sur un total de 150 ciblés à travers le projet</w:t>
      </w:r>
      <w:r w:rsidR="00CC7815" w:rsidRPr="00D73C2A">
        <w:rPr>
          <w:bCs/>
          <w:sz w:val="22"/>
          <w:szCs w:val="22"/>
          <w:lang w:eastAsia="en-US"/>
        </w:rPr>
        <w:t xml:space="preserve"> ont bénéficié d’un accompagnement judiciaire</w:t>
      </w:r>
      <w:r w:rsidRPr="00D73C2A">
        <w:rPr>
          <w:bCs/>
          <w:sz w:val="22"/>
          <w:szCs w:val="22"/>
          <w:lang w:eastAsia="en-US"/>
        </w:rPr>
        <w:t xml:space="preserve"> </w:t>
      </w:r>
      <w:r w:rsidR="00621CBC" w:rsidRPr="00D73C2A">
        <w:rPr>
          <w:bCs/>
          <w:sz w:val="22"/>
          <w:szCs w:val="22"/>
          <w:lang w:eastAsia="en-US"/>
        </w:rPr>
        <w:t xml:space="preserve">ainsi qu’un appui </w:t>
      </w:r>
      <w:r w:rsidR="00621CBC" w:rsidRPr="00D73C2A">
        <w:rPr>
          <w:bCs/>
          <w:sz w:val="22"/>
          <w:szCs w:val="22"/>
          <w:lang w:eastAsia="en-US"/>
        </w:rPr>
        <w:lastRenderedPageBreak/>
        <w:t>logistique pour la prise en charge des frais de logement durant la procédure judicaire dans le cadre d’une collaboration avec</w:t>
      </w:r>
      <w:r w:rsidR="00CC7815" w:rsidRPr="00D73C2A">
        <w:rPr>
          <w:bCs/>
          <w:sz w:val="22"/>
          <w:szCs w:val="22"/>
          <w:lang w:eastAsia="en-US"/>
        </w:rPr>
        <w:t xml:space="preserve"> </w:t>
      </w:r>
      <w:r w:rsidRPr="00D73C2A">
        <w:rPr>
          <w:bCs/>
          <w:sz w:val="22"/>
          <w:szCs w:val="22"/>
          <w:lang w:eastAsia="en-US"/>
        </w:rPr>
        <w:t>les Centre d’Information et de Proximité à Conak</w:t>
      </w:r>
      <w:r w:rsidR="00621CBC" w:rsidRPr="00D73C2A">
        <w:rPr>
          <w:bCs/>
          <w:sz w:val="22"/>
          <w:szCs w:val="22"/>
          <w:lang w:eastAsia="en-US"/>
        </w:rPr>
        <w:t>ry et 4 Régions Administratives.</w:t>
      </w:r>
    </w:p>
    <w:p w:rsidR="00B70A46" w:rsidRPr="00D73C2A" w:rsidRDefault="00B70A46" w:rsidP="00B70A46">
      <w:pPr>
        <w:pStyle w:val="BodyText2"/>
        <w:spacing w:after="0" w:line="240" w:lineRule="auto"/>
        <w:ind w:left="349"/>
        <w:jc w:val="both"/>
        <w:rPr>
          <w:sz w:val="22"/>
          <w:szCs w:val="22"/>
        </w:rPr>
      </w:pPr>
    </w:p>
    <w:p w:rsidR="005F43B8" w:rsidRPr="00D73C2A" w:rsidRDefault="005F43B8" w:rsidP="00B70A46">
      <w:pPr>
        <w:pStyle w:val="BodyText2"/>
        <w:spacing w:after="0" w:line="240" w:lineRule="auto"/>
        <w:ind w:left="349"/>
        <w:jc w:val="both"/>
        <w:rPr>
          <w:sz w:val="22"/>
          <w:szCs w:val="22"/>
        </w:rPr>
      </w:pPr>
      <w:r w:rsidRPr="00D73C2A">
        <w:rPr>
          <w:bCs/>
          <w:sz w:val="22"/>
          <w:szCs w:val="22"/>
          <w:lang w:eastAsia="en-US"/>
        </w:rPr>
        <w:t>Un programme pour la réintégration socioéconomique ciblant 60 victimes de VBG recensées à travers les Centres VBG dans les structures de Santé de  Conakry (2) Boké (1) Labé(1) Kankan(1) N’</w:t>
      </w:r>
      <w:r w:rsidR="008B0AEB" w:rsidRPr="00D73C2A">
        <w:rPr>
          <w:bCs/>
          <w:sz w:val="22"/>
          <w:szCs w:val="22"/>
          <w:lang w:eastAsia="en-US"/>
        </w:rPr>
        <w:t>Nzérékoré</w:t>
      </w:r>
      <w:r w:rsidRPr="00D73C2A">
        <w:rPr>
          <w:bCs/>
          <w:sz w:val="22"/>
          <w:szCs w:val="22"/>
          <w:lang w:eastAsia="en-US"/>
        </w:rPr>
        <w:t>(1) est en train de d’être mis en place</w:t>
      </w:r>
      <w:r w:rsidR="00621CBC" w:rsidRPr="00D73C2A">
        <w:rPr>
          <w:bCs/>
          <w:sz w:val="22"/>
          <w:szCs w:val="22"/>
          <w:lang w:eastAsia="en-US"/>
        </w:rPr>
        <w:t xml:space="preserve"> et sera exécuté en 2014.</w:t>
      </w:r>
      <w:r w:rsidRPr="00D73C2A">
        <w:rPr>
          <w:bCs/>
          <w:sz w:val="22"/>
          <w:szCs w:val="22"/>
          <w:lang w:eastAsia="en-US"/>
        </w:rPr>
        <w:t xml:space="preserve"> Suite à une identification de besoins de formation et de  métier des victimes de VBG, des ateliers de formation des cibles à la vie associative aux techniques de gestions commune, planification et mobilisation de fonds sera dispensée. Les femmes seront ensuite organisées dans des Groupements d’Intérêts Economiques dans les domaines de la teinture, coiffure, couture  saponification informaticienne et mareyeuse. Un soutien matériel et financier leur sera accordé leur permettant de mener des activités génératrices de revenus (AGR).</w:t>
      </w:r>
    </w:p>
    <w:p w:rsidR="005F43B8" w:rsidRPr="00D73C2A" w:rsidRDefault="005F43B8" w:rsidP="005F43B8">
      <w:pPr>
        <w:pStyle w:val="BodyText2"/>
        <w:spacing w:after="0" w:line="240" w:lineRule="auto"/>
        <w:jc w:val="both"/>
        <w:rPr>
          <w:bCs/>
          <w:sz w:val="22"/>
          <w:szCs w:val="22"/>
          <w:lang w:eastAsia="en-US"/>
        </w:rPr>
      </w:pPr>
    </w:p>
    <w:p w:rsidR="00C664AD" w:rsidRPr="00D73C2A" w:rsidRDefault="00C664AD" w:rsidP="00C664AD">
      <w:pPr>
        <w:pStyle w:val="BodyText"/>
        <w:numPr>
          <w:ilvl w:val="1"/>
          <w:numId w:val="26"/>
        </w:numPr>
        <w:jc w:val="both"/>
        <w:rPr>
          <w:rFonts w:ascii="Times New Roman" w:hAnsi="Times New Roman" w:cs="Times New Roman"/>
          <w:b/>
          <w:i/>
          <w:sz w:val="22"/>
          <w:szCs w:val="22"/>
          <w:lang w:val="fr-FR"/>
        </w:rPr>
      </w:pPr>
      <w:r w:rsidRPr="00D73C2A">
        <w:rPr>
          <w:rFonts w:ascii="Times New Roman" w:hAnsi="Times New Roman" w:cs="Times New Roman"/>
          <w:b/>
          <w:i/>
          <w:sz w:val="22"/>
          <w:szCs w:val="22"/>
          <w:lang w:val="fr-FR"/>
        </w:rPr>
        <w:t>Les populations ont une meilleure connaissance des droits des femmes victimes et des services de prise en charge disponible</w:t>
      </w:r>
    </w:p>
    <w:p w:rsidR="00621CBC" w:rsidRPr="00D73C2A" w:rsidRDefault="00621CBC" w:rsidP="00621CBC">
      <w:pPr>
        <w:pStyle w:val="BodyText"/>
        <w:jc w:val="both"/>
        <w:rPr>
          <w:rFonts w:ascii="Times New Roman" w:hAnsi="Times New Roman" w:cs="Times New Roman"/>
          <w:b/>
          <w:i/>
          <w:sz w:val="22"/>
          <w:szCs w:val="22"/>
          <w:lang w:val="fr-FR"/>
        </w:rPr>
      </w:pPr>
    </w:p>
    <w:p w:rsidR="00621CBC" w:rsidRPr="00D73C2A" w:rsidRDefault="00621CBC" w:rsidP="00621CBC">
      <w:pPr>
        <w:pStyle w:val="BodyText2"/>
        <w:spacing w:after="0" w:line="240" w:lineRule="auto"/>
        <w:ind w:left="349"/>
        <w:jc w:val="both"/>
        <w:rPr>
          <w:bCs/>
          <w:sz w:val="22"/>
          <w:szCs w:val="22"/>
          <w:lang w:eastAsia="en-US"/>
        </w:rPr>
      </w:pPr>
      <w:r w:rsidRPr="00D73C2A">
        <w:rPr>
          <w:bCs/>
          <w:sz w:val="22"/>
          <w:szCs w:val="22"/>
          <w:lang w:eastAsia="en-US"/>
        </w:rPr>
        <w:t>Les populations ont été ciblées également pour  renforcer leurs  connaissances des droits des femmes victimes et des services de prise en charge à travers le développement de programmes radio et télé avec la police et la brigade de recherche de la Gendarmerie. Ainsi des radios de proximité publiques et privées de Conakry et à l’intérieur du pays  ont été retenues pour  réaliser 102 émissions de tables rondes, de micro- programmes, de magazines et des jeux durant 4 mois.</w:t>
      </w:r>
    </w:p>
    <w:p w:rsidR="00621CBC" w:rsidRPr="00D73C2A" w:rsidRDefault="00621CBC" w:rsidP="00621CBC">
      <w:pPr>
        <w:pStyle w:val="BodyText2"/>
        <w:spacing w:after="0" w:line="240" w:lineRule="auto"/>
        <w:ind w:left="349"/>
        <w:jc w:val="both"/>
        <w:rPr>
          <w:bCs/>
          <w:sz w:val="22"/>
          <w:szCs w:val="22"/>
          <w:lang w:eastAsia="en-US"/>
        </w:rPr>
      </w:pPr>
    </w:p>
    <w:p w:rsidR="00621CBC" w:rsidRPr="00A47AD1" w:rsidRDefault="00621CBC" w:rsidP="00A47AD1">
      <w:pPr>
        <w:pStyle w:val="BodyText2"/>
        <w:spacing w:after="0" w:line="240" w:lineRule="auto"/>
        <w:ind w:left="349"/>
        <w:jc w:val="both"/>
        <w:rPr>
          <w:bCs/>
          <w:sz w:val="22"/>
          <w:szCs w:val="22"/>
          <w:lang w:eastAsia="en-US"/>
        </w:rPr>
      </w:pPr>
      <w:r w:rsidRPr="00D73C2A">
        <w:rPr>
          <w:bCs/>
          <w:sz w:val="22"/>
          <w:szCs w:val="22"/>
          <w:lang w:eastAsia="en-US"/>
        </w:rPr>
        <w:t xml:space="preserve">Une sensibilisation sur les services de prise en charge judicaire et juridique des VBG au niveau des régions administratives de Kankan et Labé ont cible 440 personnes dont les équipes des Centre d’Information et de Proximité, les Organisations de la </w:t>
      </w:r>
      <w:r w:rsidR="00A47AD1" w:rsidRPr="00D73C2A">
        <w:rPr>
          <w:bCs/>
          <w:sz w:val="22"/>
          <w:szCs w:val="22"/>
          <w:lang w:eastAsia="en-US"/>
        </w:rPr>
        <w:t>Société</w:t>
      </w:r>
      <w:r w:rsidRPr="00D73C2A">
        <w:rPr>
          <w:bCs/>
          <w:sz w:val="22"/>
          <w:szCs w:val="22"/>
          <w:lang w:eastAsia="en-US"/>
        </w:rPr>
        <w:t xml:space="preserve"> Civil</w:t>
      </w:r>
      <w:r w:rsidR="00A47AD1">
        <w:rPr>
          <w:bCs/>
          <w:sz w:val="22"/>
          <w:szCs w:val="22"/>
          <w:lang w:eastAsia="en-US"/>
        </w:rPr>
        <w:t>e</w:t>
      </w:r>
      <w:r w:rsidRPr="00D73C2A">
        <w:rPr>
          <w:bCs/>
          <w:sz w:val="22"/>
          <w:szCs w:val="22"/>
          <w:lang w:eastAsia="en-US"/>
        </w:rPr>
        <w:t xml:space="preserve"> et les Officiers de la Police Judiciaire. </w:t>
      </w:r>
    </w:p>
    <w:p w:rsidR="00B901A1" w:rsidRPr="00A47AD1" w:rsidRDefault="00B901A1" w:rsidP="00621CBC">
      <w:pPr>
        <w:pStyle w:val="BodyText2"/>
        <w:spacing w:after="0" w:line="240" w:lineRule="auto"/>
        <w:jc w:val="both"/>
        <w:rPr>
          <w:sz w:val="22"/>
          <w:szCs w:val="22"/>
        </w:rPr>
      </w:pPr>
    </w:p>
    <w:p w:rsidR="005C49FB" w:rsidRPr="00C82F58" w:rsidRDefault="00B901A1" w:rsidP="00C82F58">
      <w:pPr>
        <w:ind w:left="349"/>
        <w:jc w:val="both"/>
        <w:rPr>
          <w:sz w:val="22"/>
          <w:szCs w:val="22"/>
        </w:rPr>
      </w:pPr>
      <w:r w:rsidRPr="00A47AD1">
        <w:rPr>
          <w:sz w:val="22"/>
          <w:szCs w:val="22"/>
        </w:rPr>
        <w:t>La réactivation d’une ligne verte gratuite (116) dont la gestion revient à l’ONG AGUIAS a permis de renforcer le dispositif communautaire d’identification, de référencement, de prise en charge et de réinsertion des survivantes de VBG. La ligne permet aux victimes et toute autre personne de demander assistance ou conseils à des personnes spécialistes à l’écoute. Ainsi ce numéro s’inscrit également dans le cadre d’une stratégie d’alerte,  de prévention,  de prise en charge précoce et rapide</w:t>
      </w:r>
      <w:r w:rsidRPr="00D73C2A">
        <w:rPr>
          <w:sz w:val="22"/>
          <w:szCs w:val="22"/>
        </w:rPr>
        <w:t xml:space="preserve"> </w:t>
      </w:r>
    </w:p>
    <w:p w:rsidR="005C49FB" w:rsidRPr="00D73C2A" w:rsidRDefault="005C49FB" w:rsidP="00442507">
      <w:pPr>
        <w:pStyle w:val="BodyText"/>
        <w:jc w:val="both"/>
        <w:rPr>
          <w:rFonts w:ascii="Times New Roman" w:hAnsi="Times New Roman" w:cs="Times New Roman"/>
          <w:sz w:val="22"/>
          <w:szCs w:val="22"/>
          <w:lang w:val="fr-FR"/>
        </w:rPr>
      </w:pPr>
    </w:p>
    <w:p w:rsidR="00442507" w:rsidRPr="00D73C2A" w:rsidRDefault="00442507" w:rsidP="00442507">
      <w:pPr>
        <w:pStyle w:val="BodyText"/>
        <w:numPr>
          <w:ilvl w:val="1"/>
          <w:numId w:val="26"/>
        </w:numPr>
        <w:jc w:val="both"/>
        <w:rPr>
          <w:rFonts w:ascii="Times New Roman" w:hAnsi="Times New Roman" w:cs="Times New Roman"/>
          <w:b/>
          <w:i/>
          <w:sz w:val="22"/>
          <w:szCs w:val="22"/>
          <w:lang w:val="fr-FR"/>
        </w:rPr>
      </w:pPr>
      <w:r w:rsidRPr="00D73C2A">
        <w:rPr>
          <w:rFonts w:ascii="Times New Roman" w:hAnsi="Times New Roman" w:cs="Times New Roman"/>
          <w:b/>
          <w:i/>
          <w:sz w:val="22"/>
          <w:szCs w:val="22"/>
          <w:lang w:val="fr-FR"/>
        </w:rPr>
        <w:t>Les structures nationales et locales intervenant dans la lutte contre les VBG sont renforcées</w:t>
      </w:r>
    </w:p>
    <w:p w:rsidR="00442507" w:rsidRPr="00D73C2A" w:rsidRDefault="00442507" w:rsidP="00442507">
      <w:pPr>
        <w:pStyle w:val="BodyText"/>
        <w:ind w:left="1080"/>
        <w:jc w:val="both"/>
        <w:rPr>
          <w:rFonts w:ascii="Times New Roman" w:hAnsi="Times New Roman" w:cs="Times New Roman"/>
          <w:sz w:val="22"/>
          <w:szCs w:val="22"/>
          <w:lang w:val="fr-FR"/>
        </w:rPr>
      </w:pPr>
    </w:p>
    <w:p w:rsidR="00A62418" w:rsidRDefault="00AA5B94" w:rsidP="00A62418">
      <w:pPr>
        <w:pStyle w:val="BodyText2"/>
        <w:spacing w:after="0" w:line="240" w:lineRule="auto"/>
        <w:ind w:left="349"/>
        <w:jc w:val="both"/>
        <w:rPr>
          <w:bCs/>
          <w:sz w:val="22"/>
          <w:szCs w:val="22"/>
          <w:lang w:eastAsia="en-US"/>
        </w:rPr>
      </w:pPr>
      <w:r w:rsidRPr="00AA5B94">
        <w:rPr>
          <w:bCs/>
          <w:sz w:val="22"/>
          <w:szCs w:val="22"/>
          <w:lang w:eastAsia="en-US"/>
        </w:rPr>
        <w:t xml:space="preserve">Afin de renforcer le suivi médical des cas de VBG, </w:t>
      </w:r>
      <w:r>
        <w:rPr>
          <w:bCs/>
          <w:sz w:val="22"/>
          <w:szCs w:val="22"/>
          <w:lang w:eastAsia="en-US"/>
        </w:rPr>
        <w:t xml:space="preserve"> </w:t>
      </w:r>
      <w:r w:rsidRPr="00D73C2A">
        <w:rPr>
          <w:bCs/>
          <w:sz w:val="22"/>
          <w:szCs w:val="22"/>
          <w:lang w:eastAsia="en-US"/>
        </w:rPr>
        <w:t xml:space="preserve">une base de données </w:t>
      </w:r>
      <w:r>
        <w:rPr>
          <w:bCs/>
          <w:sz w:val="22"/>
          <w:szCs w:val="22"/>
          <w:lang w:eastAsia="en-US"/>
        </w:rPr>
        <w:t xml:space="preserve">a été </w:t>
      </w:r>
      <w:r w:rsidR="00A62418">
        <w:rPr>
          <w:bCs/>
          <w:sz w:val="22"/>
          <w:szCs w:val="22"/>
          <w:lang w:eastAsia="en-US"/>
        </w:rPr>
        <w:t>développée</w:t>
      </w:r>
      <w:r>
        <w:rPr>
          <w:bCs/>
          <w:sz w:val="22"/>
          <w:szCs w:val="22"/>
          <w:lang w:eastAsia="en-US"/>
        </w:rPr>
        <w:t xml:space="preserve"> </w:t>
      </w:r>
      <w:r w:rsidRPr="00D73C2A">
        <w:rPr>
          <w:bCs/>
          <w:sz w:val="22"/>
          <w:szCs w:val="22"/>
          <w:lang w:eastAsia="en-US"/>
        </w:rPr>
        <w:t>au niveau national</w:t>
      </w:r>
      <w:r>
        <w:rPr>
          <w:bCs/>
          <w:sz w:val="22"/>
          <w:szCs w:val="22"/>
          <w:lang w:eastAsia="en-US"/>
        </w:rPr>
        <w:t xml:space="preserve"> avec l’appui de l’UNFPA </w:t>
      </w:r>
      <w:r w:rsidRPr="00D73C2A">
        <w:rPr>
          <w:bCs/>
          <w:sz w:val="22"/>
          <w:szCs w:val="22"/>
          <w:lang w:eastAsia="en-US"/>
        </w:rPr>
        <w:t xml:space="preserve"> pour la collecte, l’analyse et le traitement des données sur les cas des VBG</w:t>
      </w:r>
      <w:r>
        <w:rPr>
          <w:bCs/>
          <w:sz w:val="22"/>
          <w:szCs w:val="22"/>
          <w:lang w:eastAsia="en-US"/>
        </w:rPr>
        <w:t>. Le logiciel de la base de données est disponible et 15 prestataires de services des Centres Pilotes de Conakry (</w:t>
      </w:r>
      <w:r w:rsidRPr="00AA5B94">
        <w:rPr>
          <w:bCs/>
          <w:sz w:val="22"/>
          <w:szCs w:val="22"/>
          <w:lang w:eastAsia="en-US"/>
        </w:rPr>
        <w:t xml:space="preserve">Hôpital Jean Paul II, </w:t>
      </w:r>
      <w:r w:rsidR="000E4090" w:rsidRPr="00AA5B94">
        <w:rPr>
          <w:bCs/>
          <w:sz w:val="22"/>
          <w:szCs w:val="22"/>
          <w:lang w:eastAsia="en-US"/>
        </w:rPr>
        <w:t xml:space="preserve"> Centre de </w:t>
      </w:r>
      <w:r w:rsidRPr="00AA5B94">
        <w:rPr>
          <w:bCs/>
          <w:sz w:val="22"/>
          <w:szCs w:val="22"/>
          <w:lang w:eastAsia="en-US"/>
        </w:rPr>
        <w:t>S</w:t>
      </w:r>
      <w:r w:rsidR="000E4090" w:rsidRPr="00AA5B94">
        <w:rPr>
          <w:bCs/>
          <w:sz w:val="22"/>
          <w:szCs w:val="22"/>
          <w:lang w:eastAsia="en-US"/>
        </w:rPr>
        <w:t xml:space="preserve">anté de </w:t>
      </w:r>
      <w:proofErr w:type="spellStart"/>
      <w:r w:rsidR="000E4090" w:rsidRPr="00AA5B94">
        <w:rPr>
          <w:bCs/>
          <w:sz w:val="22"/>
          <w:szCs w:val="22"/>
          <w:lang w:eastAsia="en-US"/>
        </w:rPr>
        <w:t>Yimbaya</w:t>
      </w:r>
      <w:proofErr w:type="spellEnd"/>
      <w:r w:rsidRPr="00AA5B94">
        <w:rPr>
          <w:bCs/>
          <w:sz w:val="22"/>
          <w:szCs w:val="22"/>
          <w:lang w:eastAsia="en-US"/>
        </w:rPr>
        <w:t xml:space="preserve">) ainsi que les Centre Pilotes VBG de </w:t>
      </w:r>
      <w:proofErr w:type="spellStart"/>
      <w:r w:rsidRPr="00AA5B94">
        <w:rPr>
          <w:bCs/>
          <w:sz w:val="22"/>
          <w:szCs w:val="22"/>
          <w:lang w:eastAsia="en-US"/>
        </w:rPr>
        <w:t>Kamsar</w:t>
      </w:r>
      <w:proofErr w:type="spellEnd"/>
      <w:r w:rsidRPr="00AA5B94">
        <w:rPr>
          <w:bCs/>
          <w:sz w:val="22"/>
          <w:szCs w:val="22"/>
          <w:lang w:eastAsia="en-US"/>
        </w:rPr>
        <w:t xml:space="preserve"> </w:t>
      </w:r>
      <w:r w:rsidR="000E4090" w:rsidRPr="00AA5B94">
        <w:rPr>
          <w:bCs/>
          <w:sz w:val="22"/>
          <w:szCs w:val="22"/>
          <w:lang w:eastAsia="en-US"/>
        </w:rPr>
        <w:t xml:space="preserve">et ceux des </w:t>
      </w:r>
      <w:r w:rsidRPr="00AA5B94">
        <w:rPr>
          <w:bCs/>
          <w:sz w:val="22"/>
          <w:szCs w:val="22"/>
          <w:lang w:eastAsia="en-US"/>
        </w:rPr>
        <w:t>hôpitaux</w:t>
      </w:r>
      <w:r w:rsidR="000E4090" w:rsidRPr="00AA5B94">
        <w:rPr>
          <w:bCs/>
          <w:sz w:val="22"/>
          <w:szCs w:val="22"/>
          <w:lang w:eastAsia="en-US"/>
        </w:rPr>
        <w:t xml:space="preserve"> </w:t>
      </w:r>
      <w:r w:rsidRPr="00AA5B94">
        <w:rPr>
          <w:bCs/>
          <w:sz w:val="22"/>
          <w:szCs w:val="22"/>
          <w:lang w:eastAsia="en-US"/>
        </w:rPr>
        <w:t>régionaux</w:t>
      </w:r>
      <w:r w:rsidR="000E4090" w:rsidRPr="00AA5B94">
        <w:rPr>
          <w:bCs/>
          <w:sz w:val="22"/>
          <w:szCs w:val="22"/>
          <w:lang w:eastAsia="en-US"/>
        </w:rPr>
        <w:t xml:space="preserve"> de Labé Kankan et  N’</w:t>
      </w:r>
      <w:proofErr w:type="spellStart"/>
      <w:r w:rsidR="000E4090" w:rsidRPr="00AA5B94">
        <w:rPr>
          <w:bCs/>
          <w:sz w:val="22"/>
          <w:szCs w:val="22"/>
          <w:lang w:eastAsia="en-US"/>
        </w:rPr>
        <w:t>Zerekoré</w:t>
      </w:r>
      <w:proofErr w:type="spellEnd"/>
      <w:r>
        <w:rPr>
          <w:bCs/>
          <w:sz w:val="22"/>
          <w:szCs w:val="22"/>
          <w:lang w:eastAsia="en-US"/>
        </w:rPr>
        <w:t xml:space="preserve"> ont été form</w:t>
      </w:r>
      <w:r w:rsidR="00A62418">
        <w:rPr>
          <w:bCs/>
          <w:sz w:val="22"/>
          <w:szCs w:val="22"/>
          <w:lang w:eastAsia="en-US"/>
        </w:rPr>
        <w:t xml:space="preserve">é </w:t>
      </w:r>
      <w:r>
        <w:rPr>
          <w:bCs/>
          <w:sz w:val="22"/>
          <w:szCs w:val="22"/>
          <w:lang w:eastAsia="en-US"/>
        </w:rPr>
        <w:t>sur</w:t>
      </w:r>
      <w:r w:rsidR="00A62418">
        <w:rPr>
          <w:bCs/>
          <w:sz w:val="22"/>
          <w:szCs w:val="22"/>
          <w:lang w:eastAsia="en-US"/>
        </w:rPr>
        <w:t xml:space="preserve"> son </w:t>
      </w:r>
      <w:r>
        <w:rPr>
          <w:bCs/>
          <w:sz w:val="22"/>
          <w:szCs w:val="22"/>
          <w:lang w:eastAsia="en-US"/>
        </w:rPr>
        <w:t xml:space="preserve">utilisation. Des concertations sont en cours également pour l’harmonisation de </w:t>
      </w:r>
      <w:r w:rsidR="00A62418">
        <w:rPr>
          <w:bCs/>
          <w:sz w:val="22"/>
          <w:szCs w:val="22"/>
          <w:lang w:eastAsia="en-US"/>
        </w:rPr>
        <w:t xml:space="preserve">la </w:t>
      </w:r>
      <w:r>
        <w:rPr>
          <w:bCs/>
          <w:sz w:val="22"/>
          <w:szCs w:val="22"/>
          <w:lang w:eastAsia="en-US"/>
        </w:rPr>
        <w:t>base avec celle développée par le HCDH</w:t>
      </w:r>
      <w:r w:rsidR="00A62418">
        <w:rPr>
          <w:bCs/>
          <w:sz w:val="22"/>
          <w:szCs w:val="22"/>
          <w:lang w:eastAsia="en-US"/>
        </w:rPr>
        <w:t xml:space="preserve"> dans le cadre du Projet Torture/VBG du PBF. Cette dernière </w:t>
      </w:r>
      <w:r>
        <w:rPr>
          <w:bCs/>
          <w:sz w:val="22"/>
          <w:szCs w:val="22"/>
          <w:lang w:eastAsia="en-US"/>
        </w:rPr>
        <w:t>a l’avantage d’</w:t>
      </w:r>
      <w:r w:rsidR="00A62418">
        <w:rPr>
          <w:bCs/>
          <w:sz w:val="22"/>
          <w:szCs w:val="22"/>
          <w:lang w:eastAsia="en-US"/>
        </w:rPr>
        <w:t>intégrer les aspects lié</w:t>
      </w:r>
      <w:r>
        <w:rPr>
          <w:bCs/>
          <w:sz w:val="22"/>
          <w:szCs w:val="22"/>
          <w:lang w:eastAsia="en-US"/>
        </w:rPr>
        <w:t xml:space="preserve">s au suivi psychosocial et judicaire. Il est </w:t>
      </w:r>
      <w:r w:rsidR="00A62418">
        <w:rPr>
          <w:bCs/>
          <w:sz w:val="22"/>
          <w:szCs w:val="22"/>
          <w:lang w:eastAsia="en-US"/>
        </w:rPr>
        <w:t>prévu</w:t>
      </w:r>
      <w:r>
        <w:rPr>
          <w:bCs/>
          <w:sz w:val="22"/>
          <w:szCs w:val="22"/>
          <w:lang w:eastAsia="en-US"/>
        </w:rPr>
        <w:t xml:space="preserve"> qu’en 2014 un serveur permettra de mettre en ligne l’outil </w:t>
      </w:r>
      <w:r w:rsidR="00A62418">
        <w:rPr>
          <w:bCs/>
          <w:sz w:val="22"/>
          <w:szCs w:val="22"/>
          <w:lang w:eastAsia="en-US"/>
        </w:rPr>
        <w:t xml:space="preserve">qui donnera accès à l’ensemble des intervenants de la chaine de prise en charge holistique. </w:t>
      </w:r>
    </w:p>
    <w:p w:rsidR="00A62418" w:rsidRDefault="00A62418" w:rsidP="00A62418">
      <w:pPr>
        <w:pStyle w:val="BodyText2"/>
        <w:spacing w:after="0" w:line="240" w:lineRule="auto"/>
        <w:ind w:left="349"/>
        <w:jc w:val="both"/>
        <w:rPr>
          <w:bCs/>
          <w:sz w:val="22"/>
          <w:szCs w:val="22"/>
          <w:lang w:eastAsia="en-US"/>
        </w:rPr>
      </w:pPr>
    </w:p>
    <w:p w:rsidR="005F43B8" w:rsidRPr="00D73C2A" w:rsidRDefault="00A62418" w:rsidP="00A62418">
      <w:pPr>
        <w:pStyle w:val="BodyText2"/>
        <w:spacing w:after="0" w:line="240" w:lineRule="auto"/>
        <w:ind w:left="349"/>
        <w:jc w:val="both"/>
        <w:rPr>
          <w:bCs/>
          <w:sz w:val="22"/>
          <w:szCs w:val="22"/>
          <w:lang w:eastAsia="en-US"/>
        </w:rPr>
      </w:pPr>
      <w:r>
        <w:rPr>
          <w:bCs/>
          <w:sz w:val="22"/>
          <w:szCs w:val="22"/>
          <w:lang w:eastAsia="en-US"/>
        </w:rPr>
        <w:t xml:space="preserve">Il est prévu en 2014 </w:t>
      </w:r>
      <w:r w:rsidR="005F43B8" w:rsidRPr="00D73C2A">
        <w:rPr>
          <w:bCs/>
          <w:sz w:val="22"/>
          <w:szCs w:val="22"/>
          <w:lang w:eastAsia="en-US"/>
        </w:rPr>
        <w:t>un appui institutionnel à l’Observatoire National de Lutte contre les VBG, à travers la réhabilitation des locaux</w:t>
      </w:r>
      <w:r>
        <w:rPr>
          <w:bCs/>
          <w:sz w:val="22"/>
          <w:szCs w:val="22"/>
          <w:lang w:eastAsia="en-US"/>
        </w:rPr>
        <w:t xml:space="preserve">, </w:t>
      </w:r>
      <w:r w:rsidR="005F43B8" w:rsidRPr="00D73C2A">
        <w:rPr>
          <w:bCs/>
          <w:sz w:val="22"/>
          <w:szCs w:val="22"/>
          <w:lang w:eastAsia="en-US"/>
        </w:rPr>
        <w:t>l’équipement en matériel informatique et bureautique</w:t>
      </w:r>
      <w:r>
        <w:rPr>
          <w:bCs/>
          <w:sz w:val="22"/>
          <w:szCs w:val="22"/>
          <w:lang w:eastAsia="en-US"/>
        </w:rPr>
        <w:t xml:space="preserve">, la formation et les échanges Sud-Sud. </w:t>
      </w:r>
    </w:p>
    <w:p w:rsidR="00264361" w:rsidRPr="00D73C2A" w:rsidRDefault="00264361" w:rsidP="00621CBC">
      <w:pPr>
        <w:pStyle w:val="BodyText"/>
        <w:jc w:val="both"/>
        <w:rPr>
          <w:rFonts w:ascii="Times New Roman" w:hAnsi="Times New Roman" w:cs="Times New Roman"/>
          <w:sz w:val="22"/>
          <w:szCs w:val="22"/>
          <w:lang w:val="fr-FR"/>
        </w:rPr>
      </w:pPr>
    </w:p>
    <w:p w:rsidR="00EB2369" w:rsidRPr="00D73C2A" w:rsidRDefault="00264361" w:rsidP="003620EA">
      <w:pPr>
        <w:pStyle w:val="BodyText"/>
        <w:keepNext/>
        <w:keepLines/>
        <w:numPr>
          <w:ilvl w:val="0"/>
          <w:numId w:val="4"/>
        </w:numPr>
        <w:jc w:val="both"/>
        <w:rPr>
          <w:rFonts w:ascii="Times New Roman" w:hAnsi="Times New Roman" w:cs="Times New Roman"/>
          <w:sz w:val="22"/>
          <w:szCs w:val="22"/>
          <w:lang w:val="fr-FR"/>
        </w:rPr>
      </w:pPr>
      <w:r w:rsidRPr="00D73C2A">
        <w:rPr>
          <w:rFonts w:ascii="Times New Roman" w:hAnsi="Times New Roman" w:cs="Times New Roman"/>
          <w:b/>
          <w:bCs/>
          <w:sz w:val="22"/>
          <w:szCs w:val="22"/>
          <w:lang w:val="fr-FR"/>
        </w:rPr>
        <w:t xml:space="preserve">Le cas échéant, expliquer tout retard de mise en œuvre, les problèmes subsistants, les enseignements tirés et les meilleures pratiques: </w:t>
      </w:r>
    </w:p>
    <w:p w:rsidR="000E4090" w:rsidRPr="00D73C2A" w:rsidRDefault="000E4090" w:rsidP="000E4090">
      <w:pPr>
        <w:pStyle w:val="BodyText"/>
        <w:keepNext/>
        <w:keepLines/>
        <w:jc w:val="both"/>
        <w:rPr>
          <w:rFonts w:ascii="Times New Roman" w:hAnsi="Times New Roman" w:cs="Times New Roman"/>
          <w:b/>
          <w:bCs/>
          <w:sz w:val="22"/>
          <w:szCs w:val="22"/>
          <w:lang w:val="fr-FR"/>
        </w:rPr>
      </w:pPr>
    </w:p>
    <w:p w:rsidR="001F52D0" w:rsidRDefault="000E4090" w:rsidP="001F52D0">
      <w:pPr>
        <w:pStyle w:val="BodyText2"/>
        <w:spacing w:after="0" w:line="240" w:lineRule="auto"/>
        <w:ind w:left="360"/>
        <w:jc w:val="both"/>
        <w:rPr>
          <w:sz w:val="22"/>
          <w:szCs w:val="22"/>
        </w:rPr>
      </w:pPr>
      <w:r w:rsidRPr="00D73C2A">
        <w:rPr>
          <w:sz w:val="22"/>
          <w:szCs w:val="22"/>
        </w:rPr>
        <w:t>Les contraintes</w:t>
      </w:r>
      <w:r w:rsidR="007A1461">
        <w:rPr>
          <w:sz w:val="22"/>
          <w:szCs w:val="22"/>
        </w:rPr>
        <w:t xml:space="preserve"> </w:t>
      </w:r>
      <w:r w:rsidRPr="00D73C2A">
        <w:rPr>
          <w:sz w:val="22"/>
          <w:szCs w:val="22"/>
        </w:rPr>
        <w:t xml:space="preserve"> majeures dans la mise en œuvre</w:t>
      </w:r>
      <w:r w:rsidR="007A1461">
        <w:rPr>
          <w:sz w:val="22"/>
          <w:szCs w:val="22"/>
        </w:rPr>
        <w:t xml:space="preserve"> opérationnelle</w:t>
      </w:r>
      <w:r w:rsidRPr="00D73C2A">
        <w:rPr>
          <w:sz w:val="22"/>
          <w:szCs w:val="22"/>
        </w:rPr>
        <w:t xml:space="preserve"> du projet portent sur la faible capacité des partenaires dans la formulation et exécution des activités ainsi que la lourdeur administrative. Vu que tous les partenaires de mise en œuvre du Gouvernement doivent transiter par le Ministère de tutelle pour l’approbation et le traitement des requêtes, cela amène des délais considérables. </w:t>
      </w:r>
      <w:r w:rsidR="00C82F58">
        <w:rPr>
          <w:sz w:val="22"/>
          <w:szCs w:val="22"/>
        </w:rPr>
        <w:t xml:space="preserve">En outre, il y a un </w:t>
      </w:r>
      <w:r w:rsidR="007A1461">
        <w:rPr>
          <w:sz w:val="22"/>
          <w:szCs w:val="22"/>
        </w:rPr>
        <w:t>défi</w:t>
      </w:r>
      <w:r w:rsidR="00C82F58">
        <w:rPr>
          <w:sz w:val="22"/>
          <w:szCs w:val="22"/>
        </w:rPr>
        <w:t xml:space="preserve"> de </w:t>
      </w:r>
      <w:r w:rsidR="007A1461">
        <w:rPr>
          <w:sz w:val="22"/>
          <w:szCs w:val="22"/>
        </w:rPr>
        <w:t xml:space="preserve">leadership et </w:t>
      </w:r>
      <w:r w:rsidR="00C82F58">
        <w:rPr>
          <w:sz w:val="22"/>
          <w:szCs w:val="22"/>
        </w:rPr>
        <w:t xml:space="preserve">coordination qui se pose entre les différents Ministères sectorielles impliquées dans le projet surtout en ce qui concerne la responsabilisation et l’institutionnalisation des Procédures Opérationnelles Standards qui ne sont pas encore systématiquement utilisés lorsqu’un cas de VBG se présente. En outre, les activités opérationnelles pour la  prise en compte du Genre dans le processus de </w:t>
      </w:r>
      <w:proofErr w:type="spellStart"/>
      <w:r w:rsidR="00C82F58">
        <w:rPr>
          <w:sz w:val="22"/>
          <w:szCs w:val="22"/>
        </w:rPr>
        <w:t>reforme</w:t>
      </w:r>
      <w:proofErr w:type="spellEnd"/>
      <w:r w:rsidR="00C82F58">
        <w:rPr>
          <w:sz w:val="22"/>
          <w:szCs w:val="22"/>
        </w:rPr>
        <w:t xml:space="preserve"> de la sécurité doivent être</w:t>
      </w:r>
      <w:r w:rsidR="007A1461">
        <w:rPr>
          <w:sz w:val="22"/>
          <w:szCs w:val="22"/>
        </w:rPr>
        <w:t xml:space="preserve"> accompagné</w:t>
      </w:r>
      <w:r w:rsidR="00C82F58">
        <w:rPr>
          <w:sz w:val="22"/>
          <w:szCs w:val="22"/>
        </w:rPr>
        <w:t xml:space="preserve"> par un travail plus </w:t>
      </w:r>
      <w:r w:rsidR="00C82F58">
        <w:rPr>
          <w:sz w:val="22"/>
          <w:szCs w:val="22"/>
        </w:rPr>
        <w:lastRenderedPageBreak/>
        <w:t>stratégique</w:t>
      </w:r>
      <w:r w:rsidR="007A1461">
        <w:rPr>
          <w:sz w:val="22"/>
          <w:szCs w:val="22"/>
        </w:rPr>
        <w:t xml:space="preserve"> et politique pour atteindre des résultats durables. Un besoin s’impose également pour inscrire les aspects d’accès des femmes </w:t>
      </w:r>
      <w:proofErr w:type="spellStart"/>
      <w:r w:rsidR="007A1461">
        <w:rPr>
          <w:sz w:val="22"/>
          <w:szCs w:val="22"/>
        </w:rPr>
        <w:t>a</w:t>
      </w:r>
      <w:proofErr w:type="spellEnd"/>
      <w:r w:rsidR="007A1461">
        <w:rPr>
          <w:sz w:val="22"/>
          <w:szCs w:val="22"/>
        </w:rPr>
        <w:t xml:space="preserve"> la justice dans le processus global de </w:t>
      </w:r>
      <w:proofErr w:type="spellStart"/>
      <w:r w:rsidR="007A1461">
        <w:rPr>
          <w:sz w:val="22"/>
          <w:szCs w:val="22"/>
        </w:rPr>
        <w:t>reforme</w:t>
      </w:r>
      <w:proofErr w:type="spellEnd"/>
      <w:r w:rsidR="007A1461">
        <w:rPr>
          <w:sz w:val="22"/>
          <w:szCs w:val="22"/>
        </w:rPr>
        <w:t xml:space="preserve"> de la justice. Le cas échéant les interventions resteront parcellaires et sans impact réel. </w:t>
      </w:r>
      <w:r w:rsidR="00C82F58" w:rsidRPr="00D73C2A">
        <w:rPr>
          <w:sz w:val="22"/>
          <w:szCs w:val="22"/>
        </w:rPr>
        <w:t xml:space="preserve">Ainsi, </w:t>
      </w:r>
      <w:r w:rsidR="007A1461">
        <w:rPr>
          <w:sz w:val="22"/>
          <w:szCs w:val="22"/>
        </w:rPr>
        <w:t>il convient de mettre en place un</w:t>
      </w:r>
      <w:r w:rsidR="00C82F58" w:rsidRPr="00D73C2A">
        <w:rPr>
          <w:sz w:val="22"/>
          <w:szCs w:val="22"/>
        </w:rPr>
        <w:t xml:space="preserve"> système de protection </w:t>
      </w:r>
      <w:r w:rsidR="007A1461">
        <w:rPr>
          <w:sz w:val="22"/>
          <w:szCs w:val="22"/>
        </w:rPr>
        <w:t>avec d</w:t>
      </w:r>
      <w:r w:rsidR="00C82F58" w:rsidRPr="00D73C2A">
        <w:rPr>
          <w:sz w:val="22"/>
          <w:szCs w:val="22"/>
        </w:rPr>
        <w:t xml:space="preserve">es organes </w:t>
      </w:r>
      <w:r w:rsidR="007A1461">
        <w:rPr>
          <w:sz w:val="22"/>
          <w:szCs w:val="22"/>
        </w:rPr>
        <w:t>bien</w:t>
      </w:r>
      <w:r w:rsidR="00C82F58" w:rsidRPr="00D73C2A">
        <w:rPr>
          <w:sz w:val="22"/>
          <w:szCs w:val="22"/>
        </w:rPr>
        <w:t xml:space="preserve"> restructurés</w:t>
      </w:r>
      <w:r w:rsidR="007A1461">
        <w:rPr>
          <w:sz w:val="22"/>
          <w:szCs w:val="22"/>
        </w:rPr>
        <w:t xml:space="preserve">, </w:t>
      </w:r>
      <w:r w:rsidR="00C82F58" w:rsidRPr="00D73C2A">
        <w:rPr>
          <w:sz w:val="22"/>
          <w:szCs w:val="22"/>
        </w:rPr>
        <w:t xml:space="preserve"> des outils fiables et la prise de conscience de chacun des acteurs de son rôle dans la protection des enfants</w:t>
      </w:r>
      <w:r w:rsidR="007A1461">
        <w:rPr>
          <w:sz w:val="22"/>
          <w:szCs w:val="22"/>
        </w:rPr>
        <w:t xml:space="preserve"> et des femmes</w:t>
      </w:r>
      <w:r w:rsidR="00C82F58" w:rsidRPr="00D73C2A">
        <w:rPr>
          <w:sz w:val="22"/>
          <w:szCs w:val="22"/>
        </w:rPr>
        <w:t xml:space="preserve">, </w:t>
      </w:r>
      <w:r w:rsidR="007A1461">
        <w:rPr>
          <w:sz w:val="22"/>
          <w:szCs w:val="22"/>
        </w:rPr>
        <w:t>afin qu’ils</w:t>
      </w:r>
      <w:r w:rsidR="00C82F58" w:rsidRPr="00D73C2A">
        <w:rPr>
          <w:sz w:val="22"/>
          <w:szCs w:val="22"/>
        </w:rPr>
        <w:t xml:space="preserve"> seront mieux protégés désormais</w:t>
      </w:r>
      <w:r w:rsidR="00C82F58">
        <w:rPr>
          <w:sz w:val="22"/>
          <w:szCs w:val="22"/>
        </w:rPr>
        <w:t>.</w:t>
      </w:r>
    </w:p>
    <w:p w:rsidR="001F52D0" w:rsidRDefault="001F52D0" w:rsidP="001F52D0">
      <w:pPr>
        <w:pStyle w:val="BodyText2"/>
        <w:spacing w:after="0" w:line="240" w:lineRule="auto"/>
        <w:ind w:left="360"/>
        <w:jc w:val="both"/>
        <w:rPr>
          <w:sz w:val="22"/>
          <w:szCs w:val="22"/>
        </w:rPr>
      </w:pPr>
    </w:p>
    <w:p w:rsidR="000D0C98" w:rsidRPr="00D73C2A" w:rsidRDefault="00264361" w:rsidP="001F52D0">
      <w:pPr>
        <w:pStyle w:val="BodyText2"/>
        <w:spacing w:after="0" w:line="240" w:lineRule="auto"/>
        <w:ind w:left="360"/>
        <w:jc w:val="both"/>
        <w:rPr>
          <w:bCs/>
          <w:sz w:val="22"/>
          <w:szCs w:val="22"/>
        </w:rPr>
      </w:pPr>
      <w:r w:rsidRPr="00D73C2A">
        <w:rPr>
          <w:b/>
          <w:bCs/>
          <w:sz w:val="22"/>
          <w:szCs w:val="22"/>
        </w:rPr>
        <w:t>Évaluation qualitative:</w:t>
      </w:r>
      <w:r w:rsidRPr="00D73C2A">
        <w:rPr>
          <w:bCs/>
          <w:sz w:val="22"/>
          <w:szCs w:val="22"/>
        </w:rPr>
        <w:t xml:space="preserve"> </w:t>
      </w:r>
    </w:p>
    <w:p w:rsidR="007F2F42" w:rsidRPr="007F2F42" w:rsidRDefault="007F2F42" w:rsidP="007F2F42">
      <w:pPr>
        <w:pStyle w:val="BodyText"/>
        <w:keepNext/>
        <w:keepLines/>
        <w:jc w:val="both"/>
        <w:rPr>
          <w:rFonts w:ascii="Times New Roman" w:hAnsi="Times New Roman" w:cs="Times New Roman"/>
          <w:bCs/>
          <w:sz w:val="22"/>
          <w:szCs w:val="22"/>
          <w:lang w:val="fr-FR"/>
        </w:rPr>
      </w:pPr>
      <w:bookmarkStart w:id="3" w:name="_Toc249364487"/>
    </w:p>
    <w:bookmarkEnd w:id="3"/>
    <w:p w:rsidR="007F2F42" w:rsidRDefault="007F2F42" w:rsidP="007F2F42">
      <w:pPr>
        <w:pStyle w:val="BodyText"/>
        <w:keepNext/>
        <w:keepLines/>
        <w:ind w:left="360"/>
        <w:jc w:val="both"/>
        <w:rPr>
          <w:rFonts w:ascii="Times New Roman" w:hAnsi="Times New Roman"/>
          <w:bCs/>
          <w:sz w:val="22"/>
          <w:szCs w:val="22"/>
          <w:lang w:val="fr-FR"/>
        </w:rPr>
      </w:pPr>
      <w:r w:rsidRPr="007F2F42">
        <w:rPr>
          <w:rFonts w:ascii="Times New Roman" w:hAnsi="Times New Roman" w:cs="Times New Roman"/>
          <w:bCs/>
          <w:sz w:val="22"/>
          <w:szCs w:val="22"/>
          <w:lang w:val="fr-FR"/>
        </w:rPr>
        <w:t>Les Observations de 2013 du Comité des droits de l’Enfant sur le premier rapport périodique de la mise en application de la Convention d</w:t>
      </w:r>
      <w:r w:rsidRPr="007F2F42">
        <w:rPr>
          <w:rFonts w:ascii="Times New Roman" w:hAnsi="Times New Roman"/>
          <w:bCs/>
          <w:sz w:val="22"/>
          <w:szCs w:val="22"/>
          <w:lang w:val="fr-FR"/>
        </w:rPr>
        <w:t>es Droits relative aux Droits de l’Enfant présenté par le Gouvernement guinéen au début de 2013, ont souligné deux principales causes du faible nombre de cas de violences basées sur le genre reporté dans le pays et qui contribuent à leur perpétuation : le stigma dont sont victimes les survivantes et le manque de formation des intervenants à fournir aux survivantes des soins conformes aux standard. Les efforts importants de renforcement des capacités des intervenants consentis dans le cadre de ce projet doivent contribuer à adresser ces deux causes majeures. En effet, les intervenants sont désormais, grâce à la contribution de PBF, mieux outillés et mieux conscientisés, cela devra, sans nul doute contribuer à la diminution des risques de stigmatisation des victimes de la part des intervenants et leur assurer une disponibilité renforcée et des services de meilleure qualité.</w:t>
      </w:r>
    </w:p>
    <w:p w:rsidR="00B064A6" w:rsidRDefault="00B064A6" w:rsidP="007F2F42">
      <w:pPr>
        <w:pStyle w:val="BodyText"/>
        <w:keepNext/>
        <w:keepLines/>
        <w:ind w:left="360"/>
        <w:jc w:val="both"/>
        <w:rPr>
          <w:rFonts w:ascii="Times New Roman" w:hAnsi="Times New Roman"/>
          <w:bCs/>
          <w:sz w:val="22"/>
          <w:szCs w:val="22"/>
          <w:lang w:val="fr-FR"/>
        </w:rPr>
      </w:pPr>
    </w:p>
    <w:p w:rsidR="00B064A6" w:rsidRDefault="00B064A6" w:rsidP="007F2F42">
      <w:pPr>
        <w:pStyle w:val="BodyText"/>
        <w:keepNext/>
        <w:keepLines/>
        <w:ind w:left="360"/>
        <w:jc w:val="both"/>
        <w:rPr>
          <w:rFonts w:ascii="Times New Roman" w:hAnsi="Times New Roman"/>
          <w:bCs/>
          <w:sz w:val="22"/>
          <w:szCs w:val="22"/>
          <w:lang w:val="fr-FR"/>
        </w:rPr>
      </w:pPr>
      <w:r>
        <w:rPr>
          <w:rFonts w:ascii="Times New Roman" w:hAnsi="Times New Roman"/>
          <w:bCs/>
          <w:sz w:val="22"/>
          <w:szCs w:val="22"/>
          <w:lang w:val="fr-FR"/>
        </w:rPr>
        <w:t>En effet d’important</w:t>
      </w:r>
      <w:r w:rsidR="008B0AEB">
        <w:rPr>
          <w:rFonts w:ascii="Times New Roman" w:hAnsi="Times New Roman"/>
          <w:bCs/>
          <w:sz w:val="22"/>
          <w:szCs w:val="22"/>
          <w:lang w:val="fr-FR"/>
        </w:rPr>
        <w:t>s</w:t>
      </w:r>
      <w:r>
        <w:rPr>
          <w:rFonts w:ascii="Times New Roman" w:hAnsi="Times New Roman"/>
          <w:bCs/>
          <w:sz w:val="22"/>
          <w:szCs w:val="22"/>
          <w:lang w:val="fr-FR"/>
        </w:rPr>
        <w:t xml:space="preserve"> acquis ont été atteints au niveau du renforcement des capacités de l’ensemble des intervenants de la chaine de prise en charge. Les statistiques démontrent clairement que cela a contribué à une augmentation du cas rapporté au sein des commissariats de police et les Centre VBG au sein des structures médicales. En 2014, le projet devra se focaliser d’avantage sur la suite de la chaine pénale suivant les enquêtes préliminaires, notamment le traitement des dossiers en justice. En outre, suite </w:t>
      </w:r>
      <w:r w:rsidR="004063F0">
        <w:rPr>
          <w:rFonts w:ascii="Times New Roman" w:hAnsi="Times New Roman"/>
          <w:bCs/>
          <w:sz w:val="22"/>
          <w:szCs w:val="22"/>
          <w:lang w:val="fr-FR"/>
        </w:rPr>
        <w:t>à</w:t>
      </w:r>
      <w:r>
        <w:rPr>
          <w:rFonts w:ascii="Times New Roman" w:hAnsi="Times New Roman"/>
          <w:bCs/>
          <w:sz w:val="22"/>
          <w:szCs w:val="22"/>
          <w:lang w:val="fr-FR"/>
        </w:rPr>
        <w:t xml:space="preserve"> l’assistance </w:t>
      </w:r>
      <w:r w:rsidR="004063F0">
        <w:rPr>
          <w:rFonts w:ascii="Times New Roman" w:hAnsi="Times New Roman"/>
          <w:bCs/>
          <w:sz w:val="22"/>
          <w:szCs w:val="22"/>
          <w:lang w:val="fr-FR"/>
        </w:rPr>
        <w:t>immédiate</w:t>
      </w:r>
      <w:r>
        <w:rPr>
          <w:rFonts w:ascii="Times New Roman" w:hAnsi="Times New Roman"/>
          <w:bCs/>
          <w:sz w:val="22"/>
          <w:szCs w:val="22"/>
          <w:lang w:val="fr-FR"/>
        </w:rPr>
        <w:t xml:space="preserve"> le projet devra viser l’assistance </w:t>
      </w:r>
      <w:r w:rsidR="004063F0">
        <w:rPr>
          <w:rFonts w:ascii="Times New Roman" w:hAnsi="Times New Roman"/>
          <w:bCs/>
          <w:sz w:val="22"/>
          <w:szCs w:val="22"/>
          <w:lang w:val="fr-FR"/>
        </w:rPr>
        <w:t>à</w:t>
      </w:r>
      <w:r>
        <w:rPr>
          <w:rFonts w:ascii="Times New Roman" w:hAnsi="Times New Roman"/>
          <w:bCs/>
          <w:sz w:val="22"/>
          <w:szCs w:val="22"/>
          <w:lang w:val="fr-FR"/>
        </w:rPr>
        <w:t xml:space="preserve"> fournir aux victimes dans le moyen terme pour assurer leur </w:t>
      </w:r>
      <w:r w:rsidR="004063F0">
        <w:rPr>
          <w:rFonts w:ascii="Times New Roman" w:hAnsi="Times New Roman"/>
          <w:bCs/>
          <w:sz w:val="22"/>
          <w:szCs w:val="22"/>
          <w:lang w:val="fr-FR"/>
        </w:rPr>
        <w:t>réintégration</w:t>
      </w:r>
      <w:r>
        <w:rPr>
          <w:rFonts w:ascii="Times New Roman" w:hAnsi="Times New Roman"/>
          <w:bCs/>
          <w:sz w:val="22"/>
          <w:szCs w:val="22"/>
          <w:lang w:val="fr-FR"/>
        </w:rPr>
        <w:t xml:space="preserve"> sociale et </w:t>
      </w:r>
      <w:r w:rsidR="004063F0">
        <w:rPr>
          <w:rFonts w:ascii="Times New Roman" w:hAnsi="Times New Roman"/>
          <w:bCs/>
          <w:sz w:val="22"/>
          <w:szCs w:val="22"/>
          <w:lang w:val="fr-FR"/>
        </w:rPr>
        <w:t>économique</w:t>
      </w:r>
      <w:r>
        <w:rPr>
          <w:rFonts w:ascii="Times New Roman" w:hAnsi="Times New Roman"/>
          <w:bCs/>
          <w:sz w:val="22"/>
          <w:szCs w:val="22"/>
          <w:lang w:val="fr-FR"/>
        </w:rPr>
        <w:t xml:space="preserve"> dans la </w:t>
      </w:r>
      <w:r w:rsidR="004063F0">
        <w:rPr>
          <w:rFonts w:ascii="Times New Roman" w:hAnsi="Times New Roman"/>
          <w:bCs/>
          <w:sz w:val="22"/>
          <w:szCs w:val="22"/>
          <w:lang w:val="fr-FR"/>
        </w:rPr>
        <w:t>société</w:t>
      </w:r>
      <w:r>
        <w:rPr>
          <w:rFonts w:ascii="Times New Roman" w:hAnsi="Times New Roman"/>
          <w:bCs/>
          <w:sz w:val="22"/>
          <w:szCs w:val="22"/>
          <w:lang w:val="fr-FR"/>
        </w:rPr>
        <w:t xml:space="preserve">. </w:t>
      </w:r>
      <w:r w:rsidR="006F793C">
        <w:rPr>
          <w:rFonts w:ascii="Times New Roman" w:hAnsi="Times New Roman"/>
          <w:bCs/>
          <w:sz w:val="22"/>
          <w:szCs w:val="22"/>
          <w:lang w:val="fr-FR"/>
        </w:rPr>
        <w:t xml:space="preserve">Il y a un besoin également d’harmoniser et rendre opérationnelle la base de données VBG et de promouvoir l’utilisation effective des Procédures Opérationnelles Standards.  </w:t>
      </w:r>
    </w:p>
    <w:p w:rsidR="004063F0" w:rsidRDefault="004063F0" w:rsidP="007F2F42">
      <w:pPr>
        <w:pStyle w:val="BodyText"/>
        <w:keepNext/>
        <w:keepLines/>
        <w:ind w:left="360"/>
        <w:jc w:val="both"/>
        <w:rPr>
          <w:rFonts w:ascii="Times New Roman" w:hAnsi="Times New Roman"/>
          <w:bCs/>
          <w:sz w:val="22"/>
          <w:szCs w:val="22"/>
          <w:lang w:val="fr-FR"/>
        </w:rPr>
      </w:pPr>
    </w:p>
    <w:p w:rsidR="004063F0" w:rsidRPr="007F2F42" w:rsidRDefault="004063F0" w:rsidP="007F2F42">
      <w:pPr>
        <w:pStyle w:val="BodyText"/>
        <w:keepNext/>
        <w:keepLines/>
        <w:ind w:left="360"/>
        <w:jc w:val="both"/>
        <w:rPr>
          <w:rFonts w:ascii="Times New Roman" w:hAnsi="Times New Roman"/>
          <w:bCs/>
          <w:sz w:val="22"/>
          <w:szCs w:val="22"/>
          <w:lang w:val="fr-FR"/>
        </w:rPr>
      </w:pPr>
      <w:r>
        <w:rPr>
          <w:rFonts w:ascii="Times New Roman" w:hAnsi="Times New Roman"/>
          <w:bCs/>
          <w:sz w:val="22"/>
          <w:szCs w:val="22"/>
          <w:lang w:val="fr-FR"/>
        </w:rPr>
        <w:t xml:space="preserve">Au niveau de la prise en compte du genre dans le processus de </w:t>
      </w:r>
      <w:proofErr w:type="spellStart"/>
      <w:r>
        <w:rPr>
          <w:rFonts w:ascii="Times New Roman" w:hAnsi="Times New Roman"/>
          <w:bCs/>
          <w:sz w:val="22"/>
          <w:szCs w:val="22"/>
          <w:lang w:val="fr-FR"/>
        </w:rPr>
        <w:t>reforme</w:t>
      </w:r>
      <w:proofErr w:type="spellEnd"/>
      <w:r>
        <w:rPr>
          <w:rFonts w:ascii="Times New Roman" w:hAnsi="Times New Roman"/>
          <w:bCs/>
          <w:sz w:val="22"/>
          <w:szCs w:val="22"/>
          <w:lang w:val="fr-FR"/>
        </w:rPr>
        <w:t xml:space="preserve"> du secteur de sécurité</w:t>
      </w:r>
      <w:r w:rsidR="006F793C">
        <w:rPr>
          <w:rFonts w:ascii="Times New Roman" w:hAnsi="Times New Roman"/>
          <w:bCs/>
          <w:sz w:val="22"/>
          <w:szCs w:val="22"/>
          <w:lang w:val="fr-FR"/>
        </w:rPr>
        <w:t xml:space="preserve"> on constate certes une volonté</w:t>
      </w:r>
      <w:r>
        <w:rPr>
          <w:rFonts w:ascii="Times New Roman" w:hAnsi="Times New Roman"/>
          <w:bCs/>
          <w:sz w:val="22"/>
          <w:szCs w:val="22"/>
          <w:lang w:val="fr-FR"/>
        </w:rPr>
        <w:t xml:space="preserve"> politique accrue pour aborder ces questions</w:t>
      </w:r>
      <w:r w:rsidR="006F793C">
        <w:rPr>
          <w:rFonts w:ascii="Times New Roman" w:hAnsi="Times New Roman"/>
          <w:bCs/>
          <w:sz w:val="22"/>
          <w:szCs w:val="22"/>
          <w:lang w:val="fr-FR"/>
        </w:rPr>
        <w:t>. C</w:t>
      </w:r>
      <w:r>
        <w:rPr>
          <w:rFonts w:ascii="Times New Roman" w:hAnsi="Times New Roman"/>
          <w:bCs/>
          <w:sz w:val="22"/>
          <w:szCs w:val="22"/>
          <w:lang w:val="fr-FR"/>
        </w:rPr>
        <w:t>ela s’est manifeste notamment avec l’</w:t>
      </w:r>
      <w:r w:rsidR="006F793C">
        <w:rPr>
          <w:rFonts w:ascii="Times New Roman" w:hAnsi="Times New Roman"/>
          <w:bCs/>
          <w:sz w:val="22"/>
          <w:szCs w:val="22"/>
          <w:lang w:val="fr-FR"/>
        </w:rPr>
        <w:t xml:space="preserve">intégration </w:t>
      </w:r>
      <w:r>
        <w:rPr>
          <w:rFonts w:ascii="Times New Roman" w:hAnsi="Times New Roman"/>
          <w:bCs/>
          <w:sz w:val="22"/>
          <w:szCs w:val="22"/>
          <w:lang w:val="fr-FR"/>
        </w:rPr>
        <w:t xml:space="preserve">d’une disposition de discrimination positive pour le recrutement des femmes dans les nouveaux statuts de la Police et de la </w:t>
      </w:r>
      <w:r w:rsidR="006F793C">
        <w:rPr>
          <w:rFonts w:ascii="Times New Roman" w:hAnsi="Times New Roman"/>
          <w:bCs/>
          <w:sz w:val="22"/>
          <w:szCs w:val="22"/>
          <w:lang w:val="fr-FR"/>
        </w:rPr>
        <w:t>Sécurité</w:t>
      </w:r>
      <w:r>
        <w:rPr>
          <w:rFonts w:ascii="Times New Roman" w:hAnsi="Times New Roman"/>
          <w:bCs/>
          <w:sz w:val="22"/>
          <w:szCs w:val="22"/>
          <w:lang w:val="fr-FR"/>
        </w:rPr>
        <w:t xml:space="preserve"> </w:t>
      </w:r>
      <w:r w:rsidR="006F793C">
        <w:rPr>
          <w:rFonts w:ascii="Times New Roman" w:hAnsi="Times New Roman"/>
          <w:bCs/>
          <w:sz w:val="22"/>
          <w:szCs w:val="22"/>
          <w:lang w:val="fr-FR"/>
        </w:rPr>
        <w:t>Intérieure</w:t>
      </w:r>
      <w:r>
        <w:rPr>
          <w:rFonts w:ascii="Times New Roman" w:hAnsi="Times New Roman"/>
          <w:bCs/>
          <w:sz w:val="22"/>
          <w:szCs w:val="22"/>
          <w:lang w:val="fr-FR"/>
        </w:rPr>
        <w:t>, or, et comme indiqu</w:t>
      </w:r>
      <w:r w:rsidR="006F793C">
        <w:rPr>
          <w:rFonts w:ascii="Times New Roman" w:hAnsi="Times New Roman"/>
          <w:bCs/>
          <w:sz w:val="22"/>
          <w:szCs w:val="22"/>
          <w:lang w:val="fr-FR"/>
        </w:rPr>
        <w:t>é</w:t>
      </w:r>
      <w:r>
        <w:rPr>
          <w:rFonts w:ascii="Times New Roman" w:hAnsi="Times New Roman"/>
          <w:bCs/>
          <w:sz w:val="22"/>
          <w:szCs w:val="22"/>
          <w:lang w:val="fr-FR"/>
        </w:rPr>
        <w:t xml:space="preserve"> plus haut, un travail </w:t>
      </w:r>
      <w:r w:rsidR="006F793C">
        <w:rPr>
          <w:rFonts w:ascii="Times New Roman" w:hAnsi="Times New Roman"/>
          <w:bCs/>
          <w:sz w:val="22"/>
          <w:szCs w:val="22"/>
          <w:lang w:val="fr-FR"/>
        </w:rPr>
        <w:t>stratégique</w:t>
      </w:r>
      <w:r>
        <w:rPr>
          <w:rFonts w:ascii="Times New Roman" w:hAnsi="Times New Roman"/>
          <w:bCs/>
          <w:sz w:val="22"/>
          <w:szCs w:val="22"/>
          <w:lang w:val="fr-FR"/>
        </w:rPr>
        <w:t xml:space="preserve"> plus pousse doit </w:t>
      </w:r>
      <w:r w:rsidR="006F793C">
        <w:rPr>
          <w:rFonts w:ascii="Times New Roman" w:hAnsi="Times New Roman"/>
          <w:bCs/>
          <w:sz w:val="22"/>
          <w:szCs w:val="22"/>
          <w:lang w:val="fr-FR"/>
        </w:rPr>
        <w:t>être</w:t>
      </w:r>
      <w:r>
        <w:rPr>
          <w:rFonts w:ascii="Times New Roman" w:hAnsi="Times New Roman"/>
          <w:bCs/>
          <w:sz w:val="22"/>
          <w:szCs w:val="22"/>
          <w:lang w:val="fr-FR"/>
        </w:rPr>
        <w:t xml:space="preserve"> fait afin que les interventions </w:t>
      </w:r>
      <w:r w:rsidR="006F793C">
        <w:rPr>
          <w:rFonts w:ascii="Times New Roman" w:hAnsi="Times New Roman"/>
          <w:bCs/>
          <w:sz w:val="22"/>
          <w:szCs w:val="22"/>
          <w:lang w:val="fr-FR"/>
        </w:rPr>
        <w:t>opérationnelles</w:t>
      </w:r>
      <w:r>
        <w:rPr>
          <w:rFonts w:ascii="Times New Roman" w:hAnsi="Times New Roman"/>
          <w:bCs/>
          <w:sz w:val="22"/>
          <w:szCs w:val="22"/>
          <w:lang w:val="fr-FR"/>
        </w:rPr>
        <w:t xml:space="preserve"> puissent </w:t>
      </w:r>
      <w:r w:rsidR="006F793C">
        <w:rPr>
          <w:rFonts w:ascii="Times New Roman" w:hAnsi="Times New Roman"/>
          <w:bCs/>
          <w:sz w:val="22"/>
          <w:szCs w:val="22"/>
          <w:lang w:val="fr-FR"/>
        </w:rPr>
        <w:t>réellement</w:t>
      </w:r>
      <w:r>
        <w:rPr>
          <w:rFonts w:ascii="Times New Roman" w:hAnsi="Times New Roman"/>
          <w:bCs/>
          <w:sz w:val="22"/>
          <w:szCs w:val="22"/>
          <w:lang w:val="fr-FR"/>
        </w:rPr>
        <w:t xml:space="preserve"> avoir un impact.</w:t>
      </w:r>
    </w:p>
    <w:p w:rsidR="001F52D0" w:rsidRDefault="001F52D0" w:rsidP="001F52D0">
      <w:pPr>
        <w:pStyle w:val="BodyText"/>
        <w:jc w:val="both"/>
        <w:rPr>
          <w:rFonts w:ascii="Times New Roman" w:hAnsi="Times New Roman"/>
          <w:bCs/>
          <w:sz w:val="24"/>
          <w:lang w:val="fr-FR"/>
        </w:rPr>
      </w:pPr>
    </w:p>
    <w:p w:rsidR="001F52D0" w:rsidRPr="00CB5631" w:rsidRDefault="001F52D0" w:rsidP="001F52D0">
      <w:pPr>
        <w:pStyle w:val="BodyText"/>
        <w:jc w:val="both"/>
        <w:rPr>
          <w:bCs/>
          <w:lang w:val="fr-FR"/>
        </w:rPr>
      </w:pPr>
    </w:p>
    <w:p w:rsidR="001F52D0" w:rsidRPr="00CB5631" w:rsidRDefault="00CB5631" w:rsidP="00CB5631">
      <w:pPr>
        <w:pStyle w:val="BodyText"/>
        <w:jc w:val="center"/>
        <w:rPr>
          <w:b/>
          <w:bCs/>
          <w:lang w:val="fr-FR"/>
        </w:rPr>
      </w:pPr>
      <w:r w:rsidRPr="00CB5631">
        <w:rPr>
          <w:b/>
          <w:bCs/>
          <w:lang w:val="fr-FR"/>
        </w:rPr>
        <w:t>Tableau 1 : Nombre de Cas de VBG répertoriés dans les Centre pilotes VBG dans les structurés de sante en 2013</w:t>
      </w:r>
    </w:p>
    <w:p w:rsidR="00CB5631" w:rsidRDefault="00CB5631" w:rsidP="001F52D0">
      <w:pPr>
        <w:pStyle w:val="BodyText"/>
        <w:jc w:val="both"/>
        <w:rPr>
          <w:rFonts w:ascii="Times New Roman" w:hAnsi="Times New Roman"/>
          <w:bCs/>
          <w:sz w:val="24"/>
          <w:lang w:val="fr-FR"/>
        </w:rPr>
      </w:pPr>
    </w:p>
    <w:p w:rsidR="00CB5631" w:rsidRDefault="00CB5631" w:rsidP="00CB5631">
      <w:pPr>
        <w:pStyle w:val="BodyText"/>
        <w:rPr>
          <w:rFonts w:ascii="Times New Roman" w:hAnsi="Times New Roman"/>
          <w:bCs/>
          <w:sz w:val="24"/>
          <w:lang w:val="fr-FR"/>
        </w:rPr>
      </w:pPr>
      <w:r w:rsidRPr="00CB5631">
        <w:rPr>
          <w:noProof/>
        </w:rPr>
        <w:lastRenderedPageBreak/>
        <w:drawing>
          <wp:inline distT="0" distB="0" distL="0" distR="0">
            <wp:extent cx="6631940" cy="342781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31940" cy="3427818"/>
                    </a:xfrm>
                    <a:prstGeom prst="rect">
                      <a:avLst/>
                    </a:prstGeom>
                    <a:noFill/>
                    <a:ln w="9525">
                      <a:noFill/>
                      <a:miter lim="800000"/>
                      <a:headEnd/>
                      <a:tailEnd/>
                    </a:ln>
                  </pic:spPr>
                </pic:pic>
              </a:graphicData>
            </a:graphic>
          </wp:inline>
        </w:drawing>
      </w:r>
    </w:p>
    <w:p w:rsidR="00CB5631" w:rsidRPr="00CB5631" w:rsidRDefault="00CB5631" w:rsidP="00CB5631">
      <w:pPr>
        <w:rPr>
          <w:lang w:eastAsia="en-US"/>
        </w:rPr>
      </w:pPr>
    </w:p>
    <w:p w:rsidR="00CB5631" w:rsidRPr="00CB5631" w:rsidRDefault="00CB5631" w:rsidP="00CB5631">
      <w:pPr>
        <w:rPr>
          <w:lang w:eastAsia="en-US"/>
        </w:rPr>
      </w:pPr>
    </w:p>
    <w:p w:rsidR="00CB5631" w:rsidRPr="00CB5631" w:rsidRDefault="00CB5631" w:rsidP="00CB5631">
      <w:pPr>
        <w:pStyle w:val="BodyText"/>
        <w:jc w:val="center"/>
        <w:rPr>
          <w:b/>
          <w:bCs/>
          <w:lang w:val="fr-FR"/>
        </w:rPr>
      </w:pPr>
      <w:r>
        <w:rPr>
          <w:b/>
          <w:bCs/>
          <w:lang w:val="fr-FR"/>
        </w:rPr>
        <w:t>Tableau 2</w:t>
      </w:r>
      <w:r w:rsidRPr="00CB5631">
        <w:rPr>
          <w:b/>
          <w:bCs/>
          <w:lang w:val="fr-FR"/>
        </w:rPr>
        <w:t> : Nombre de Cas de VBG répertoriés dans les Centre pilotes VBG dans les structurés de sante en 2013</w:t>
      </w:r>
    </w:p>
    <w:p w:rsidR="00CB5631" w:rsidRPr="00CB5631" w:rsidRDefault="00CB5631" w:rsidP="00CB5631">
      <w:pPr>
        <w:rPr>
          <w:lang w:eastAsia="en-US"/>
        </w:rPr>
      </w:pPr>
    </w:p>
    <w:p w:rsidR="00CB5631" w:rsidRPr="00CB5631" w:rsidRDefault="00CB5631" w:rsidP="00CB5631">
      <w:pPr>
        <w:rPr>
          <w:lang w:eastAsia="en-US"/>
        </w:rPr>
      </w:pPr>
    </w:p>
    <w:p w:rsidR="00CB5631" w:rsidRDefault="00CB5631" w:rsidP="00CB5631">
      <w:pPr>
        <w:tabs>
          <w:tab w:val="left" w:pos="3651"/>
        </w:tabs>
        <w:jc w:val="center"/>
        <w:rPr>
          <w:lang w:eastAsia="en-US"/>
        </w:rPr>
      </w:pPr>
      <w:r w:rsidRPr="00CB5631">
        <w:rPr>
          <w:noProof/>
          <w:lang w:val="en-US" w:eastAsia="en-US"/>
        </w:rPr>
        <w:drawing>
          <wp:inline distT="0" distB="0" distL="0" distR="0">
            <wp:extent cx="5507990" cy="3352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507990" cy="3352800"/>
                    </a:xfrm>
                    <a:prstGeom prst="rect">
                      <a:avLst/>
                    </a:prstGeom>
                    <a:noFill/>
                    <a:ln w="9525">
                      <a:noFill/>
                      <a:miter lim="800000"/>
                      <a:headEnd/>
                      <a:tailEnd/>
                    </a:ln>
                  </pic:spPr>
                </pic:pic>
              </a:graphicData>
            </a:graphic>
          </wp:inline>
        </w:drawing>
      </w:r>
    </w:p>
    <w:p w:rsidR="00CB5631" w:rsidRDefault="00CB5631" w:rsidP="00CB5631">
      <w:pPr>
        <w:rPr>
          <w:lang w:eastAsia="en-US"/>
        </w:rPr>
      </w:pPr>
    </w:p>
    <w:p w:rsidR="00CB5631" w:rsidRPr="00CB5631" w:rsidRDefault="00CB5631" w:rsidP="00CB5631">
      <w:pPr>
        <w:rPr>
          <w:lang w:eastAsia="en-US"/>
        </w:rPr>
        <w:sectPr w:rsidR="00CB5631" w:rsidRPr="00CB5631" w:rsidSect="00232152">
          <w:footerReference w:type="default" r:id="rId14"/>
          <w:footerReference w:type="first" r:id="rId15"/>
          <w:pgSz w:w="12240" w:h="15840" w:code="1"/>
          <w:pgMar w:top="284" w:right="990" w:bottom="851" w:left="806" w:header="720" w:footer="418" w:gutter="0"/>
          <w:cols w:space="720"/>
          <w:docGrid w:linePitch="360"/>
        </w:sectPr>
      </w:pPr>
    </w:p>
    <w:p w:rsidR="00264361" w:rsidRPr="00334073" w:rsidRDefault="00E80E03" w:rsidP="004D18B1">
      <w:pPr>
        <w:pStyle w:val="BodyText"/>
        <w:tabs>
          <w:tab w:val="left" w:pos="360"/>
        </w:tabs>
        <w:ind w:left="720"/>
        <w:jc w:val="both"/>
        <w:rPr>
          <w:rFonts w:ascii="Times New Roman" w:hAnsi="Times New Roman"/>
          <w:bCs/>
          <w:sz w:val="24"/>
          <w:lang w:val="fr-FR"/>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-518160</wp:posOffset>
                </wp:positionH>
                <wp:positionV relativeFrom="paragraph">
                  <wp:posOffset>-178435</wp:posOffset>
                </wp:positionV>
                <wp:extent cx="9446260" cy="291465"/>
                <wp:effectExtent l="0" t="0" r="21590"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9F0768" w:rsidRPr="004001D8" w:rsidRDefault="009F0768" w:rsidP="004D18B1">
                            <w:pPr>
                              <w:jc w:val="center"/>
                              <w:rPr>
                                <w:b/>
                              </w:rPr>
                            </w:pPr>
                            <w:r w:rsidRPr="004001D8">
                              <w:rPr>
                                <w:b/>
                              </w:rPr>
                              <w:t>ii) Evaluation de la performance à partir d’indicateurs: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g8KgIAAFE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" fillcolor="#f2f2f2" strokecolor="#d8d8d8">
                <v:textbox>
                  <w:txbxContent>
                    <w:p w:rsidR="009F0768" w:rsidRPr="004001D8" w:rsidRDefault="009F0768" w:rsidP="004D18B1">
                      <w:pPr>
                        <w:jc w:val="center"/>
                        <w:rPr>
                          <w:b/>
                        </w:rPr>
                      </w:pPr>
                      <w:r w:rsidRPr="004001D8">
                        <w:rPr>
                          <w:b/>
                        </w:rPr>
                        <w:t>ii) Evaluation de la performance à partir d’indicateurs:</w:t>
                      </w:r>
                    </w:p>
                  </w:txbxContent>
                </v:textbox>
              </v:shape>
            </w:pict>
          </mc:Fallback>
        </mc:AlternateContent>
      </w:r>
    </w:p>
    <w:p w:rsidR="00264361" w:rsidRDefault="00264361" w:rsidP="004D18B1">
      <w:pPr>
        <w:pStyle w:val="BodyText"/>
        <w:jc w:val="both"/>
        <w:rPr>
          <w:rFonts w:ascii="Times New Roman" w:hAnsi="Times New Roman"/>
          <w:bCs/>
          <w:sz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B41DFE" w:rsidRPr="003142EF" w:rsidTr="00B66207">
        <w:tc>
          <w:tcPr>
            <w:tcW w:w="4265" w:type="dxa"/>
            <w:tcBorders>
              <w:bottom w:val="single" w:sz="4" w:space="0" w:color="000000"/>
            </w:tcBorders>
            <w:shd w:val="clear" w:color="auto" w:fill="auto"/>
          </w:tcPr>
          <w:p w:rsidR="00B41DFE" w:rsidRPr="001C698E" w:rsidRDefault="00B41DFE" w:rsidP="00B66207">
            <w:pPr>
              <w:jc w:val="both"/>
              <w:rPr>
                <w:rFonts w:cs="Arial"/>
                <w:bCs/>
                <w:sz w:val="20"/>
                <w:szCs w:val="20"/>
              </w:rPr>
            </w:pPr>
          </w:p>
        </w:tc>
        <w:tc>
          <w:tcPr>
            <w:tcW w:w="3745" w:type="dxa"/>
            <w:tcBorders>
              <w:bottom w:val="single" w:sz="4" w:space="0" w:color="000000"/>
            </w:tcBorders>
            <w:shd w:val="clear" w:color="auto" w:fill="auto"/>
          </w:tcPr>
          <w:p w:rsidR="00B41DFE" w:rsidRPr="001C698E" w:rsidRDefault="00B41DFE" w:rsidP="00B41DFE">
            <w:pPr>
              <w:jc w:val="center"/>
              <w:rPr>
                <w:b/>
                <w:sz w:val="20"/>
                <w:szCs w:val="20"/>
              </w:rPr>
            </w:pPr>
            <w:r w:rsidRPr="001C698E">
              <w:rPr>
                <w:b/>
                <w:sz w:val="20"/>
                <w:szCs w:val="20"/>
              </w:rPr>
              <w:t xml:space="preserve">Objectifs </w:t>
            </w:r>
            <w:r w:rsidRPr="001C698E">
              <w:rPr>
                <w:b/>
                <w:sz w:val="20"/>
                <w:szCs w:val="20"/>
                <w:u w:val="single"/>
              </w:rPr>
              <w:t>atteints</w:t>
            </w:r>
            <w:r w:rsidRPr="001C698E">
              <w:rPr>
                <w:b/>
                <w:sz w:val="20"/>
                <w:szCs w:val="20"/>
              </w:rPr>
              <w:t xml:space="preserve"> en lien avec les indicateurs</w:t>
            </w:r>
          </w:p>
        </w:tc>
        <w:tc>
          <w:tcPr>
            <w:tcW w:w="3960" w:type="dxa"/>
            <w:tcBorders>
              <w:bottom w:val="single" w:sz="4" w:space="0" w:color="000000"/>
            </w:tcBorders>
            <w:shd w:val="clear" w:color="auto" w:fill="auto"/>
          </w:tcPr>
          <w:p w:rsidR="00B41DFE" w:rsidRPr="001C698E" w:rsidRDefault="00B41DFE" w:rsidP="00B66207">
            <w:pPr>
              <w:jc w:val="center"/>
              <w:rPr>
                <w:b/>
                <w:sz w:val="20"/>
                <w:szCs w:val="20"/>
              </w:rPr>
            </w:pPr>
            <w:r w:rsidRPr="001C698E">
              <w:rPr>
                <w:b/>
                <w:sz w:val="20"/>
                <w:szCs w:val="20"/>
              </w:rPr>
              <w:t>Raisons des écarts éventuels par rapport aux objectifs fixés à l’origine</w:t>
            </w:r>
          </w:p>
        </w:tc>
        <w:tc>
          <w:tcPr>
            <w:tcW w:w="3150" w:type="dxa"/>
            <w:tcBorders>
              <w:bottom w:val="single" w:sz="4" w:space="0" w:color="000000"/>
            </w:tcBorders>
            <w:shd w:val="clear" w:color="auto" w:fill="auto"/>
          </w:tcPr>
          <w:p w:rsidR="00B41DFE" w:rsidRPr="001C698E" w:rsidRDefault="00B41DFE" w:rsidP="00B66207">
            <w:pPr>
              <w:jc w:val="center"/>
              <w:rPr>
                <w:b/>
                <w:sz w:val="20"/>
                <w:szCs w:val="20"/>
              </w:rPr>
            </w:pPr>
            <w:r w:rsidRPr="001C698E">
              <w:rPr>
                <w:b/>
                <w:sz w:val="20"/>
                <w:szCs w:val="20"/>
              </w:rPr>
              <w:t>Source de vérification</w:t>
            </w:r>
          </w:p>
        </w:tc>
      </w:tr>
      <w:tr w:rsidR="00B41DFE" w:rsidRPr="003142EF" w:rsidTr="00B66207">
        <w:trPr>
          <w:trHeight w:val="985"/>
        </w:trPr>
        <w:tc>
          <w:tcPr>
            <w:tcW w:w="4265" w:type="dxa"/>
            <w:shd w:val="pct15" w:color="auto" w:fill="auto"/>
          </w:tcPr>
          <w:p w:rsidR="00B41DFE" w:rsidRPr="003142EF" w:rsidRDefault="00B41DFE" w:rsidP="00B66207">
            <w:pPr>
              <w:rPr>
                <w:b/>
              </w:rPr>
            </w:pPr>
            <w:r>
              <w:rPr>
                <w:b/>
              </w:rPr>
              <w:t>Effet direct</w:t>
            </w:r>
            <w:r w:rsidRPr="003142EF">
              <w:rPr>
                <w:b/>
              </w:rPr>
              <w:t xml:space="preserve"> 1</w:t>
            </w:r>
            <w:r w:rsidRPr="003142EF">
              <w:rPr>
                <w:b/>
                <w:vertAlign w:val="superscript"/>
              </w:rPr>
              <w:footnoteReference w:id="1"/>
            </w:r>
          </w:p>
          <w:p w:rsidR="00B41DFE" w:rsidRPr="003142EF" w:rsidRDefault="00B41DFE" w:rsidP="00B66207">
            <w:pPr>
              <w:rPr>
                <w:b/>
                <w:sz w:val="20"/>
                <w:szCs w:val="20"/>
              </w:rPr>
            </w:pPr>
            <w:r w:rsidRPr="003142EF">
              <w:rPr>
                <w:b/>
                <w:sz w:val="20"/>
                <w:szCs w:val="20"/>
              </w:rPr>
              <w:t>Indicateur:</w:t>
            </w:r>
          </w:p>
          <w:p w:rsidR="00B41DFE" w:rsidRPr="003142EF" w:rsidRDefault="00B41DFE" w:rsidP="00B66207">
            <w:pPr>
              <w:rPr>
                <w:b/>
                <w:sz w:val="20"/>
                <w:szCs w:val="20"/>
              </w:rPr>
            </w:pPr>
            <w:r w:rsidRPr="003142EF">
              <w:rPr>
                <w:b/>
                <w:sz w:val="20"/>
                <w:szCs w:val="20"/>
              </w:rPr>
              <w:t>Indicateur de référence:</w:t>
            </w:r>
          </w:p>
          <w:p w:rsidR="00B41DFE" w:rsidRPr="00B77FDB" w:rsidRDefault="00B41DFE" w:rsidP="00B66207">
            <w:pPr>
              <w:rPr>
                <w:b/>
                <w:sz w:val="20"/>
                <w:szCs w:val="20"/>
              </w:rPr>
            </w:pPr>
            <w:r w:rsidRPr="003142EF">
              <w:rPr>
                <w:b/>
                <w:sz w:val="20"/>
                <w:szCs w:val="20"/>
              </w:rPr>
              <w:t>Indicateur cible:</w:t>
            </w:r>
          </w:p>
        </w:tc>
        <w:tc>
          <w:tcPr>
            <w:tcW w:w="3745" w:type="dxa"/>
            <w:shd w:val="pct15" w:color="auto" w:fill="auto"/>
          </w:tcPr>
          <w:p w:rsidR="00B41DFE" w:rsidRPr="003142EF" w:rsidRDefault="00B41DFE" w:rsidP="00B66207">
            <w:pPr>
              <w:jc w:val="both"/>
              <w:rPr>
                <w:rFonts w:cs="Arial"/>
                <w:bCs/>
                <w:szCs w:val="20"/>
              </w:rPr>
            </w:pPr>
          </w:p>
        </w:tc>
        <w:tc>
          <w:tcPr>
            <w:tcW w:w="3960" w:type="dxa"/>
            <w:shd w:val="pct15" w:color="auto" w:fill="auto"/>
          </w:tcPr>
          <w:p w:rsidR="00B41DFE" w:rsidRPr="003142EF" w:rsidRDefault="00B41DFE" w:rsidP="00B66207">
            <w:pPr>
              <w:jc w:val="both"/>
              <w:rPr>
                <w:rFonts w:cs="Arial"/>
                <w:bCs/>
                <w:szCs w:val="20"/>
              </w:rPr>
            </w:pPr>
          </w:p>
        </w:tc>
        <w:tc>
          <w:tcPr>
            <w:tcW w:w="3150" w:type="dxa"/>
            <w:shd w:val="pct15" w:color="auto" w:fill="auto"/>
          </w:tcPr>
          <w:p w:rsidR="00B41DFE" w:rsidRPr="003142EF" w:rsidRDefault="00B41DFE" w:rsidP="00B66207">
            <w:pPr>
              <w:jc w:val="both"/>
              <w:rPr>
                <w:rFonts w:cs="Arial"/>
                <w:bCs/>
                <w:szCs w:val="20"/>
              </w:rPr>
            </w:pPr>
          </w:p>
        </w:tc>
      </w:tr>
      <w:tr w:rsidR="00B41DFE" w:rsidRPr="003142EF" w:rsidTr="00B66207">
        <w:trPr>
          <w:trHeight w:val="134"/>
        </w:trPr>
        <w:tc>
          <w:tcPr>
            <w:tcW w:w="15120" w:type="dxa"/>
            <w:gridSpan w:val="4"/>
            <w:shd w:val="clear" w:color="auto" w:fill="auto"/>
          </w:tcPr>
          <w:p w:rsidR="00B41DFE" w:rsidRPr="00CC369D" w:rsidRDefault="00B41DFE" w:rsidP="00B66207">
            <w:pPr>
              <w:jc w:val="both"/>
              <w:rPr>
                <w:rFonts w:cs="Arial"/>
                <w:bCs/>
                <w:szCs w:val="20"/>
              </w:rPr>
            </w:pPr>
            <w:r>
              <w:rPr>
                <w:b/>
              </w:rPr>
              <w:t xml:space="preserve">Résultat  1 </w:t>
            </w:r>
            <w:r w:rsidRPr="00CC369D">
              <w:rPr>
                <w:b/>
              </w:rPr>
              <w:t>Les forces de défense et de sécurité sont en mesure de prendre en charge des cas des VBG</w:t>
            </w:r>
          </w:p>
        </w:tc>
      </w:tr>
      <w:tr w:rsidR="00B41DFE" w:rsidRPr="003142EF" w:rsidTr="00B66207">
        <w:tc>
          <w:tcPr>
            <w:tcW w:w="4265" w:type="dxa"/>
            <w:shd w:val="clear" w:color="auto" w:fill="auto"/>
          </w:tcPr>
          <w:p w:rsidR="00B41DFE" w:rsidRPr="00642A3E" w:rsidRDefault="00B41DFE" w:rsidP="00B66207">
            <w:pPr>
              <w:rPr>
                <w:rFonts w:ascii="Arial" w:hAnsi="Arial" w:cs="Arial"/>
                <w:sz w:val="20"/>
                <w:szCs w:val="20"/>
              </w:rPr>
            </w:pPr>
            <w:r w:rsidRPr="00642A3E">
              <w:rPr>
                <w:rFonts w:ascii="Arial" w:hAnsi="Arial" w:cs="Arial"/>
                <w:b/>
                <w:sz w:val="20"/>
                <w:szCs w:val="20"/>
              </w:rPr>
              <w:t xml:space="preserve">Indicateur  1.1 : </w:t>
            </w:r>
            <w:r w:rsidRPr="00642A3E">
              <w:rPr>
                <w:rFonts w:ascii="Arial" w:hAnsi="Arial" w:cs="Arial"/>
                <w:sz w:val="20"/>
                <w:szCs w:val="20"/>
              </w:rPr>
              <w:t xml:space="preserve"># de Forces de Défense et de Sécurité formés </w:t>
            </w:r>
          </w:p>
          <w:p w:rsidR="00B41DFE" w:rsidRPr="00642A3E" w:rsidRDefault="00B41DFE" w:rsidP="00B66207">
            <w:pPr>
              <w:rPr>
                <w:rFonts w:ascii="Arial" w:hAnsi="Arial" w:cs="Arial"/>
                <w:b/>
                <w:sz w:val="20"/>
                <w:szCs w:val="20"/>
              </w:rPr>
            </w:pPr>
            <w:r w:rsidRPr="00642A3E">
              <w:rPr>
                <w:rFonts w:ascii="Arial" w:hAnsi="Arial" w:cs="Arial"/>
                <w:b/>
                <w:sz w:val="20"/>
                <w:szCs w:val="20"/>
              </w:rPr>
              <w:t>Indicateur de référence (2012): 0</w:t>
            </w:r>
          </w:p>
          <w:p w:rsidR="00B41DFE" w:rsidRPr="00642A3E" w:rsidRDefault="00B41DFE" w:rsidP="00B66207">
            <w:pPr>
              <w:rPr>
                <w:rFonts w:ascii="Arial" w:hAnsi="Arial" w:cs="Arial"/>
                <w:b/>
                <w:sz w:val="20"/>
                <w:szCs w:val="20"/>
              </w:rPr>
            </w:pPr>
            <w:r w:rsidRPr="00642A3E">
              <w:rPr>
                <w:rFonts w:ascii="Arial" w:hAnsi="Arial" w:cs="Arial"/>
                <w:b/>
                <w:sz w:val="20"/>
                <w:szCs w:val="20"/>
              </w:rPr>
              <w:t>Indicateur cible (2014): 500</w:t>
            </w:r>
          </w:p>
        </w:tc>
        <w:tc>
          <w:tcPr>
            <w:tcW w:w="3745" w:type="dxa"/>
            <w:shd w:val="clear" w:color="auto" w:fill="auto"/>
          </w:tcPr>
          <w:p w:rsidR="00B41DFE" w:rsidRDefault="00382D4E" w:rsidP="00B66207">
            <w:pPr>
              <w:jc w:val="both"/>
              <w:rPr>
                <w:rFonts w:ascii="Arial" w:hAnsi="Arial" w:cs="Arial"/>
                <w:bCs/>
                <w:sz w:val="20"/>
                <w:szCs w:val="20"/>
              </w:rPr>
            </w:pPr>
            <w:r>
              <w:rPr>
                <w:rFonts w:ascii="Arial" w:hAnsi="Arial" w:cs="Arial"/>
                <w:bCs/>
                <w:sz w:val="20"/>
                <w:szCs w:val="20"/>
              </w:rPr>
              <w:t>208</w:t>
            </w:r>
            <w:r w:rsidR="00F12205" w:rsidRPr="001C698E">
              <w:rPr>
                <w:rFonts w:ascii="Arial" w:hAnsi="Arial" w:cs="Arial"/>
                <w:bCs/>
                <w:sz w:val="20"/>
                <w:szCs w:val="20"/>
              </w:rPr>
              <w:t xml:space="preserve"> </w:t>
            </w:r>
            <w:r w:rsidR="006F793C">
              <w:rPr>
                <w:rFonts w:ascii="Arial" w:hAnsi="Arial" w:cs="Arial"/>
                <w:bCs/>
                <w:sz w:val="20"/>
                <w:szCs w:val="20"/>
              </w:rPr>
              <w:t>FDS</w:t>
            </w:r>
            <w:r w:rsidR="00F12205" w:rsidRPr="001C698E">
              <w:rPr>
                <w:rFonts w:ascii="Arial" w:hAnsi="Arial" w:cs="Arial"/>
                <w:bCs/>
                <w:sz w:val="20"/>
                <w:szCs w:val="20"/>
              </w:rPr>
              <w:t xml:space="preserve"> </w:t>
            </w:r>
            <w:r>
              <w:rPr>
                <w:rFonts w:ascii="Arial" w:hAnsi="Arial" w:cs="Arial"/>
                <w:bCs/>
                <w:sz w:val="20"/>
                <w:szCs w:val="20"/>
              </w:rPr>
              <w:t>(150 OPJ et 58</w:t>
            </w:r>
            <w:r w:rsidR="00EE69C4">
              <w:rPr>
                <w:rFonts w:ascii="Arial" w:hAnsi="Arial" w:cs="Arial"/>
                <w:bCs/>
                <w:sz w:val="20"/>
                <w:szCs w:val="20"/>
              </w:rPr>
              <w:t xml:space="preserve"> formateurs) </w:t>
            </w:r>
            <w:r w:rsidR="00F12205" w:rsidRPr="001C698E">
              <w:rPr>
                <w:rFonts w:ascii="Arial" w:hAnsi="Arial" w:cs="Arial"/>
                <w:bCs/>
                <w:sz w:val="20"/>
                <w:szCs w:val="20"/>
              </w:rPr>
              <w:t>formés respectivement sur la prise en charge juridique</w:t>
            </w:r>
            <w:r w:rsidR="00EE69C4">
              <w:rPr>
                <w:rFonts w:ascii="Arial" w:hAnsi="Arial" w:cs="Arial"/>
                <w:bCs/>
                <w:sz w:val="20"/>
                <w:szCs w:val="20"/>
              </w:rPr>
              <w:t xml:space="preserve">, les droits de l’enfant et les VBG </w:t>
            </w:r>
          </w:p>
          <w:p w:rsidR="006F793C" w:rsidRPr="001C698E" w:rsidRDefault="006F793C" w:rsidP="006F793C">
            <w:pPr>
              <w:jc w:val="both"/>
              <w:rPr>
                <w:rFonts w:cs="Arial"/>
                <w:bCs/>
                <w:color w:val="FF0000"/>
                <w:sz w:val="20"/>
                <w:szCs w:val="20"/>
              </w:rPr>
            </w:pPr>
          </w:p>
        </w:tc>
        <w:tc>
          <w:tcPr>
            <w:tcW w:w="3960" w:type="dxa"/>
            <w:shd w:val="clear" w:color="auto" w:fill="auto"/>
          </w:tcPr>
          <w:p w:rsidR="00B41DFE" w:rsidRPr="001C698E" w:rsidRDefault="00EE69C4" w:rsidP="00B66207">
            <w:pPr>
              <w:jc w:val="both"/>
              <w:rPr>
                <w:rFonts w:cs="Arial"/>
                <w:bCs/>
                <w:sz w:val="20"/>
                <w:szCs w:val="20"/>
              </w:rPr>
            </w:pPr>
            <w:r>
              <w:rPr>
                <w:rFonts w:ascii="Arial" w:hAnsi="Arial" w:cs="Arial"/>
                <w:bCs/>
                <w:sz w:val="20"/>
                <w:szCs w:val="20"/>
              </w:rPr>
              <w:t>1000 FDS supplémentaires ont été  form</w:t>
            </w:r>
            <w:r w:rsidRPr="006F793C">
              <w:rPr>
                <w:rFonts w:ascii="Arial" w:hAnsi="Arial" w:cs="Arial"/>
                <w:bCs/>
                <w:sz w:val="20"/>
                <w:szCs w:val="20"/>
              </w:rPr>
              <w:t>é</w:t>
            </w:r>
            <w:r>
              <w:rPr>
                <w:rFonts w:ascii="Arial" w:hAnsi="Arial" w:cs="Arial"/>
                <w:bCs/>
                <w:sz w:val="20"/>
                <w:szCs w:val="20"/>
              </w:rPr>
              <w:t>s sur les VBG</w:t>
            </w:r>
            <w:r w:rsidR="009F7EA1" w:rsidRPr="001C698E">
              <w:rPr>
                <w:rFonts w:ascii="Arial" w:hAnsi="Arial" w:cs="Arial"/>
                <w:bCs/>
                <w:sz w:val="20"/>
                <w:szCs w:val="20"/>
              </w:rPr>
              <w:t xml:space="preserve"> à</w:t>
            </w:r>
            <w:r>
              <w:rPr>
                <w:rFonts w:ascii="Arial" w:hAnsi="Arial" w:cs="Arial"/>
                <w:bCs/>
                <w:sz w:val="20"/>
                <w:szCs w:val="20"/>
              </w:rPr>
              <w:t xml:space="preserve"> travers le projet contrôle civil et </w:t>
            </w:r>
            <w:r w:rsidR="009F7EA1">
              <w:rPr>
                <w:rFonts w:ascii="Arial" w:hAnsi="Arial" w:cs="Arial"/>
                <w:bCs/>
                <w:sz w:val="20"/>
                <w:szCs w:val="20"/>
              </w:rPr>
              <w:t>démocratique</w:t>
            </w:r>
          </w:p>
        </w:tc>
        <w:tc>
          <w:tcPr>
            <w:tcW w:w="3150" w:type="dxa"/>
            <w:shd w:val="clear" w:color="auto" w:fill="auto"/>
          </w:tcPr>
          <w:p w:rsidR="00B41DFE" w:rsidRDefault="00F12205" w:rsidP="006F793C">
            <w:pPr>
              <w:jc w:val="both"/>
              <w:rPr>
                <w:rFonts w:ascii="Arial" w:hAnsi="Arial" w:cs="Arial"/>
                <w:bCs/>
                <w:sz w:val="20"/>
                <w:szCs w:val="20"/>
              </w:rPr>
            </w:pPr>
            <w:r w:rsidRPr="001C698E">
              <w:rPr>
                <w:rFonts w:ascii="Arial" w:hAnsi="Arial" w:cs="Arial"/>
                <w:bCs/>
                <w:sz w:val="20"/>
                <w:szCs w:val="20"/>
              </w:rPr>
              <w:t xml:space="preserve">Les rapports de formations et d’activités </w:t>
            </w:r>
            <w:r w:rsidR="006F793C">
              <w:rPr>
                <w:rFonts w:ascii="Arial" w:hAnsi="Arial" w:cs="Arial"/>
                <w:bCs/>
                <w:sz w:val="20"/>
                <w:szCs w:val="20"/>
              </w:rPr>
              <w:t>UNICEF</w:t>
            </w:r>
          </w:p>
          <w:p w:rsidR="006F793C" w:rsidRPr="001C698E" w:rsidRDefault="006F793C" w:rsidP="006F793C">
            <w:pPr>
              <w:jc w:val="both"/>
              <w:rPr>
                <w:rFonts w:cs="Arial"/>
                <w:bCs/>
                <w:sz w:val="20"/>
                <w:szCs w:val="20"/>
              </w:rPr>
            </w:pPr>
            <w:r>
              <w:rPr>
                <w:rFonts w:ascii="Arial" w:hAnsi="Arial" w:cs="Arial"/>
                <w:bCs/>
                <w:sz w:val="20"/>
                <w:szCs w:val="20"/>
              </w:rPr>
              <w:t xml:space="preserve">Rapport Projet Contrôle Civile et Démocratique </w:t>
            </w:r>
          </w:p>
        </w:tc>
      </w:tr>
      <w:tr w:rsidR="00B41DFE" w:rsidRPr="003142EF" w:rsidTr="00B66207">
        <w:tc>
          <w:tcPr>
            <w:tcW w:w="4265" w:type="dxa"/>
            <w:shd w:val="clear" w:color="auto" w:fill="auto"/>
          </w:tcPr>
          <w:p w:rsidR="00B41DFE" w:rsidRPr="00642A3E" w:rsidRDefault="00B41DFE" w:rsidP="00B66207">
            <w:pPr>
              <w:rPr>
                <w:rFonts w:ascii="Arial" w:hAnsi="Arial" w:cs="Arial"/>
                <w:sz w:val="20"/>
                <w:szCs w:val="20"/>
              </w:rPr>
            </w:pPr>
            <w:r w:rsidRPr="00642A3E">
              <w:rPr>
                <w:rFonts w:ascii="Arial" w:hAnsi="Arial" w:cs="Arial"/>
                <w:b/>
                <w:sz w:val="20"/>
                <w:szCs w:val="20"/>
              </w:rPr>
              <w:t xml:space="preserve">Indicateur 1.2 : </w:t>
            </w:r>
            <w:r w:rsidRPr="00642A3E">
              <w:rPr>
                <w:rFonts w:ascii="Arial" w:hAnsi="Arial" w:cs="Arial"/>
                <w:sz w:val="20"/>
                <w:szCs w:val="20"/>
              </w:rPr>
              <w:t>Existence d’un code de bonne conduite</w:t>
            </w:r>
          </w:p>
          <w:p w:rsidR="00B41DFE" w:rsidRPr="00642A3E" w:rsidRDefault="00B41DFE" w:rsidP="00B66207">
            <w:pPr>
              <w:rPr>
                <w:rFonts w:ascii="Arial" w:hAnsi="Arial" w:cs="Arial"/>
                <w:b/>
                <w:sz w:val="20"/>
                <w:szCs w:val="20"/>
              </w:rPr>
            </w:pPr>
            <w:r w:rsidRPr="00642A3E">
              <w:rPr>
                <w:rFonts w:ascii="Arial" w:hAnsi="Arial" w:cs="Arial"/>
                <w:b/>
                <w:sz w:val="20"/>
                <w:szCs w:val="20"/>
              </w:rPr>
              <w:t>Indicateur de référence (2012): non-disponible</w:t>
            </w:r>
          </w:p>
          <w:p w:rsidR="00B41DFE" w:rsidRPr="00642A3E" w:rsidRDefault="00B41DFE" w:rsidP="00B66207">
            <w:pPr>
              <w:rPr>
                <w:rFonts w:ascii="Arial" w:hAnsi="Arial" w:cs="Arial"/>
                <w:b/>
                <w:sz w:val="20"/>
                <w:szCs w:val="20"/>
              </w:rPr>
            </w:pPr>
            <w:r w:rsidRPr="00642A3E">
              <w:rPr>
                <w:rFonts w:ascii="Arial" w:hAnsi="Arial" w:cs="Arial"/>
                <w:b/>
                <w:sz w:val="20"/>
                <w:szCs w:val="20"/>
              </w:rPr>
              <w:t>Indicateur cible (2014): disponible</w:t>
            </w:r>
          </w:p>
        </w:tc>
        <w:tc>
          <w:tcPr>
            <w:tcW w:w="3745" w:type="dxa"/>
            <w:shd w:val="clear" w:color="auto" w:fill="auto"/>
          </w:tcPr>
          <w:p w:rsidR="00F12205" w:rsidRPr="001C698E" w:rsidRDefault="00F12205" w:rsidP="00F12205">
            <w:pPr>
              <w:jc w:val="both"/>
              <w:rPr>
                <w:rFonts w:ascii="Arial" w:hAnsi="Arial" w:cs="Arial"/>
                <w:bCs/>
                <w:sz w:val="20"/>
                <w:szCs w:val="20"/>
              </w:rPr>
            </w:pPr>
            <w:r w:rsidRPr="001C698E">
              <w:rPr>
                <w:rFonts w:ascii="Arial" w:hAnsi="Arial" w:cs="Arial"/>
                <w:bCs/>
                <w:sz w:val="20"/>
                <w:szCs w:val="20"/>
              </w:rPr>
              <w:t xml:space="preserve">Existence d’un code de bonne conduite </w:t>
            </w:r>
            <w:r w:rsidR="006F793C">
              <w:rPr>
                <w:rFonts w:ascii="Arial" w:hAnsi="Arial" w:cs="Arial"/>
                <w:bCs/>
                <w:sz w:val="20"/>
                <w:szCs w:val="20"/>
              </w:rPr>
              <w:t>signe</w:t>
            </w:r>
            <w:r w:rsidRPr="001C698E">
              <w:rPr>
                <w:rFonts w:ascii="Arial" w:hAnsi="Arial" w:cs="Arial"/>
                <w:bCs/>
                <w:sz w:val="20"/>
                <w:szCs w:val="20"/>
              </w:rPr>
              <w:t xml:space="preserve"> par 30 instructeurs de police et de gendarmerie.</w:t>
            </w:r>
          </w:p>
          <w:p w:rsidR="00B41DFE" w:rsidRPr="001C698E" w:rsidRDefault="00B41DFE" w:rsidP="00B66207">
            <w:pPr>
              <w:jc w:val="both"/>
              <w:rPr>
                <w:rFonts w:cs="Arial"/>
                <w:bCs/>
                <w:sz w:val="20"/>
                <w:szCs w:val="20"/>
              </w:rPr>
            </w:pPr>
          </w:p>
        </w:tc>
        <w:tc>
          <w:tcPr>
            <w:tcW w:w="3960" w:type="dxa"/>
            <w:shd w:val="clear" w:color="auto" w:fill="auto"/>
          </w:tcPr>
          <w:p w:rsidR="00B41DFE" w:rsidRPr="001C698E" w:rsidRDefault="00B41DFE" w:rsidP="00B66207">
            <w:pPr>
              <w:jc w:val="both"/>
              <w:rPr>
                <w:rFonts w:cs="Arial"/>
                <w:bCs/>
                <w:sz w:val="20"/>
                <w:szCs w:val="20"/>
              </w:rPr>
            </w:pPr>
          </w:p>
        </w:tc>
        <w:tc>
          <w:tcPr>
            <w:tcW w:w="3150" w:type="dxa"/>
            <w:shd w:val="clear" w:color="auto" w:fill="auto"/>
          </w:tcPr>
          <w:p w:rsidR="00B41DFE" w:rsidRPr="001C698E" w:rsidRDefault="001C698E" w:rsidP="00B66207">
            <w:pPr>
              <w:jc w:val="both"/>
              <w:rPr>
                <w:rFonts w:cs="Arial"/>
                <w:bCs/>
                <w:sz w:val="20"/>
                <w:szCs w:val="20"/>
              </w:rPr>
            </w:pPr>
            <w:r w:rsidRPr="001C698E">
              <w:rPr>
                <w:rFonts w:ascii="Arial" w:hAnsi="Arial" w:cs="Arial"/>
                <w:bCs/>
                <w:sz w:val="20"/>
                <w:szCs w:val="20"/>
              </w:rPr>
              <w:t>Les rapports de formations et d’activités les rapports des différentes revues 2013 de l’Unicef</w:t>
            </w:r>
          </w:p>
        </w:tc>
      </w:tr>
      <w:tr w:rsidR="00B41DFE" w:rsidRPr="003142EF" w:rsidTr="00B66207">
        <w:tc>
          <w:tcPr>
            <w:tcW w:w="4265" w:type="dxa"/>
            <w:shd w:val="clear" w:color="auto" w:fill="auto"/>
          </w:tcPr>
          <w:p w:rsidR="00B41DFE" w:rsidRPr="00642A3E" w:rsidRDefault="00B41DFE" w:rsidP="00B66207">
            <w:pPr>
              <w:rPr>
                <w:rFonts w:ascii="Arial" w:hAnsi="Arial" w:cs="Arial"/>
                <w:b/>
                <w:sz w:val="20"/>
                <w:szCs w:val="20"/>
              </w:rPr>
            </w:pPr>
            <w:r w:rsidRPr="00642A3E">
              <w:rPr>
                <w:rFonts w:ascii="Arial" w:hAnsi="Arial" w:cs="Arial"/>
                <w:b/>
                <w:sz w:val="20"/>
                <w:szCs w:val="20"/>
              </w:rPr>
              <w:t xml:space="preserve">Indicateur 1.3 : </w:t>
            </w:r>
            <w:r w:rsidRPr="00642A3E">
              <w:rPr>
                <w:rFonts w:ascii="Arial" w:hAnsi="Arial" w:cs="Arial"/>
                <w:sz w:val="20"/>
                <w:szCs w:val="20"/>
              </w:rPr>
              <w:t xml:space="preserve">Existence de mesures incitatives pour augmenter le nombre de femmes au sein des FDS </w:t>
            </w:r>
          </w:p>
          <w:p w:rsidR="00B41DFE" w:rsidRPr="00642A3E" w:rsidRDefault="00B41DFE" w:rsidP="00B66207">
            <w:pPr>
              <w:rPr>
                <w:rFonts w:ascii="Arial" w:hAnsi="Arial" w:cs="Arial"/>
                <w:b/>
                <w:sz w:val="20"/>
                <w:szCs w:val="20"/>
              </w:rPr>
            </w:pPr>
            <w:r w:rsidRPr="00642A3E">
              <w:rPr>
                <w:rFonts w:ascii="Arial" w:hAnsi="Arial" w:cs="Arial"/>
                <w:b/>
                <w:sz w:val="20"/>
                <w:szCs w:val="20"/>
              </w:rPr>
              <w:t>Indicateur de référence (2012): non-disponible</w:t>
            </w:r>
          </w:p>
          <w:p w:rsidR="00B41DFE" w:rsidRPr="00642A3E" w:rsidRDefault="00B41DFE" w:rsidP="00B66207">
            <w:pPr>
              <w:jc w:val="both"/>
              <w:rPr>
                <w:rFonts w:ascii="Arial" w:hAnsi="Arial" w:cs="Arial"/>
                <w:bCs/>
                <w:sz w:val="20"/>
                <w:szCs w:val="20"/>
              </w:rPr>
            </w:pPr>
            <w:r w:rsidRPr="00642A3E">
              <w:rPr>
                <w:rFonts w:ascii="Arial" w:hAnsi="Arial" w:cs="Arial"/>
                <w:b/>
                <w:sz w:val="20"/>
                <w:szCs w:val="20"/>
              </w:rPr>
              <w:t>Indicateur cible (2014): disponible</w:t>
            </w:r>
          </w:p>
        </w:tc>
        <w:tc>
          <w:tcPr>
            <w:tcW w:w="3745" w:type="dxa"/>
            <w:shd w:val="clear" w:color="auto" w:fill="auto"/>
          </w:tcPr>
          <w:p w:rsidR="00B41DFE" w:rsidRPr="001C698E" w:rsidRDefault="00746852" w:rsidP="00903917">
            <w:pPr>
              <w:jc w:val="both"/>
              <w:rPr>
                <w:rFonts w:cs="Arial"/>
                <w:bCs/>
                <w:sz w:val="20"/>
                <w:szCs w:val="20"/>
                <w:highlight w:val="green"/>
              </w:rPr>
            </w:pPr>
            <w:r w:rsidRPr="001C698E">
              <w:rPr>
                <w:rFonts w:ascii="Arial" w:hAnsi="Arial" w:cs="Arial"/>
                <w:bCs/>
                <w:sz w:val="20"/>
                <w:szCs w:val="20"/>
              </w:rPr>
              <w:t xml:space="preserve">50 femmes FDS ont été </w:t>
            </w:r>
            <w:r w:rsidR="00642A3E" w:rsidRPr="001C698E">
              <w:rPr>
                <w:rFonts w:ascii="Arial" w:hAnsi="Arial" w:cs="Arial"/>
                <w:bCs/>
                <w:sz w:val="20"/>
                <w:szCs w:val="20"/>
              </w:rPr>
              <w:t>formées</w:t>
            </w:r>
            <w:r w:rsidRPr="001C698E">
              <w:rPr>
                <w:rFonts w:ascii="Arial" w:hAnsi="Arial" w:cs="Arial"/>
                <w:bCs/>
                <w:sz w:val="20"/>
                <w:szCs w:val="20"/>
              </w:rPr>
              <w:t xml:space="preserve"> en leadership</w:t>
            </w:r>
          </w:p>
        </w:tc>
        <w:tc>
          <w:tcPr>
            <w:tcW w:w="3960" w:type="dxa"/>
            <w:shd w:val="clear" w:color="auto" w:fill="auto"/>
          </w:tcPr>
          <w:p w:rsidR="00AE7C50" w:rsidRPr="001C698E" w:rsidRDefault="00AE7C50" w:rsidP="00B66207">
            <w:pPr>
              <w:jc w:val="both"/>
              <w:rPr>
                <w:rFonts w:cs="Arial"/>
                <w:bCs/>
                <w:sz w:val="20"/>
                <w:szCs w:val="20"/>
              </w:rPr>
            </w:pPr>
          </w:p>
        </w:tc>
        <w:tc>
          <w:tcPr>
            <w:tcW w:w="3150" w:type="dxa"/>
            <w:shd w:val="clear" w:color="auto" w:fill="auto"/>
          </w:tcPr>
          <w:p w:rsidR="00B41DFE" w:rsidRPr="001C698E" w:rsidRDefault="001C698E" w:rsidP="00B66207">
            <w:pPr>
              <w:jc w:val="both"/>
              <w:rPr>
                <w:rFonts w:cs="Arial"/>
                <w:bCs/>
                <w:sz w:val="20"/>
                <w:szCs w:val="20"/>
              </w:rPr>
            </w:pPr>
            <w:r w:rsidRPr="001C698E">
              <w:rPr>
                <w:rFonts w:ascii="Arial" w:hAnsi="Arial" w:cs="Arial"/>
                <w:bCs/>
                <w:sz w:val="20"/>
                <w:szCs w:val="20"/>
              </w:rPr>
              <w:t>Rapport d’activités UNFPA</w:t>
            </w:r>
            <w:r w:rsidRPr="001C698E">
              <w:rPr>
                <w:rFonts w:cs="Arial"/>
                <w:bCs/>
                <w:sz w:val="20"/>
                <w:szCs w:val="20"/>
              </w:rPr>
              <w:t xml:space="preserve"> </w:t>
            </w:r>
          </w:p>
        </w:tc>
      </w:tr>
      <w:tr w:rsidR="00903917" w:rsidRPr="003142EF" w:rsidTr="000A6BB6">
        <w:trPr>
          <w:trHeight w:val="813"/>
        </w:trPr>
        <w:tc>
          <w:tcPr>
            <w:tcW w:w="4265" w:type="dxa"/>
            <w:shd w:val="clear" w:color="auto" w:fill="auto"/>
          </w:tcPr>
          <w:p w:rsidR="00903917" w:rsidRPr="00642A3E" w:rsidRDefault="00903917" w:rsidP="00B66207">
            <w:pPr>
              <w:rPr>
                <w:rFonts w:ascii="Arial" w:hAnsi="Arial" w:cs="Arial"/>
                <w:sz w:val="20"/>
                <w:szCs w:val="20"/>
              </w:rPr>
            </w:pPr>
            <w:r w:rsidRPr="00642A3E">
              <w:rPr>
                <w:rFonts w:ascii="Arial" w:hAnsi="Arial" w:cs="Arial"/>
                <w:b/>
                <w:sz w:val="20"/>
                <w:szCs w:val="20"/>
              </w:rPr>
              <w:t xml:space="preserve">Indicateur 1.4.: </w:t>
            </w:r>
            <w:r w:rsidRPr="00642A3E">
              <w:rPr>
                <w:rFonts w:ascii="Arial" w:hAnsi="Arial" w:cs="Arial"/>
                <w:sz w:val="20"/>
                <w:szCs w:val="20"/>
              </w:rPr>
              <w:t># de cellules VBG opérationnelles</w:t>
            </w:r>
          </w:p>
          <w:p w:rsidR="00903917" w:rsidRPr="00642A3E" w:rsidRDefault="00903917" w:rsidP="00B66207">
            <w:pPr>
              <w:rPr>
                <w:rFonts w:ascii="Arial" w:hAnsi="Arial" w:cs="Arial"/>
                <w:b/>
                <w:sz w:val="20"/>
                <w:szCs w:val="20"/>
              </w:rPr>
            </w:pPr>
            <w:r w:rsidRPr="00642A3E">
              <w:rPr>
                <w:rFonts w:ascii="Arial" w:hAnsi="Arial" w:cs="Arial"/>
                <w:b/>
                <w:sz w:val="20"/>
                <w:szCs w:val="20"/>
              </w:rPr>
              <w:t>Indicateur de référence (2012): 0</w:t>
            </w:r>
          </w:p>
          <w:p w:rsidR="00903917" w:rsidRPr="00642A3E" w:rsidRDefault="00903917" w:rsidP="00B66207">
            <w:pPr>
              <w:rPr>
                <w:rFonts w:ascii="Arial" w:hAnsi="Arial" w:cs="Arial"/>
                <w:b/>
                <w:sz w:val="20"/>
                <w:szCs w:val="20"/>
              </w:rPr>
            </w:pPr>
            <w:r w:rsidRPr="00642A3E">
              <w:rPr>
                <w:rFonts w:ascii="Arial" w:hAnsi="Arial" w:cs="Arial"/>
                <w:b/>
                <w:sz w:val="20"/>
                <w:szCs w:val="20"/>
              </w:rPr>
              <w:t>Indicateur cible (2014): 10</w:t>
            </w:r>
          </w:p>
        </w:tc>
        <w:tc>
          <w:tcPr>
            <w:tcW w:w="3745" w:type="dxa"/>
            <w:shd w:val="clear" w:color="auto" w:fill="auto"/>
          </w:tcPr>
          <w:p w:rsidR="00903917" w:rsidRPr="001C698E" w:rsidRDefault="00746852" w:rsidP="006C7598">
            <w:pPr>
              <w:jc w:val="both"/>
              <w:rPr>
                <w:rFonts w:cs="Arial"/>
                <w:bCs/>
                <w:sz w:val="20"/>
                <w:szCs w:val="20"/>
                <w:highlight w:val="green"/>
              </w:rPr>
            </w:pPr>
            <w:r w:rsidRPr="001C698E">
              <w:rPr>
                <w:rFonts w:ascii="Arial" w:hAnsi="Arial" w:cs="Arial"/>
                <w:bCs/>
                <w:sz w:val="20"/>
                <w:szCs w:val="20"/>
              </w:rPr>
              <w:t>6</w:t>
            </w:r>
            <w:r w:rsidR="00903917" w:rsidRPr="001C698E">
              <w:rPr>
                <w:rFonts w:ascii="Arial" w:hAnsi="Arial" w:cs="Arial"/>
                <w:bCs/>
                <w:sz w:val="20"/>
                <w:szCs w:val="20"/>
              </w:rPr>
              <w:t xml:space="preserve"> cellules VBG </w:t>
            </w:r>
            <w:r w:rsidR="00642A3E">
              <w:rPr>
                <w:rFonts w:ascii="Arial" w:hAnsi="Arial" w:cs="Arial"/>
                <w:bCs/>
                <w:sz w:val="20"/>
                <w:szCs w:val="20"/>
              </w:rPr>
              <w:t>opérationnelle</w:t>
            </w:r>
            <w:r w:rsidR="001F28B3">
              <w:rPr>
                <w:rFonts w:ascii="Arial" w:hAnsi="Arial" w:cs="Arial"/>
                <w:bCs/>
                <w:sz w:val="20"/>
                <w:szCs w:val="20"/>
              </w:rPr>
              <w:t>s</w:t>
            </w:r>
          </w:p>
        </w:tc>
        <w:tc>
          <w:tcPr>
            <w:tcW w:w="3960" w:type="dxa"/>
            <w:shd w:val="clear" w:color="auto" w:fill="auto"/>
          </w:tcPr>
          <w:p w:rsidR="00746852" w:rsidRPr="001C698E" w:rsidRDefault="00903917" w:rsidP="006C7598">
            <w:pPr>
              <w:jc w:val="both"/>
              <w:rPr>
                <w:rFonts w:ascii="Arial" w:hAnsi="Arial" w:cs="Arial"/>
                <w:bCs/>
                <w:sz w:val="20"/>
                <w:szCs w:val="20"/>
              </w:rPr>
            </w:pPr>
            <w:r w:rsidRPr="001C698E">
              <w:rPr>
                <w:rFonts w:ascii="Arial" w:hAnsi="Arial" w:cs="Arial"/>
                <w:bCs/>
                <w:sz w:val="20"/>
                <w:szCs w:val="20"/>
              </w:rPr>
              <w:t>1 en cours d’installation (Macenta)</w:t>
            </w:r>
          </w:p>
          <w:p w:rsidR="00903917" w:rsidRPr="001C698E" w:rsidRDefault="00903917" w:rsidP="006C7598">
            <w:pPr>
              <w:jc w:val="both"/>
              <w:rPr>
                <w:rFonts w:ascii="Arial" w:hAnsi="Arial" w:cs="Arial"/>
                <w:bCs/>
                <w:sz w:val="20"/>
                <w:szCs w:val="20"/>
              </w:rPr>
            </w:pPr>
            <w:r w:rsidRPr="001C698E">
              <w:rPr>
                <w:rFonts w:ascii="Arial" w:hAnsi="Arial" w:cs="Arial"/>
                <w:bCs/>
                <w:sz w:val="20"/>
                <w:szCs w:val="20"/>
              </w:rPr>
              <w:t xml:space="preserve"> </w:t>
            </w:r>
            <w:r w:rsidR="00746852" w:rsidRPr="001C698E">
              <w:rPr>
                <w:rFonts w:ascii="Arial" w:hAnsi="Arial" w:cs="Arial"/>
                <w:bCs/>
                <w:sz w:val="20"/>
                <w:szCs w:val="20"/>
              </w:rPr>
              <w:t>3 restent à identifier (</w:t>
            </w:r>
            <w:proofErr w:type="spellStart"/>
            <w:r w:rsidR="00746852" w:rsidRPr="001C698E">
              <w:rPr>
                <w:rFonts w:ascii="Arial" w:hAnsi="Arial" w:cs="Arial"/>
                <w:bCs/>
                <w:sz w:val="20"/>
                <w:szCs w:val="20"/>
              </w:rPr>
              <w:t>Dubreka</w:t>
            </w:r>
            <w:proofErr w:type="spellEnd"/>
            <w:r w:rsidR="00746852" w:rsidRPr="001C698E">
              <w:rPr>
                <w:rFonts w:ascii="Arial" w:hAnsi="Arial" w:cs="Arial"/>
                <w:bCs/>
                <w:sz w:val="20"/>
                <w:szCs w:val="20"/>
              </w:rPr>
              <w:t xml:space="preserve">, Siguiri et </w:t>
            </w:r>
            <w:proofErr w:type="spellStart"/>
            <w:r w:rsidR="00746852" w:rsidRPr="001C698E">
              <w:rPr>
                <w:rFonts w:ascii="Arial" w:hAnsi="Arial" w:cs="Arial"/>
                <w:bCs/>
                <w:sz w:val="20"/>
                <w:szCs w:val="20"/>
              </w:rPr>
              <w:t>G</w:t>
            </w:r>
            <w:r w:rsidRPr="001C698E">
              <w:rPr>
                <w:rFonts w:ascii="Arial" w:hAnsi="Arial" w:cs="Arial"/>
                <w:bCs/>
                <w:sz w:val="20"/>
                <w:szCs w:val="20"/>
              </w:rPr>
              <w:t>uinee</w:t>
            </w:r>
            <w:proofErr w:type="spellEnd"/>
            <w:r w:rsidRPr="001C698E">
              <w:rPr>
                <w:rFonts w:ascii="Arial" w:hAnsi="Arial" w:cs="Arial"/>
                <w:bCs/>
                <w:sz w:val="20"/>
                <w:szCs w:val="20"/>
              </w:rPr>
              <w:t xml:space="preserve"> mali)</w:t>
            </w:r>
          </w:p>
        </w:tc>
        <w:tc>
          <w:tcPr>
            <w:tcW w:w="3150" w:type="dxa"/>
            <w:shd w:val="clear" w:color="auto" w:fill="auto"/>
          </w:tcPr>
          <w:p w:rsidR="00903917" w:rsidRPr="001C698E" w:rsidRDefault="00903917" w:rsidP="00AE7C50">
            <w:pPr>
              <w:jc w:val="both"/>
              <w:rPr>
                <w:rFonts w:ascii="Arial" w:hAnsi="Arial" w:cs="Arial"/>
                <w:bCs/>
                <w:sz w:val="20"/>
                <w:szCs w:val="20"/>
              </w:rPr>
            </w:pPr>
            <w:r w:rsidRPr="001C698E">
              <w:rPr>
                <w:rFonts w:ascii="Arial" w:hAnsi="Arial" w:cs="Arial"/>
                <w:bCs/>
                <w:sz w:val="20"/>
                <w:szCs w:val="20"/>
              </w:rPr>
              <w:t>Rapports OPROGREM</w:t>
            </w:r>
          </w:p>
          <w:p w:rsidR="00903917" w:rsidRPr="001C698E" w:rsidRDefault="00903917" w:rsidP="00AE7C50">
            <w:pPr>
              <w:jc w:val="both"/>
              <w:rPr>
                <w:rFonts w:ascii="Arial" w:hAnsi="Arial" w:cs="Arial"/>
                <w:bCs/>
                <w:sz w:val="20"/>
                <w:szCs w:val="20"/>
              </w:rPr>
            </w:pPr>
          </w:p>
          <w:p w:rsidR="00903917" w:rsidRPr="001C698E" w:rsidRDefault="00903917" w:rsidP="00AE7C50">
            <w:pPr>
              <w:jc w:val="both"/>
              <w:rPr>
                <w:rFonts w:ascii="Arial" w:hAnsi="Arial" w:cs="Arial"/>
                <w:bCs/>
                <w:sz w:val="20"/>
                <w:szCs w:val="20"/>
              </w:rPr>
            </w:pPr>
          </w:p>
        </w:tc>
      </w:tr>
      <w:tr w:rsidR="00903917" w:rsidRPr="003142EF" w:rsidTr="00B66207">
        <w:tc>
          <w:tcPr>
            <w:tcW w:w="4265" w:type="dxa"/>
            <w:shd w:val="clear" w:color="auto" w:fill="auto"/>
          </w:tcPr>
          <w:p w:rsidR="00903917" w:rsidRPr="00642A3E" w:rsidRDefault="00903917" w:rsidP="00B66207">
            <w:pPr>
              <w:rPr>
                <w:rFonts w:ascii="Arial" w:hAnsi="Arial" w:cs="Arial"/>
                <w:sz w:val="20"/>
                <w:szCs w:val="20"/>
              </w:rPr>
            </w:pPr>
            <w:r w:rsidRPr="00642A3E">
              <w:rPr>
                <w:rFonts w:ascii="Arial" w:hAnsi="Arial" w:cs="Arial"/>
                <w:b/>
                <w:sz w:val="20"/>
                <w:szCs w:val="20"/>
              </w:rPr>
              <w:t xml:space="preserve">Indicateur 1.4.: </w:t>
            </w:r>
            <w:r w:rsidRPr="00642A3E">
              <w:rPr>
                <w:rFonts w:ascii="Arial" w:hAnsi="Arial" w:cs="Arial"/>
                <w:sz w:val="20"/>
                <w:szCs w:val="20"/>
              </w:rPr>
              <w:t xml:space="preserve"># de cas de violences sexuelles traites au sein des cellules VBG </w:t>
            </w:r>
          </w:p>
          <w:p w:rsidR="00903917" w:rsidRPr="00642A3E" w:rsidRDefault="00903917" w:rsidP="00B66207">
            <w:pPr>
              <w:rPr>
                <w:rFonts w:ascii="Arial" w:hAnsi="Arial" w:cs="Arial"/>
                <w:b/>
                <w:sz w:val="20"/>
                <w:szCs w:val="20"/>
              </w:rPr>
            </w:pPr>
            <w:r w:rsidRPr="00642A3E">
              <w:rPr>
                <w:rFonts w:ascii="Arial" w:hAnsi="Arial" w:cs="Arial"/>
                <w:b/>
                <w:sz w:val="20"/>
                <w:szCs w:val="20"/>
              </w:rPr>
              <w:t>Indicateur de référence (2012): 20</w:t>
            </w:r>
          </w:p>
          <w:p w:rsidR="00903917" w:rsidRPr="00642A3E" w:rsidRDefault="00903917" w:rsidP="00B66207">
            <w:pPr>
              <w:rPr>
                <w:rFonts w:ascii="Arial" w:hAnsi="Arial" w:cs="Arial"/>
                <w:b/>
                <w:sz w:val="20"/>
                <w:szCs w:val="20"/>
              </w:rPr>
            </w:pPr>
            <w:r w:rsidRPr="00642A3E">
              <w:rPr>
                <w:rFonts w:ascii="Arial" w:hAnsi="Arial" w:cs="Arial"/>
                <w:b/>
                <w:sz w:val="20"/>
                <w:szCs w:val="20"/>
              </w:rPr>
              <w:t>Indicateur cible (2014): 500</w:t>
            </w:r>
          </w:p>
        </w:tc>
        <w:tc>
          <w:tcPr>
            <w:tcW w:w="3745" w:type="dxa"/>
            <w:shd w:val="clear" w:color="auto" w:fill="auto"/>
          </w:tcPr>
          <w:p w:rsidR="00746852" w:rsidRPr="006E5206" w:rsidRDefault="006E5206" w:rsidP="00746852">
            <w:pPr>
              <w:pStyle w:val="BodyText"/>
              <w:numPr>
                <w:ilvl w:val="0"/>
                <w:numId w:val="32"/>
              </w:numPr>
              <w:ind w:left="360"/>
              <w:jc w:val="both"/>
              <w:rPr>
                <w:lang w:val="fr-BE"/>
              </w:rPr>
            </w:pPr>
            <w:r w:rsidRPr="006E5206">
              <w:rPr>
                <w:lang w:val="fr-BE"/>
              </w:rPr>
              <w:t>689 cas de VBG dont 12% de viols</w:t>
            </w:r>
          </w:p>
          <w:p w:rsidR="00903917" w:rsidRPr="00F7429A" w:rsidRDefault="00903917" w:rsidP="00746852">
            <w:pPr>
              <w:pStyle w:val="BodyText"/>
              <w:numPr>
                <w:ilvl w:val="0"/>
                <w:numId w:val="32"/>
              </w:numPr>
              <w:ind w:left="360"/>
              <w:jc w:val="both"/>
              <w:rPr>
                <w:bCs/>
                <w:lang w:val="fr-BE"/>
              </w:rPr>
            </w:pPr>
            <w:r w:rsidRPr="001C698E">
              <w:rPr>
                <w:lang w:val="fr-BE"/>
              </w:rPr>
              <w:t xml:space="preserve">92 communautés </w:t>
            </w:r>
            <w:r w:rsidR="00746852" w:rsidRPr="001C698E">
              <w:rPr>
                <w:lang w:val="fr-BE"/>
              </w:rPr>
              <w:t xml:space="preserve">se sont </w:t>
            </w:r>
            <w:r w:rsidRPr="001C698E">
              <w:rPr>
                <w:lang w:val="fr-BE"/>
              </w:rPr>
              <w:t>engagées à abandonner les MGF et les mariages précoces</w:t>
            </w:r>
          </w:p>
        </w:tc>
        <w:tc>
          <w:tcPr>
            <w:tcW w:w="3960" w:type="dxa"/>
            <w:shd w:val="clear" w:color="auto" w:fill="auto"/>
          </w:tcPr>
          <w:p w:rsidR="00903917" w:rsidRPr="001C698E" w:rsidRDefault="00903917" w:rsidP="00B66207">
            <w:pPr>
              <w:jc w:val="both"/>
              <w:rPr>
                <w:rFonts w:cs="Arial"/>
                <w:bCs/>
                <w:sz w:val="20"/>
                <w:szCs w:val="20"/>
              </w:rPr>
            </w:pPr>
          </w:p>
        </w:tc>
        <w:tc>
          <w:tcPr>
            <w:tcW w:w="3150" w:type="dxa"/>
            <w:shd w:val="clear" w:color="auto" w:fill="auto"/>
          </w:tcPr>
          <w:p w:rsidR="00903917" w:rsidRPr="001C698E" w:rsidRDefault="00903917" w:rsidP="00AE7C50">
            <w:pPr>
              <w:jc w:val="both"/>
              <w:rPr>
                <w:rFonts w:ascii="Arial" w:hAnsi="Arial" w:cs="Arial"/>
                <w:bCs/>
                <w:sz w:val="20"/>
                <w:szCs w:val="20"/>
              </w:rPr>
            </w:pPr>
            <w:r w:rsidRPr="001C698E">
              <w:rPr>
                <w:rFonts w:ascii="Arial" w:hAnsi="Arial" w:cs="Arial"/>
                <w:bCs/>
                <w:sz w:val="20"/>
                <w:szCs w:val="20"/>
              </w:rPr>
              <w:t>Procès-verbaux des cas traités</w:t>
            </w:r>
          </w:p>
          <w:p w:rsidR="001C698E" w:rsidRPr="001C698E" w:rsidRDefault="001C698E" w:rsidP="00AE7C50">
            <w:pPr>
              <w:jc w:val="both"/>
              <w:rPr>
                <w:rFonts w:ascii="Arial" w:hAnsi="Arial" w:cs="Arial"/>
                <w:bCs/>
                <w:sz w:val="20"/>
                <w:szCs w:val="20"/>
              </w:rPr>
            </w:pPr>
            <w:r w:rsidRPr="001C698E">
              <w:rPr>
                <w:rFonts w:ascii="Arial" w:hAnsi="Arial" w:cs="Arial"/>
                <w:bCs/>
                <w:sz w:val="20"/>
                <w:szCs w:val="20"/>
              </w:rPr>
              <w:t>Statistiques de l’OPROGEM</w:t>
            </w:r>
          </w:p>
        </w:tc>
      </w:tr>
      <w:tr w:rsidR="00903917" w:rsidRPr="003142EF" w:rsidTr="00B66207">
        <w:trPr>
          <w:trHeight w:val="220"/>
        </w:trPr>
        <w:tc>
          <w:tcPr>
            <w:tcW w:w="15120" w:type="dxa"/>
            <w:gridSpan w:val="4"/>
            <w:shd w:val="clear" w:color="auto" w:fill="auto"/>
          </w:tcPr>
          <w:p w:rsidR="00903917" w:rsidRPr="00642A3E" w:rsidRDefault="00903917" w:rsidP="00B66207">
            <w:pPr>
              <w:jc w:val="both"/>
              <w:rPr>
                <w:rFonts w:ascii="Arial" w:hAnsi="Arial" w:cs="Arial"/>
                <w:b/>
                <w:sz w:val="20"/>
                <w:szCs w:val="20"/>
              </w:rPr>
            </w:pPr>
            <w:r w:rsidRPr="00642A3E">
              <w:rPr>
                <w:rFonts w:ascii="Arial" w:hAnsi="Arial" w:cs="Arial"/>
                <w:b/>
                <w:sz w:val="20"/>
                <w:szCs w:val="20"/>
              </w:rPr>
              <w:t>Résultat  2 Les survivantes des VBG ont accès aux programmes cibles d’assistance et de réintégration</w:t>
            </w:r>
          </w:p>
        </w:tc>
      </w:tr>
      <w:tr w:rsidR="00903917" w:rsidRPr="003142EF" w:rsidTr="00B66207">
        <w:trPr>
          <w:trHeight w:val="777"/>
        </w:trPr>
        <w:tc>
          <w:tcPr>
            <w:tcW w:w="4265" w:type="dxa"/>
            <w:shd w:val="clear" w:color="auto" w:fill="auto"/>
          </w:tcPr>
          <w:p w:rsidR="00903917" w:rsidRPr="00642A3E" w:rsidRDefault="00903917" w:rsidP="00642A3E">
            <w:pPr>
              <w:pStyle w:val="BodyText"/>
              <w:numPr>
                <w:ilvl w:val="0"/>
                <w:numId w:val="32"/>
              </w:numPr>
              <w:ind w:left="360"/>
              <w:jc w:val="both"/>
              <w:rPr>
                <w:lang w:val="fr-BE"/>
              </w:rPr>
            </w:pPr>
            <w:r w:rsidRPr="00642A3E">
              <w:rPr>
                <w:lang w:val="fr-BE"/>
              </w:rPr>
              <w:t xml:space="preserve">Indicateur  2.1. # de prestataires de services et professionnels de justice formés </w:t>
            </w:r>
          </w:p>
          <w:p w:rsidR="00903917" w:rsidRPr="00642A3E" w:rsidRDefault="00903917" w:rsidP="00642A3E">
            <w:pPr>
              <w:pStyle w:val="BodyText"/>
              <w:numPr>
                <w:ilvl w:val="0"/>
                <w:numId w:val="32"/>
              </w:numPr>
              <w:ind w:left="360"/>
              <w:jc w:val="both"/>
              <w:rPr>
                <w:lang w:val="fr-BE"/>
              </w:rPr>
            </w:pPr>
            <w:r w:rsidRPr="00642A3E">
              <w:rPr>
                <w:lang w:val="fr-BE"/>
              </w:rPr>
              <w:t>Indicateur de référence: 250</w:t>
            </w:r>
          </w:p>
          <w:p w:rsidR="00903917" w:rsidRPr="00642A3E" w:rsidRDefault="00903917" w:rsidP="00642A3E">
            <w:pPr>
              <w:pStyle w:val="BodyText"/>
              <w:numPr>
                <w:ilvl w:val="0"/>
                <w:numId w:val="32"/>
              </w:numPr>
              <w:ind w:left="360"/>
              <w:jc w:val="both"/>
              <w:rPr>
                <w:lang w:val="fr-BE"/>
              </w:rPr>
            </w:pPr>
            <w:r w:rsidRPr="00642A3E">
              <w:rPr>
                <w:lang w:val="fr-BE"/>
              </w:rPr>
              <w:t>Indicateur cible: 500</w:t>
            </w:r>
          </w:p>
        </w:tc>
        <w:tc>
          <w:tcPr>
            <w:tcW w:w="3745" w:type="dxa"/>
            <w:shd w:val="clear" w:color="auto" w:fill="auto"/>
          </w:tcPr>
          <w:p w:rsidR="00903917" w:rsidRPr="00642A3E" w:rsidRDefault="006F793C" w:rsidP="00642A3E">
            <w:pPr>
              <w:pStyle w:val="BodyText"/>
              <w:jc w:val="both"/>
              <w:rPr>
                <w:lang w:val="fr-BE"/>
              </w:rPr>
            </w:pPr>
            <w:r>
              <w:rPr>
                <w:lang w:val="fr-BE"/>
              </w:rPr>
              <w:t>279 prestataires form</w:t>
            </w:r>
            <w:r w:rsidRPr="00642A3E">
              <w:rPr>
                <w:lang w:val="fr-BE"/>
              </w:rPr>
              <w:t>é</w:t>
            </w:r>
            <w:r>
              <w:rPr>
                <w:lang w:val="fr-BE"/>
              </w:rPr>
              <w:t>s :</w:t>
            </w:r>
          </w:p>
          <w:p w:rsidR="001C698E" w:rsidRPr="00642A3E" w:rsidRDefault="001C698E" w:rsidP="00642A3E">
            <w:pPr>
              <w:pStyle w:val="BodyText"/>
              <w:numPr>
                <w:ilvl w:val="0"/>
                <w:numId w:val="32"/>
              </w:numPr>
              <w:ind w:left="360"/>
              <w:jc w:val="both"/>
              <w:rPr>
                <w:lang w:val="fr-BE"/>
              </w:rPr>
            </w:pPr>
            <w:r w:rsidRPr="00642A3E">
              <w:rPr>
                <w:lang w:val="fr-BE"/>
              </w:rPr>
              <w:t xml:space="preserve">30 prestataires au niveau </w:t>
            </w:r>
            <w:r w:rsidR="00642A3E" w:rsidRPr="00642A3E">
              <w:rPr>
                <w:lang w:val="fr-BE"/>
              </w:rPr>
              <w:t>médical</w:t>
            </w:r>
          </w:p>
          <w:p w:rsidR="001C698E" w:rsidRPr="00642A3E" w:rsidRDefault="00642A3E" w:rsidP="00642A3E">
            <w:pPr>
              <w:pStyle w:val="BodyText"/>
              <w:numPr>
                <w:ilvl w:val="0"/>
                <w:numId w:val="32"/>
              </w:numPr>
              <w:ind w:left="360"/>
              <w:jc w:val="both"/>
              <w:rPr>
                <w:lang w:val="fr-BE"/>
              </w:rPr>
            </w:pPr>
            <w:r w:rsidRPr="00642A3E">
              <w:rPr>
                <w:lang w:val="fr-BE"/>
              </w:rPr>
              <w:t>12</w:t>
            </w:r>
            <w:r w:rsidR="001C698E" w:rsidRPr="00642A3E">
              <w:rPr>
                <w:lang w:val="fr-BE"/>
              </w:rPr>
              <w:t>9 prestataires au niveau psychosocial</w:t>
            </w:r>
          </w:p>
          <w:p w:rsidR="00903917" w:rsidRPr="00642A3E" w:rsidRDefault="00642A3E" w:rsidP="00642A3E">
            <w:pPr>
              <w:pStyle w:val="BodyText"/>
              <w:numPr>
                <w:ilvl w:val="0"/>
                <w:numId w:val="32"/>
              </w:numPr>
              <w:ind w:left="360"/>
              <w:jc w:val="both"/>
              <w:rPr>
                <w:lang w:val="fr-BE"/>
              </w:rPr>
            </w:pPr>
            <w:r>
              <w:rPr>
                <w:lang w:val="fr-BE"/>
              </w:rPr>
              <w:t>120 professionnels de la justice</w:t>
            </w:r>
          </w:p>
        </w:tc>
        <w:tc>
          <w:tcPr>
            <w:tcW w:w="3960" w:type="dxa"/>
            <w:shd w:val="clear" w:color="auto" w:fill="auto"/>
          </w:tcPr>
          <w:p w:rsidR="00903917" w:rsidRPr="001C698E" w:rsidRDefault="00903917" w:rsidP="00B66207">
            <w:pPr>
              <w:jc w:val="both"/>
              <w:rPr>
                <w:rFonts w:cs="Arial"/>
                <w:bCs/>
                <w:sz w:val="20"/>
                <w:szCs w:val="20"/>
              </w:rPr>
            </w:pPr>
          </w:p>
          <w:p w:rsidR="00642A3E" w:rsidRPr="001C698E" w:rsidRDefault="00642A3E" w:rsidP="00642A3E">
            <w:pPr>
              <w:jc w:val="both"/>
              <w:rPr>
                <w:rFonts w:cs="Arial"/>
                <w:bCs/>
                <w:sz w:val="20"/>
                <w:szCs w:val="20"/>
              </w:rPr>
            </w:pPr>
          </w:p>
          <w:p w:rsidR="00903917" w:rsidRPr="001C698E" w:rsidRDefault="00903917" w:rsidP="00B66207">
            <w:pPr>
              <w:jc w:val="both"/>
              <w:rPr>
                <w:rFonts w:cs="Arial"/>
                <w:bCs/>
                <w:sz w:val="20"/>
                <w:szCs w:val="20"/>
              </w:rPr>
            </w:pPr>
          </w:p>
        </w:tc>
        <w:tc>
          <w:tcPr>
            <w:tcW w:w="3150" w:type="dxa"/>
            <w:shd w:val="clear" w:color="auto" w:fill="auto"/>
          </w:tcPr>
          <w:p w:rsidR="00903917" w:rsidRPr="001C698E" w:rsidRDefault="00903917" w:rsidP="00B66207">
            <w:pPr>
              <w:jc w:val="both"/>
              <w:rPr>
                <w:rFonts w:cs="Arial"/>
                <w:bCs/>
                <w:sz w:val="20"/>
                <w:szCs w:val="20"/>
              </w:rPr>
            </w:pPr>
            <w:r w:rsidRPr="001C698E">
              <w:rPr>
                <w:rFonts w:ascii="Arial" w:hAnsi="Arial" w:cs="Arial"/>
                <w:bCs/>
                <w:sz w:val="20"/>
                <w:szCs w:val="20"/>
              </w:rPr>
              <w:t>Les rapports de formations et d’activités les rapports des différentes revues 2013 de l’Unicef</w:t>
            </w:r>
          </w:p>
        </w:tc>
      </w:tr>
      <w:tr w:rsidR="00903917" w:rsidRPr="003142EF" w:rsidTr="00B66207">
        <w:trPr>
          <w:trHeight w:val="1110"/>
        </w:trPr>
        <w:tc>
          <w:tcPr>
            <w:tcW w:w="4265" w:type="dxa"/>
            <w:shd w:val="clear" w:color="auto" w:fill="auto"/>
          </w:tcPr>
          <w:p w:rsidR="00903917" w:rsidRPr="00642A3E" w:rsidRDefault="00903917" w:rsidP="00B66207">
            <w:pPr>
              <w:rPr>
                <w:rFonts w:ascii="Arial" w:hAnsi="Arial" w:cs="Arial"/>
                <w:sz w:val="20"/>
                <w:szCs w:val="20"/>
              </w:rPr>
            </w:pPr>
            <w:r w:rsidRPr="00642A3E">
              <w:rPr>
                <w:rFonts w:ascii="Arial" w:hAnsi="Arial" w:cs="Arial"/>
                <w:b/>
                <w:sz w:val="20"/>
                <w:szCs w:val="20"/>
              </w:rPr>
              <w:lastRenderedPageBreak/>
              <w:t xml:space="preserve">Indicateur 2.2. </w:t>
            </w:r>
            <w:r w:rsidRPr="00642A3E">
              <w:rPr>
                <w:rFonts w:ascii="Arial" w:hAnsi="Arial" w:cs="Arial"/>
                <w:sz w:val="20"/>
                <w:szCs w:val="20"/>
              </w:rPr>
              <w:t xml:space="preserve"># de victimes ayant reçu un appui médical, psychosocial et judicaire  </w:t>
            </w:r>
          </w:p>
          <w:p w:rsidR="00903917" w:rsidRPr="00642A3E" w:rsidRDefault="00903917" w:rsidP="00B66207">
            <w:pPr>
              <w:rPr>
                <w:rFonts w:ascii="Arial" w:hAnsi="Arial" w:cs="Arial"/>
                <w:sz w:val="20"/>
                <w:szCs w:val="20"/>
              </w:rPr>
            </w:pPr>
          </w:p>
          <w:p w:rsidR="00903917" w:rsidRPr="00642A3E" w:rsidRDefault="00903917" w:rsidP="00B66207">
            <w:pPr>
              <w:rPr>
                <w:rFonts w:ascii="Arial" w:hAnsi="Arial" w:cs="Arial"/>
                <w:b/>
                <w:sz w:val="20"/>
                <w:szCs w:val="20"/>
              </w:rPr>
            </w:pPr>
            <w:r w:rsidRPr="00642A3E">
              <w:rPr>
                <w:rFonts w:ascii="Arial" w:hAnsi="Arial" w:cs="Arial"/>
                <w:b/>
                <w:sz w:val="20"/>
                <w:szCs w:val="20"/>
              </w:rPr>
              <w:t>Indicateur de référence: ND</w:t>
            </w:r>
          </w:p>
          <w:p w:rsidR="00903917" w:rsidRPr="00642A3E" w:rsidRDefault="00903917" w:rsidP="00B66207">
            <w:pPr>
              <w:rPr>
                <w:rFonts w:ascii="Arial" w:hAnsi="Arial" w:cs="Arial"/>
                <w:b/>
                <w:sz w:val="20"/>
                <w:szCs w:val="20"/>
              </w:rPr>
            </w:pPr>
            <w:r w:rsidRPr="00642A3E">
              <w:rPr>
                <w:rFonts w:ascii="Arial" w:hAnsi="Arial" w:cs="Arial"/>
                <w:b/>
                <w:sz w:val="20"/>
                <w:szCs w:val="20"/>
              </w:rPr>
              <w:t>Indicateur cible:</w:t>
            </w:r>
            <w:r w:rsidRPr="00642A3E">
              <w:rPr>
                <w:rFonts w:ascii="Arial" w:hAnsi="Arial" w:cs="Arial"/>
                <w:sz w:val="20"/>
                <w:szCs w:val="20"/>
              </w:rPr>
              <w:t xml:space="preserve"> 500</w:t>
            </w:r>
          </w:p>
          <w:p w:rsidR="00903917" w:rsidRPr="00642A3E" w:rsidRDefault="00903917" w:rsidP="00B66207">
            <w:pPr>
              <w:jc w:val="both"/>
              <w:rPr>
                <w:rFonts w:ascii="Arial" w:hAnsi="Arial" w:cs="Arial"/>
                <w:bCs/>
                <w:sz w:val="20"/>
                <w:szCs w:val="20"/>
              </w:rPr>
            </w:pPr>
          </w:p>
        </w:tc>
        <w:tc>
          <w:tcPr>
            <w:tcW w:w="3745" w:type="dxa"/>
            <w:shd w:val="clear" w:color="auto" w:fill="auto"/>
          </w:tcPr>
          <w:p w:rsidR="006F793C" w:rsidRDefault="006F793C" w:rsidP="006F793C">
            <w:pPr>
              <w:pStyle w:val="BodyText"/>
              <w:jc w:val="both"/>
              <w:rPr>
                <w:lang w:val="fr-BE"/>
              </w:rPr>
            </w:pPr>
            <w:r>
              <w:rPr>
                <w:lang w:val="fr-BE"/>
              </w:rPr>
              <w:t xml:space="preserve">602 victimes assistées </w:t>
            </w:r>
          </w:p>
          <w:p w:rsidR="00903917" w:rsidRPr="001C698E" w:rsidRDefault="00903917" w:rsidP="00903917">
            <w:pPr>
              <w:pStyle w:val="BodyText"/>
              <w:numPr>
                <w:ilvl w:val="0"/>
                <w:numId w:val="32"/>
              </w:numPr>
              <w:ind w:left="360"/>
              <w:jc w:val="both"/>
              <w:rPr>
                <w:lang w:val="fr-BE"/>
              </w:rPr>
            </w:pPr>
            <w:r w:rsidRPr="001C698E">
              <w:rPr>
                <w:lang w:val="fr-BE"/>
              </w:rPr>
              <w:t>514 victimes ont reçu un appui médical</w:t>
            </w:r>
          </w:p>
          <w:p w:rsidR="00903917" w:rsidRPr="001C698E" w:rsidRDefault="00903917" w:rsidP="00903917">
            <w:pPr>
              <w:pStyle w:val="ListParagraph"/>
              <w:numPr>
                <w:ilvl w:val="0"/>
                <w:numId w:val="32"/>
              </w:numPr>
              <w:ind w:left="360"/>
              <w:jc w:val="both"/>
              <w:rPr>
                <w:rFonts w:ascii="Arial" w:hAnsi="Arial" w:cs="Arial"/>
                <w:sz w:val="20"/>
                <w:szCs w:val="20"/>
                <w:lang w:val="fr-BE" w:eastAsia="en-US"/>
              </w:rPr>
            </w:pPr>
            <w:r w:rsidRPr="001C698E">
              <w:rPr>
                <w:rFonts w:ascii="Arial" w:hAnsi="Arial" w:cs="Arial"/>
                <w:sz w:val="20"/>
                <w:szCs w:val="20"/>
                <w:lang w:val="fr-BE" w:eastAsia="en-US"/>
              </w:rPr>
              <w:t>54 victimes ont reçu un appui psychosocial suite à leur identification</w:t>
            </w:r>
          </w:p>
          <w:p w:rsidR="00903917" w:rsidRPr="001C698E" w:rsidRDefault="00903917" w:rsidP="00B66207">
            <w:pPr>
              <w:pStyle w:val="ListParagraph"/>
              <w:numPr>
                <w:ilvl w:val="0"/>
                <w:numId w:val="32"/>
              </w:numPr>
              <w:ind w:left="360"/>
              <w:jc w:val="both"/>
              <w:rPr>
                <w:rFonts w:ascii="Arial" w:hAnsi="Arial" w:cs="Arial"/>
                <w:sz w:val="20"/>
                <w:szCs w:val="20"/>
                <w:lang w:val="fr-BE" w:eastAsia="en-US"/>
              </w:rPr>
            </w:pPr>
            <w:r w:rsidRPr="001C698E">
              <w:rPr>
                <w:rFonts w:ascii="Arial" w:hAnsi="Arial" w:cs="Arial"/>
                <w:sz w:val="20"/>
                <w:szCs w:val="20"/>
                <w:lang w:val="fr-BE" w:eastAsia="en-US"/>
              </w:rPr>
              <w:t xml:space="preserve">34 victimes ont reçu un appui judicaire </w:t>
            </w:r>
            <w:proofErr w:type="spellStart"/>
            <w:r w:rsidRPr="001C698E">
              <w:rPr>
                <w:rFonts w:ascii="Arial" w:hAnsi="Arial" w:cs="Arial"/>
                <w:sz w:val="20"/>
                <w:szCs w:val="20"/>
                <w:lang w:val="fr-BE" w:eastAsia="en-US"/>
              </w:rPr>
              <w:t>a</w:t>
            </w:r>
            <w:proofErr w:type="spellEnd"/>
            <w:r w:rsidRPr="001C698E">
              <w:rPr>
                <w:rFonts w:ascii="Arial" w:hAnsi="Arial" w:cs="Arial"/>
                <w:sz w:val="20"/>
                <w:szCs w:val="20"/>
                <w:lang w:val="fr-BE" w:eastAsia="en-US"/>
              </w:rPr>
              <w:t xml:space="preserve"> travers les Centre d’Information et de Proximité  </w:t>
            </w:r>
          </w:p>
        </w:tc>
        <w:tc>
          <w:tcPr>
            <w:tcW w:w="3960" w:type="dxa"/>
            <w:shd w:val="clear" w:color="auto" w:fill="auto"/>
          </w:tcPr>
          <w:p w:rsidR="00903917" w:rsidRPr="001C698E" w:rsidRDefault="00903917" w:rsidP="00B66207">
            <w:pPr>
              <w:jc w:val="both"/>
              <w:rPr>
                <w:rFonts w:cs="Arial"/>
                <w:bCs/>
                <w:sz w:val="20"/>
                <w:szCs w:val="20"/>
              </w:rPr>
            </w:pPr>
          </w:p>
        </w:tc>
        <w:tc>
          <w:tcPr>
            <w:tcW w:w="3150" w:type="dxa"/>
            <w:shd w:val="clear" w:color="auto" w:fill="auto"/>
          </w:tcPr>
          <w:p w:rsidR="00903917" w:rsidRPr="001C698E" w:rsidRDefault="00903917" w:rsidP="00B66207">
            <w:pPr>
              <w:jc w:val="both"/>
              <w:rPr>
                <w:rFonts w:cs="Arial"/>
                <w:bCs/>
                <w:sz w:val="20"/>
                <w:szCs w:val="20"/>
              </w:rPr>
            </w:pPr>
          </w:p>
        </w:tc>
      </w:tr>
      <w:tr w:rsidR="00903917" w:rsidRPr="003142EF" w:rsidTr="00B66207">
        <w:trPr>
          <w:trHeight w:val="1110"/>
        </w:trPr>
        <w:tc>
          <w:tcPr>
            <w:tcW w:w="4265" w:type="dxa"/>
            <w:shd w:val="clear" w:color="auto" w:fill="auto"/>
          </w:tcPr>
          <w:p w:rsidR="00903917" w:rsidRPr="00642A3E" w:rsidRDefault="00903917" w:rsidP="00B66207">
            <w:pPr>
              <w:rPr>
                <w:rFonts w:ascii="Arial" w:hAnsi="Arial" w:cs="Arial"/>
                <w:sz w:val="20"/>
                <w:szCs w:val="20"/>
                <w:lang w:val="fr-BE"/>
              </w:rPr>
            </w:pPr>
          </w:p>
          <w:p w:rsidR="00903917" w:rsidRPr="00642A3E" w:rsidRDefault="00903917" w:rsidP="000A6BB6">
            <w:pPr>
              <w:rPr>
                <w:rFonts w:ascii="Arial" w:hAnsi="Arial" w:cs="Arial"/>
                <w:b/>
                <w:sz w:val="20"/>
                <w:szCs w:val="20"/>
                <w:lang w:val="fr-BE"/>
              </w:rPr>
            </w:pPr>
            <w:r w:rsidRPr="00642A3E">
              <w:rPr>
                <w:rFonts w:ascii="Arial" w:hAnsi="Arial" w:cs="Arial"/>
                <w:b/>
                <w:sz w:val="20"/>
                <w:szCs w:val="20"/>
                <w:lang w:val="fr-BE"/>
              </w:rPr>
              <w:t xml:space="preserve">Indicateur 2.3 : </w:t>
            </w:r>
            <w:r w:rsidRPr="00642A3E">
              <w:rPr>
                <w:rFonts w:ascii="Arial" w:hAnsi="Arial" w:cs="Arial"/>
                <w:sz w:val="20"/>
                <w:szCs w:val="20"/>
              </w:rPr>
              <w:t xml:space="preserve"># et types </w:t>
            </w:r>
            <w:r w:rsidRPr="00642A3E">
              <w:rPr>
                <w:rFonts w:ascii="Arial" w:hAnsi="Arial" w:cs="Arial"/>
                <w:sz w:val="20"/>
                <w:szCs w:val="20"/>
                <w:lang w:val="fr-BE"/>
              </w:rPr>
              <w:t>d’appel traités (numéro vert) et transféré aux services de prise en charge</w:t>
            </w:r>
          </w:p>
          <w:p w:rsidR="00903917" w:rsidRPr="00642A3E" w:rsidRDefault="00903917" w:rsidP="000A6BB6">
            <w:pPr>
              <w:rPr>
                <w:rFonts w:ascii="Arial" w:hAnsi="Arial" w:cs="Arial"/>
                <w:b/>
                <w:sz w:val="20"/>
                <w:szCs w:val="20"/>
                <w:lang w:val="fr-BE"/>
              </w:rPr>
            </w:pPr>
          </w:p>
          <w:p w:rsidR="00903917" w:rsidRPr="00642A3E" w:rsidRDefault="00903917" w:rsidP="000A6BB6">
            <w:pPr>
              <w:rPr>
                <w:rFonts w:ascii="Arial" w:hAnsi="Arial" w:cs="Arial"/>
                <w:b/>
                <w:sz w:val="20"/>
                <w:szCs w:val="20"/>
              </w:rPr>
            </w:pPr>
            <w:r w:rsidRPr="00642A3E">
              <w:rPr>
                <w:rFonts w:ascii="Arial" w:hAnsi="Arial" w:cs="Arial"/>
                <w:b/>
                <w:sz w:val="20"/>
                <w:szCs w:val="20"/>
              </w:rPr>
              <w:t>Indicateur de référence: ND</w:t>
            </w:r>
          </w:p>
          <w:p w:rsidR="00903917" w:rsidRPr="00642A3E" w:rsidRDefault="00903917" w:rsidP="000A6BB6">
            <w:pPr>
              <w:rPr>
                <w:rFonts w:ascii="Arial" w:hAnsi="Arial" w:cs="Arial"/>
                <w:b/>
                <w:sz w:val="20"/>
                <w:szCs w:val="20"/>
              </w:rPr>
            </w:pPr>
            <w:r w:rsidRPr="00642A3E">
              <w:rPr>
                <w:rFonts w:ascii="Arial" w:hAnsi="Arial" w:cs="Arial"/>
                <w:b/>
                <w:sz w:val="20"/>
                <w:szCs w:val="20"/>
              </w:rPr>
              <w:t>Indicateur cible:</w:t>
            </w:r>
            <w:r w:rsidRPr="00642A3E">
              <w:rPr>
                <w:rFonts w:ascii="Arial" w:hAnsi="Arial" w:cs="Arial"/>
                <w:sz w:val="20"/>
                <w:szCs w:val="20"/>
              </w:rPr>
              <w:t xml:space="preserve"> 300</w:t>
            </w:r>
          </w:p>
          <w:p w:rsidR="00903917" w:rsidRPr="00642A3E" w:rsidRDefault="00903917" w:rsidP="000A6BB6">
            <w:pPr>
              <w:rPr>
                <w:rFonts w:ascii="Arial" w:hAnsi="Arial" w:cs="Arial"/>
                <w:b/>
                <w:sz w:val="20"/>
                <w:szCs w:val="20"/>
              </w:rPr>
            </w:pPr>
          </w:p>
          <w:p w:rsidR="00903917" w:rsidRPr="00642A3E" w:rsidRDefault="00903917" w:rsidP="000A6BB6">
            <w:pPr>
              <w:rPr>
                <w:rFonts w:ascii="Arial" w:hAnsi="Arial" w:cs="Arial"/>
                <w:b/>
                <w:sz w:val="20"/>
                <w:szCs w:val="20"/>
              </w:rPr>
            </w:pPr>
          </w:p>
        </w:tc>
        <w:tc>
          <w:tcPr>
            <w:tcW w:w="3745" w:type="dxa"/>
            <w:shd w:val="clear" w:color="auto" w:fill="auto"/>
          </w:tcPr>
          <w:p w:rsidR="00903917" w:rsidRPr="001C698E" w:rsidRDefault="00903917" w:rsidP="000A6BB6">
            <w:pPr>
              <w:pStyle w:val="BodyText"/>
              <w:jc w:val="both"/>
              <w:rPr>
                <w:highlight w:val="green"/>
                <w:lang w:val="fr-BE"/>
              </w:rPr>
            </w:pPr>
          </w:p>
          <w:p w:rsidR="00903917" w:rsidRPr="001C698E" w:rsidRDefault="00903917" w:rsidP="000A6BB6">
            <w:pPr>
              <w:pStyle w:val="BodyText"/>
              <w:jc w:val="both"/>
              <w:rPr>
                <w:highlight w:val="green"/>
                <w:lang w:val="fr-BE"/>
              </w:rPr>
            </w:pPr>
          </w:p>
        </w:tc>
        <w:tc>
          <w:tcPr>
            <w:tcW w:w="3960" w:type="dxa"/>
            <w:shd w:val="clear" w:color="auto" w:fill="auto"/>
          </w:tcPr>
          <w:p w:rsidR="00903917" w:rsidRPr="001C698E" w:rsidRDefault="00903917" w:rsidP="00B66207">
            <w:pPr>
              <w:jc w:val="both"/>
              <w:rPr>
                <w:rFonts w:cs="Arial"/>
                <w:bCs/>
                <w:sz w:val="20"/>
                <w:szCs w:val="20"/>
              </w:rPr>
            </w:pPr>
            <w:r w:rsidRPr="001C698E">
              <w:rPr>
                <w:rFonts w:ascii="Arial" w:hAnsi="Arial" w:cs="Arial"/>
                <w:bCs/>
                <w:sz w:val="20"/>
                <w:szCs w:val="20"/>
              </w:rPr>
              <w:t>Les données ne sont pas encore disponibles concernant le numéro vert</w:t>
            </w:r>
          </w:p>
        </w:tc>
        <w:tc>
          <w:tcPr>
            <w:tcW w:w="3150" w:type="dxa"/>
            <w:shd w:val="clear" w:color="auto" w:fill="auto"/>
          </w:tcPr>
          <w:p w:rsidR="00903917" w:rsidRPr="001C698E" w:rsidRDefault="00903917" w:rsidP="00B66207">
            <w:pPr>
              <w:jc w:val="both"/>
              <w:rPr>
                <w:rFonts w:cs="Arial"/>
                <w:bCs/>
                <w:sz w:val="20"/>
                <w:szCs w:val="20"/>
              </w:rPr>
            </w:pPr>
          </w:p>
        </w:tc>
      </w:tr>
      <w:tr w:rsidR="00903917" w:rsidRPr="003142EF" w:rsidTr="00B66207">
        <w:trPr>
          <w:trHeight w:val="1110"/>
        </w:trPr>
        <w:tc>
          <w:tcPr>
            <w:tcW w:w="4265" w:type="dxa"/>
            <w:shd w:val="clear" w:color="auto" w:fill="auto"/>
          </w:tcPr>
          <w:p w:rsidR="00903917" w:rsidRPr="00642A3E" w:rsidRDefault="00903917" w:rsidP="00B66207">
            <w:pPr>
              <w:rPr>
                <w:rFonts w:ascii="Arial" w:hAnsi="Arial" w:cs="Arial"/>
                <w:sz w:val="20"/>
                <w:szCs w:val="20"/>
                <w:lang w:val="fr-BE"/>
              </w:rPr>
            </w:pPr>
          </w:p>
          <w:p w:rsidR="00903917" w:rsidRPr="00642A3E" w:rsidRDefault="00903917" w:rsidP="00B66207">
            <w:pPr>
              <w:rPr>
                <w:rFonts w:ascii="Arial" w:hAnsi="Arial" w:cs="Arial"/>
                <w:sz w:val="20"/>
                <w:szCs w:val="20"/>
                <w:lang w:val="fr-BE"/>
              </w:rPr>
            </w:pPr>
            <w:r w:rsidRPr="00642A3E">
              <w:rPr>
                <w:rFonts w:ascii="Arial" w:hAnsi="Arial" w:cs="Arial"/>
                <w:b/>
                <w:sz w:val="20"/>
                <w:szCs w:val="20"/>
                <w:lang w:val="fr-BE"/>
              </w:rPr>
              <w:t>Indicateur 2.</w:t>
            </w:r>
            <w:r w:rsidRPr="00642A3E">
              <w:rPr>
                <w:rFonts w:ascii="Arial" w:hAnsi="Arial" w:cs="Arial"/>
                <w:sz w:val="20"/>
                <w:szCs w:val="20"/>
                <w:lang w:val="fr-BE"/>
              </w:rPr>
              <w:t xml:space="preserve">4 : Nombre et types de prestataires formés dans l’utilisation de la base de données VBG </w:t>
            </w:r>
          </w:p>
          <w:p w:rsidR="00903917" w:rsidRPr="00642A3E" w:rsidRDefault="00903917" w:rsidP="00B66207">
            <w:pPr>
              <w:rPr>
                <w:rFonts w:ascii="Arial" w:hAnsi="Arial" w:cs="Arial"/>
                <w:sz w:val="20"/>
                <w:szCs w:val="20"/>
                <w:lang w:val="fr-BE"/>
              </w:rPr>
            </w:pPr>
          </w:p>
          <w:p w:rsidR="00903917" w:rsidRPr="00642A3E" w:rsidRDefault="00903917" w:rsidP="000A6BB6">
            <w:pPr>
              <w:rPr>
                <w:rFonts w:ascii="Arial" w:hAnsi="Arial" w:cs="Arial"/>
                <w:b/>
                <w:sz w:val="20"/>
                <w:szCs w:val="20"/>
                <w:lang w:val="fr-BE"/>
              </w:rPr>
            </w:pPr>
          </w:p>
          <w:p w:rsidR="00903917" w:rsidRPr="00642A3E" w:rsidRDefault="00903917" w:rsidP="000A6BB6">
            <w:pPr>
              <w:rPr>
                <w:rFonts w:ascii="Arial" w:hAnsi="Arial" w:cs="Arial"/>
                <w:b/>
                <w:sz w:val="20"/>
                <w:szCs w:val="20"/>
              </w:rPr>
            </w:pPr>
            <w:r w:rsidRPr="00642A3E">
              <w:rPr>
                <w:rFonts w:ascii="Arial" w:hAnsi="Arial" w:cs="Arial"/>
                <w:b/>
                <w:sz w:val="20"/>
                <w:szCs w:val="20"/>
              </w:rPr>
              <w:t>Indicateur de référence: ND</w:t>
            </w:r>
          </w:p>
          <w:p w:rsidR="00903917" w:rsidRPr="00642A3E" w:rsidRDefault="00903917" w:rsidP="000A6BB6">
            <w:pPr>
              <w:rPr>
                <w:rFonts w:ascii="Arial" w:hAnsi="Arial" w:cs="Arial"/>
                <w:b/>
                <w:sz w:val="20"/>
                <w:szCs w:val="20"/>
              </w:rPr>
            </w:pPr>
            <w:r w:rsidRPr="00642A3E">
              <w:rPr>
                <w:rFonts w:ascii="Arial" w:hAnsi="Arial" w:cs="Arial"/>
                <w:b/>
                <w:sz w:val="20"/>
                <w:szCs w:val="20"/>
              </w:rPr>
              <w:t>Indicateur cible:</w:t>
            </w:r>
            <w:r w:rsidRPr="00642A3E">
              <w:rPr>
                <w:rFonts w:ascii="Arial" w:hAnsi="Arial" w:cs="Arial"/>
                <w:sz w:val="20"/>
                <w:szCs w:val="20"/>
              </w:rPr>
              <w:t xml:space="preserve"> </w:t>
            </w:r>
            <w:r w:rsidRPr="00642A3E">
              <w:rPr>
                <w:rFonts w:ascii="Arial" w:hAnsi="Arial" w:cs="Arial"/>
                <w:b/>
                <w:sz w:val="20"/>
                <w:szCs w:val="20"/>
              </w:rPr>
              <w:t>AD</w:t>
            </w:r>
          </w:p>
          <w:p w:rsidR="00903917" w:rsidRPr="00642A3E" w:rsidRDefault="00903917" w:rsidP="00B66207">
            <w:pPr>
              <w:rPr>
                <w:rFonts w:ascii="Arial" w:hAnsi="Arial" w:cs="Arial"/>
                <w:sz w:val="20"/>
                <w:szCs w:val="20"/>
              </w:rPr>
            </w:pPr>
          </w:p>
        </w:tc>
        <w:tc>
          <w:tcPr>
            <w:tcW w:w="3745" w:type="dxa"/>
            <w:shd w:val="clear" w:color="auto" w:fill="auto"/>
          </w:tcPr>
          <w:p w:rsidR="00903917" w:rsidRPr="001C698E" w:rsidRDefault="00903917" w:rsidP="00244654">
            <w:pPr>
              <w:pStyle w:val="BodyText"/>
              <w:jc w:val="both"/>
              <w:rPr>
                <w:bCs/>
                <w:lang w:val="fr-FR" w:eastAsia="fr-FR"/>
              </w:rPr>
            </w:pPr>
          </w:p>
          <w:p w:rsidR="00903917" w:rsidRPr="001C698E" w:rsidRDefault="00903917" w:rsidP="00244654">
            <w:pPr>
              <w:pStyle w:val="BodyText"/>
              <w:jc w:val="both"/>
              <w:rPr>
                <w:bCs/>
                <w:lang w:val="fr-FR" w:eastAsia="fr-FR"/>
              </w:rPr>
            </w:pPr>
            <w:r w:rsidRPr="001C698E">
              <w:rPr>
                <w:bCs/>
                <w:lang w:val="fr-FR" w:eastAsia="fr-FR"/>
              </w:rPr>
              <w:t xml:space="preserve">15 personnes </w:t>
            </w:r>
            <w:r w:rsidR="001C698E" w:rsidRPr="001C698E">
              <w:rPr>
                <w:bCs/>
                <w:lang w:val="fr-FR" w:eastAsia="fr-FR"/>
              </w:rPr>
              <w:t>formées</w:t>
            </w:r>
            <w:r w:rsidRPr="001C698E">
              <w:rPr>
                <w:bCs/>
                <w:lang w:val="fr-FR" w:eastAsia="fr-FR"/>
              </w:rPr>
              <w:t xml:space="preserve">  </w:t>
            </w:r>
          </w:p>
        </w:tc>
        <w:tc>
          <w:tcPr>
            <w:tcW w:w="3960" w:type="dxa"/>
            <w:shd w:val="clear" w:color="auto" w:fill="auto"/>
          </w:tcPr>
          <w:p w:rsidR="00903917" w:rsidRPr="001C698E" w:rsidRDefault="00903917" w:rsidP="00B66207">
            <w:pPr>
              <w:jc w:val="both"/>
              <w:rPr>
                <w:rFonts w:ascii="Arial" w:hAnsi="Arial" w:cs="Arial"/>
                <w:bCs/>
                <w:sz w:val="20"/>
                <w:szCs w:val="20"/>
              </w:rPr>
            </w:pPr>
          </w:p>
        </w:tc>
        <w:tc>
          <w:tcPr>
            <w:tcW w:w="3150" w:type="dxa"/>
            <w:shd w:val="clear" w:color="auto" w:fill="auto"/>
          </w:tcPr>
          <w:p w:rsidR="00903917" w:rsidRPr="001C698E" w:rsidRDefault="00903917" w:rsidP="00B66207">
            <w:pPr>
              <w:jc w:val="both"/>
              <w:rPr>
                <w:rFonts w:ascii="Arial" w:hAnsi="Arial" w:cs="Arial"/>
                <w:bCs/>
                <w:sz w:val="20"/>
                <w:szCs w:val="20"/>
              </w:rPr>
            </w:pPr>
          </w:p>
          <w:p w:rsidR="00903917" w:rsidRPr="001C698E" w:rsidRDefault="00903917" w:rsidP="00B66207">
            <w:pPr>
              <w:jc w:val="both"/>
              <w:rPr>
                <w:rFonts w:ascii="Arial" w:hAnsi="Arial" w:cs="Arial"/>
                <w:bCs/>
                <w:sz w:val="20"/>
                <w:szCs w:val="20"/>
              </w:rPr>
            </w:pPr>
            <w:r w:rsidRPr="001C698E">
              <w:rPr>
                <w:rFonts w:ascii="Arial" w:hAnsi="Arial" w:cs="Arial"/>
                <w:bCs/>
                <w:sz w:val="20"/>
                <w:szCs w:val="20"/>
              </w:rPr>
              <w:t xml:space="preserve">Rapports d’activités </w:t>
            </w:r>
            <w:r w:rsidR="001C698E" w:rsidRPr="001C698E">
              <w:rPr>
                <w:rFonts w:ascii="Arial" w:hAnsi="Arial" w:cs="Arial"/>
                <w:bCs/>
                <w:sz w:val="20"/>
                <w:szCs w:val="20"/>
              </w:rPr>
              <w:t>UNFPA</w:t>
            </w:r>
          </w:p>
        </w:tc>
      </w:tr>
    </w:tbl>
    <w:p w:rsidR="00B41DFE" w:rsidRPr="00334073" w:rsidRDefault="00B41DFE" w:rsidP="004D18B1">
      <w:pPr>
        <w:pStyle w:val="BodyText"/>
        <w:jc w:val="both"/>
        <w:rPr>
          <w:rFonts w:ascii="Times New Roman" w:hAnsi="Times New Roman"/>
          <w:bCs/>
          <w:sz w:val="24"/>
          <w:lang w:val="fr-FR"/>
        </w:rPr>
      </w:pPr>
    </w:p>
    <w:p w:rsidR="00264361" w:rsidRPr="00334073" w:rsidRDefault="00264361" w:rsidP="004D18B1">
      <w:pPr>
        <w:pStyle w:val="BodyText"/>
        <w:tabs>
          <w:tab w:val="left" w:pos="360"/>
        </w:tabs>
        <w:ind w:left="720"/>
        <w:jc w:val="both"/>
        <w:rPr>
          <w:rFonts w:ascii="Times New Roman" w:hAnsi="Times New Roman"/>
          <w:sz w:val="24"/>
          <w:lang w:val="fr-FR"/>
        </w:rPr>
      </w:pPr>
    </w:p>
    <w:p w:rsidR="00264361" w:rsidRPr="00334073" w:rsidRDefault="00264361" w:rsidP="004D18B1">
      <w:pPr>
        <w:pStyle w:val="BodyText"/>
        <w:jc w:val="both"/>
        <w:rPr>
          <w:rFonts w:ascii="Times New Roman" w:hAnsi="Times New Roman"/>
          <w:sz w:val="24"/>
          <w:lang w:val="fr-FR"/>
        </w:rPr>
      </w:pPr>
    </w:p>
    <w:p w:rsidR="00264361" w:rsidRPr="00334073" w:rsidRDefault="00264361" w:rsidP="004D18B1">
      <w:pPr>
        <w:pStyle w:val="BodyText"/>
        <w:jc w:val="both"/>
        <w:rPr>
          <w:rFonts w:ascii="Times New Roman" w:hAnsi="Times New Roman"/>
          <w:sz w:val="24"/>
          <w:lang w:val="fr-FR"/>
        </w:rPr>
        <w:sectPr w:rsidR="00264361" w:rsidRPr="00334073" w:rsidSect="00595EB4">
          <w:pgSz w:w="15840" w:h="12240" w:orient="landscape" w:code="1"/>
          <w:pgMar w:top="806" w:right="810" w:bottom="810" w:left="1354" w:header="720" w:footer="418" w:gutter="0"/>
          <w:cols w:space="720"/>
          <w:docGrid w:linePitch="360"/>
        </w:sectPr>
      </w:pPr>
    </w:p>
    <w:p w:rsidR="00264361" w:rsidRDefault="00264361" w:rsidP="004D18B1">
      <w:pPr>
        <w:pStyle w:val="BodyText"/>
        <w:jc w:val="both"/>
        <w:rPr>
          <w:rFonts w:ascii="Times New Roman" w:hAnsi="Times New Roman"/>
          <w:b/>
          <w:sz w:val="24"/>
          <w:lang w:val="fr-FR"/>
        </w:rPr>
      </w:pPr>
      <w:r w:rsidRPr="00334073">
        <w:rPr>
          <w:rFonts w:ascii="Times New Roman" w:hAnsi="Times New Roman"/>
          <w:b/>
          <w:sz w:val="24"/>
          <w:lang w:val="fr-FR"/>
        </w:rPr>
        <w:lastRenderedPageBreak/>
        <w:t>iii) Histoire d’une réussite précise</w:t>
      </w:r>
      <w:r w:rsidR="00B66207">
        <w:rPr>
          <w:rFonts w:ascii="Times New Roman" w:hAnsi="Times New Roman"/>
          <w:b/>
          <w:sz w:val="24"/>
          <w:lang w:val="fr-FR"/>
        </w:rPr>
        <w:t xml:space="preserve"> </w:t>
      </w:r>
    </w:p>
    <w:p w:rsidR="008B3F01" w:rsidRDefault="008B3F01" w:rsidP="004D18B1">
      <w:pPr>
        <w:pStyle w:val="BodyText"/>
        <w:jc w:val="both"/>
        <w:rPr>
          <w:rFonts w:ascii="Times New Roman" w:hAnsi="Times New Roman"/>
          <w:b/>
          <w:sz w:val="24"/>
          <w:lang w:val="fr-FR"/>
        </w:rPr>
      </w:pPr>
    </w:p>
    <w:p w:rsidR="0099240B" w:rsidRPr="008B3F01" w:rsidRDefault="0099240B" w:rsidP="0099240B">
      <w:pPr>
        <w:pStyle w:val="BodyText"/>
        <w:jc w:val="both"/>
        <w:rPr>
          <w:rFonts w:ascii="Times New Roman" w:hAnsi="Times New Roman"/>
          <w:sz w:val="22"/>
          <w:szCs w:val="22"/>
          <w:lang w:val="fr-FR"/>
        </w:rPr>
      </w:pPr>
      <w:r w:rsidRPr="008B3F01">
        <w:rPr>
          <w:rFonts w:ascii="Times New Roman" w:hAnsi="Times New Roman"/>
          <w:sz w:val="22"/>
          <w:szCs w:val="22"/>
          <w:lang w:val="fr-FR"/>
        </w:rPr>
        <w:t xml:space="preserve">En termes de résultat direct sur le processus de consolidation de la Paix en Guinée au cours de l’année 2013, il convient de souligner, qu’aucun des 19 villages de Nzérékoré accompagnés par </w:t>
      </w:r>
      <w:proofErr w:type="spellStart"/>
      <w:r w:rsidRPr="008B3F01">
        <w:rPr>
          <w:rFonts w:ascii="Times New Roman" w:hAnsi="Times New Roman"/>
          <w:sz w:val="22"/>
          <w:szCs w:val="22"/>
          <w:lang w:val="fr-FR"/>
        </w:rPr>
        <w:t>Tostan</w:t>
      </w:r>
      <w:proofErr w:type="spellEnd"/>
      <w:r w:rsidRPr="008B3F01">
        <w:rPr>
          <w:rFonts w:ascii="Times New Roman" w:hAnsi="Times New Roman"/>
          <w:sz w:val="22"/>
          <w:szCs w:val="22"/>
          <w:lang w:val="fr-FR"/>
        </w:rPr>
        <w:t xml:space="preserve"> n’a pris part au conflit inter-ethnique qui a survenu en juillet 2013, dans cette région. Cette considération concerne en particulier quatre (4) des villages accompagnés par </w:t>
      </w:r>
      <w:proofErr w:type="spellStart"/>
      <w:r w:rsidRPr="008B3F01">
        <w:rPr>
          <w:rFonts w:ascii="Times New Roman" w:hAnsi="Times New Roman"/>
          <w:sz w:val="22"/>
          <w:szCs w:val="22"/>
          <w:lang w:val="fr-FR"/>
        </w:rPr>
        <w:t>Tostan</w:t>
      </w:r>
      <w:proofErr w:type="spellEnd"/>
      <w:r w:rsidRPr="008B3F01">
        <w:rPr>
          <w:rFonts w:ascii="Times New Roman" w:hAnsi="Times New Roman"/>
          <w:sz w:val="22"/>
          <w:szCs w:val="22"/>
          <w:lang w:val="fr-FR"/>
        </w:rPr>
        <w:t xml:space="preserve"> qui auraient dû être été directement impliqués par le conflit, soit deux villages (</w:t>
      </w:r>
      <w:proofErr w:type="spellStart"/>
      <w:r w:rsidRPr="008B3F01">
        <w:rPr>
          <w:rFonts w:ascii="Times New Roman" w:hAnsi="Times New Roman"/>
          <w:sz w:val="22"/>
          <w:szCs w:val="22"/>
          <w:lang w:val="fr-FR"/>
        </w:rPr>
        <w:t>Tamoé</w:t>
      </w:r>
      <w:proofErr w:type="spellEnd"/>
      <w:r w:rsidRPr="008B3F01">
        <w:rPr>
          <w:rFonts w:ascii="Times New Roman" w:hAnsi="Times New Roman"/>
          <w:sz w:val="22"/>
          <w:szCs w:val="22"/>
          <w:lang w:val="fr-FR"/>
        </w:rPr>
        <w:t xml:space="preserve"> et </w:t>
      </w:r>
      <w:proofErr w:type="spellStart"/>
      <w:r w:rsidRPr="008B3F01">
        <w:rPr>
          <w:rFonts w:ascii="Times New Roman" w:hAnsi="Times New Roman"/>
          <w:sz w:val="22"/>
          <w:szCs w:val="22"/>
          <w:lang w:val="fr-FR"/>
        </w:rPr>
        <w:t>Godoyé</w:t>
      </w:r>
      <w:proofErr w:type="spellEnd"/>
      <w:r w:rsidRPr="008B3F01">
        <w:rPr>
          <w:rFonts w:ascii="Times New Roman" w:hAnsi="Times New Roman"/>
          <w:sz w:val="22"/>
          <w:szCs w:val="22"/>
          <w:lang w:val="fr-FR"/>
        </w:rPr>
        <w:t xml:space="preserve">) où cohabitent les deux groupes ethniques qui étaient en conflit (Malinké et </w:t>
      </w:r>
      <w:proofErr w:type="spellStart"/>
      <w:r w:rsidRPr="008B3F01">
        <w:rPr>
          <w:rFonts w:ascii="Times New Roman" w:hAnsi="Times New Roman"/>
          <w:sz w:val="22"/>
          <w:szCs w:val="22"/>
          <w:lang w:val="fr-FR"/>
        </w:rPr>
        <w:t>Guerzé</w:t>
      </w:r>
      <w:proofErr w:type="spellEnd"/>
      <w:r w:rsidRPr="008B3F01">
        <w:rPr>
          <w:rFonts w:ascii="Times New Roman" w:hAnsi="Times New Roman"/>
          <w:sz w:val="22"/>
          <w:szCs w:val="22"/>
          <w:lang w:val="fr-FR"/>
        </w:rPr>
        <w:t xml:space="preserve">) et deux exclusivement habités par l'ethnie </w:t>
      </w:r>
      <w:proofErr w:type="spellStart"/>
      <w:r w:rsidRPr="008B3F01">
        <w:rPr>
          <w:rFonts w:ascii="Times New Roman" w:hAnsi="Times New Roman"/>
          <w:sz w:val="22"/>
          <w:szCs w:val="22"/>
          <w:lang w:val="fr-FR"/>
        </w:rPr>
        <w:t>Guerze</w:t>
      </w:r>
      <w:proofErr w:type="spellEnd"/>
      <w:r w:rsidRPr="008B3F01">
        <w:rPr>
          <w:rFonts w:ascii="Times New Roman" w:hAnsi="Times New Roman"/>
          <w:sz w:val="22"/>
          <w:szCs w:val="22"/>
          <w:lang w:val="fr-FR"/>
        </w:rPr>
        <w:t xml:space="preserve"> (</w:t>
      </w:r>
      <w:proofErr w:type="spellStart"/>
      <w:r w:rsidRPr="008B3F01">
        <w:rPr>
          <w:rFonts w:ascii="Times New Roman" w:hAnsi="Times New Roman"/>
          <w:sz w:val="22"/>
          <w:szCs w:val="22"/>
          <w:lang w:val="fr-FR"/>
        </w:rPr>
        <w:t>Konia</w:t>
      </w:r>
      <w:proofErr w:type="spellEnd"/>
      <w:r w:rsidRPr="008B3F01">
        <w:rPr>
          <w:rFonts w:ascii="Times New Roman" w:hAnsi="Times New Roman"/>
          <w:sz w:val="22"/>
          <w:szCs w:val="22"/>
          <w:lang w:val="fr-FR"/>
        </w:rPr>
        <w:t>, Aviation). Ces deux derniers villages n’ont pas subi de menaces pendant cette période difficile.</w:t>
      </w:r>
    </w:p>
    <w:p w:rsidR="0099240B" w:rsidRPr="00334073" w:rsidRDefault="0099240B" w:rsidP="004D18B1">
      <w:pPr>
        <w:pStyle w:val="BodyText"/>
        <w:jc w:val="both"/>
        <w:rPr>
          <w:rFonts w:ascii="Times New Roman" w:hAnsi="Times New Roman"/>
          <w:b/>
          <w:sz w:val="24"/>
          <w:lang w:val="fr-FR"/>
        </w:rPr>
      </w:pPr>
    </w:p>
    <w:p w:rsidR="00007365" w:rsidRDefault="00007365">
      <w:pPr>
        <w:rPr>
          <w:b/>
        </w:rPr>
      </w:pPr>
    </w:p>
    <w:p w:rsidR="00007365" w:rsidRDefault="00B62EB9">
      <w:pPr>
        <w:rPr>
          <w:b/>
        </w:rPr>
      </w:pPr>
      <w:r>
        <w:rPr>
          <w:b/>
        </w:rPr>
        <w:t>Appréciation</w:t>
      </w:r>
      <w:r w:rsidR="00007365">
        <w:rPr>
          <w:b/>
        </w:rPr>
        <w:t xml:space="preserve"> des femmes FDS de l’atelier en leadership :</w:t>
      </w:r>
    </w:p>
    <w:p w:rsidR="00007365" w:rsidRDefault="00007365">
      <w:pPr>
        <w:rPr>
          <w:b/>
        </w:rPr>
      </w:pPr>
    </w:p>
    <w:p w:rsidR="00007365" w:rsidRDefault="00007365" w:rsidP="00007365">
      <w:pPr>
        <w:tabs>
          <w:tab w:val="left" w:pos="2023"/>
        </w:tabs>
        <w:jc w:val="both"/>
        <w:rPr>
          <w:lang w:val="fr-BE"/>
        </w:rPr>
      </w:pPr>
      <w:r>
        <w:rPr>
          <w:i/>
          <w:lang w:val="fr-BE"/>
        </w:rPr>
        <w:t>« </w:t>
      </w:r>
      <w:r w:rsidRPr="00797209">
        <w:rPr>
          <w:i/>
          <w:lang w:val="fr-BE"/>
        </w:rPr>
        <w:t>Je suis très satisfaite et je suis heureuse d’avoir participé à cet atelier. Cet atelier m’a fait savoir ce que je ne connaissais pas. A l’issu de cet atelier j’ai pu comprendre, nous les femmes en général nos défauts nos faiblesses et quels défis il faut relever au sein des F</w:t>
      </w:r>
      <w:r>
        <w:rPr>
          <w:i/>
          <w:lang w:val="fr-BE"/>
        </w:rPr>
        <w:t xml:space="preserve">orces </w:t>
      </w:r>
      <w:r w:rsidRPr="00797209">
        <w:rPr>
          <w:i/>
          <w:lang w:val="fr-BE"/>
        </w:rPr>
        <w:t>D</w:t>
      </w:r>
      <w:r>
        <w:rPr>
          <w:i/>
          <w:lang w:val="fr-BE"/>
        </w:rPr>
        <w:t xml:space="preserve">éfense </w:t>
      </w:r>
      <w:r w:rsidRPr="00797209">
        <w:rPr>
          <w:i/>
          <w:lang w:val="fr-BE"/>
        </w:rPr>
        <w:t>S</w:t>
      </w:r>
      <w:r>
        <w:rPr>
          <w:i/>
          <w:lang w:val="fr-BE"/>
        </w:rPr>
        <w:t>écurité (FDS)</w:t>
      </w:r>
      <w:r w:rsidRPr="00797209">
        <w:rPr>
          <w:i/>
          <w:lang w:val="fr-BE"/>
        </w:rPr>
        <w:t xml:space="preserve"> de ce pays. A l’issu de cet atelier nous les femmes on saura désormais que ce qu’il</w:t>
      </w:r>
      <w:r>
        <w:rPr>
          <w:i/>
          <w:lang w:val="fr-BE"/>
        </w:rPr>
        <w:t xml:space="preserve"> faut</w:t>
      </w:r>
      <w:r w:rsidRPr="00797209">
        <w:rPr>
          <w:i/>
          <w:lang w:val="fr-BE"/>
        </w:rPr>
        <w:t xml:space="preserve"> faire, comment on doit se lever</w:t>
      </w:r>
      <w:r>
        <w:rPr>
          <w:i/>
          <w:lang w:val="fr-BE"/>
        </w:rPr>
        <w:t xml:space="preserve">, </w:t>
      </w:r>
      <w:r w:rsidRPr="00797209">
        <w:rPr>
          <w:i/>
          <w:lang w:val="fr-BE"/>
        </w:rPr>
        <w:t>qu’on doit être vraiment combattante</w:t>
      </w:r>
      <w:r>
        <w:rPr>
          <w:i/>
          <w:lang w:val="fr-BE"/>
        </w:rPr>
        <w:t>,</w:t>
      </w:r>
      <w:r w:rsidRPr="00797209">
        <w:rPr>
          <w:i/>
          <w:lang w:val="fr-BE"/>
        </w:rPr>
        <w:t xml:space="preserve"> dynamique</w:t>
      </w:r>
      <w:r>
        <w:rPr>
          <w:i/>
          <w:lang w:val="fr-BE"/>
        </w:rPr>
        <w:t>,</w:t>
      </w:r>
      <w:r w:rsidRPr="00797209">
        <w:rPr>
          <w:i/>
          <w:lang w:val="fr-BE"/>
        </w:rPr>
        <w:t xml:space="preserve"> respectueuse, vraiment des femmes de caractère. On doit prouver aux hommes que désormais nous ne sommes pas femmes par appellation seulement. Il faut prouver aux hommes tout ce qu’ils peuvent faire</w:t>
      </w:r>
      <w:r>
        <w:rPr>
          <w:i/>
          <w:lang w:val="fr-BE"/>
        </w:rPr>
        <w:t>,</w:t>
      </w:r>
      <w:r w:rsidRPr="00797209">
        <w:rPr>
          <w:i/>
          <w:lang w:val="fr-BE"/>
        </w:rPr>
        <w:t xml:space="preserve"> que nous aussi nous sommes en mesure de le faire. On va prouver aux hommes que nous ne sommes pas militaire</w:t>
      </w:r>
      <w:r>
        <w:rPr>
          <w:i/>
          <w:lang w:val="fr-BE"/>
        </w:rPr>
        <w:t>s</w:t>
      </w:r>
      <w:r w:rsidRPr="00797209">
        <w:rPr>
          <w:i/>
          <w:lang w:val="fr-BE"/>
        </w:rPr>
        <w:t xml:space="preserve"> par le nom seulement mais nous sommes militaire par l’acte, par la preuve, et nos façons d’agir</w:t>
      </w:r>
      <w:r>
        <w:rPr>
          <w:i/>
          <w:lang w:val="fr-BE"/>
        </w:rPr>
        <w:t xml:space="preserve"> »  </w:t>
      </w:r>
      <w:r w:rsidRPr="000F43BB">
        <w:rPr>
          <w:lang w:val="fr-BE"/>
        </w:rPr>
        <w:t xml:space="preserve">Adjudant Camara </w:t>
      </w:r>
      <w:proofErr w:type="spellStart"/>
      <w:r w:rsidRPr="000F43BB">
        <w:rPr>
          <w:lang w:val="fr-BE"/>
        </w:rPr>
        <w:t>Kadiatou</w:t>
      </w:r>
      <w:proofErr w:type="spellEnd"/>
      <w:r w:rsidRPr="000F43BB">
        <w:rPr>
          <w:lang w:val="fr-BE"/>
        </w:rPr>
        <w:t xml:space="preserve"> de la Gendarmerie Nationale</w:t>
      </w:r>
    </w:p>
    <w:p w:rsidR="00007365" w:rsidRDefault="00007365" w:rsidP="00007365">
      <w:pPr>
        <w:tabs>
          <w:tab w:val="left" w:pos="2023"/>
        </w:tabs>
        <w:jc w:val="both"/>
        <w:rPr>
          <w:lang w:val="fr-BE"/>
        </w:rPr>
      </w:pPr>
    </w:p>
    <w:p w:rsidR="00007365" w:rsidRDefault="00007365" w:rsidP="00007365">
      <w:pPr>
        <w:pStyle w:val="BodyText"/>
        <w:jc w:val="both"/>
        <w:rPr>
          <w:rFonts w:asciiTheme="minorHAnsi" w:eastAsiaTheme="minorHAnsi" w:hAnsiTheme="minorHAnsi" w:cstheme="minorBidi"/>
          <w:sz w:val="22"/>
          <w:szCs w:val="22"/>
          <w:lang w:val="fr-BE"/>
        </w:rPr>
      </w:pPr>
      <w:r w:rsidRPr="00007365">
        <w:rPr>
          <w:rFonts w:ascii="Times New Roman" w:hAnsi="Times New Roman" w:cs="Times New Roman"/>
          <w:i/>
          <w:sz w:val="24"/>
          <w:szCs w:val="24"/>
          <w:lang w:val="fr-BE" w:eastAsia="fr-FR"/>
        </w:rPr>
        <w:t xml:space="preserve">Nous avons appris à savoir qui nous sommes réellement. Parce que pour vouloir quelque chose il faut savoir qui tu es et travers la question qui nous sommes nous avons pu débattre ce que  nous voulons et comment parvenir </w:t>
      </w:r>
      <w:proofErr w:type="spellStart"/>
      <w:r w:rsidRPr="00007365">
        <w:rPr>
          <w:rFonts w:ascii="Times New Roman" w:hAnsi="Times New Roman" w:cs="Times New Roman"/>
          <w:i/>
          <w:sz w:val="24"/>
          <w:szCs w:val="24"/>
          <w:lang w:val="fr-BE" w:eastAsia="fr-FR"/>
        </w:rPr>
        <w:t>a</w:t>
      </w:r>
      <w:proofErr w:type="spellEnd"/>
      <w:r w:rsidRPr="00007365">
        <w:rPr>
          <w:rFonts w:ascii="Times New Roman" w:hAnsi="Times New Roman" w:cs="Times New Roman"/>
          <w:i/>
          <w:sz w:val="24"/>
          <w:szCs w:val="24"/>
          <w:lang w:val="fr-BE" w:eastAsia="fr-FR"/>
        </w:rPr>
        <w:t xml:space="preserve"> ce que nous voulons .Ca a été vraiment un atelier qui nous a appris  beaucoup de choses. Cela nous a permis en notre qualité de femmes</w:t>
      </w:r>
      <w:r w:rsidR="006209F1">
        <w:rPr>
          <w:rFonts w:ascii="Times New Roman" w:hAnsi="Times New Roman" w:cs="Times New Roman"/>
          <w:i/>
          <w:sz w:val="24"/>
          <w:szCs w:val="24"/>
          <w:lang w:val="fr-BE" w:eastAsia="fr-FR"/>
        </w:rPr>
        <w:t xml:space="preserve"> de savoir</w:t>
      </w:r>
      <w:r w:rsidRPr="00007365">
        <w:rPr>
          <w:rFonts w:ascii="Times New Roman" w:hAnsi="Times New Roman" w:cs="Times New Roman"/>
          <w:i/>
          <w:sz w:val="24"/>
          <w:szCs w:val="24"/>
          <w:lang w:val="fr-BE" w:eastAsia="fr-FR"/>
        </w:rPr>
        <w:t xml:space="preserve"> quelle est notre position dans nos différents services et unités et comment nous  devrions parvenir à nous imposer et nous faire accepter par nos collègues hommes</w:t>
      </w:r>
      <w:r>
        <w:rPr>
          <w:rFonts w:asciiTheme="minorHAnsi" w:eastAsiaTheme="minorHAnsi" w:hAnsiTheme="minorHAnsi" w:cstheme="minorBidi"/>
          <w:i/>
          <w:sz w:val="22"/>
          <w:szCs w:val="22"/>
          <w:lang w:val="fr-BE"/>
        </w:rPr>
        <w:t xml:space="preserve">  </w:t>
      </w:r>
      <w:r w:rsidRPr="00007365">
        <w:rPr>
          <w:rFonts w:ascii="Times New Roman" w:hAnsi="Times New Roman" w:cs="Times New Roman"/>
          <w:sz w:val="24"/>
          <w:szCs w:val="24"/>
          <w:lang w:val="fr-BE" w:eastAsia="fr-FR"/>
        </w:rPr>
        <w:t xml:space="preserve"> Delphine </w:t>
      </w:r>
      <w:proofErr w:type="spellStart"/>
      <w:r w:rsidRPr="00007365">
        <w:rPr>
          <w:rFonts w:ascii="Times New Roman" w:hAnsi="Times New Roman" w:cs="Times New Roman"/>
          <w:sz w:val="24"/>
          <w:szCs w:val="24"/>
          <w:lang w:val="fr-BE" w:eastAsia="fr-FR"/>
        </w:rPr>
        <w:t>Kwadogui</w:t>
      </w:r>
      <w:proofErr w:type="spellEnd"/>
      <w:r w:rsidRPr="00007365">
        <w:rPr>
          <w:rFonts w:ascii="Times New Roman" w:hAnsi="Times New Roman" w:cs="Times New Roman"/>
          <w:sz w:val="24"/>
          <w:szCs w:val="24"/>
          <w:lang w:val="fr-BE" w:eastAsia="fr-FR"/>
        </w:rPr>
        <w:t xml:space="preserve"> Office pour la Protection du Genre, de l’Enfance et des Mœurs (OPROGEM)</w:t>
      </w:r>
    </w:p>
    <w:p w:rsidR="00007365" w:rsidRDefault="00007365" w:rsidP="00007365">
      <w:pPr>
        <w:pStyle w:val="BodyText"/>
        <w:jc w:val="both"/>
        <w:rPr>
          <w:rFonts w:asciiTheme="minorHAnsi" w:eastAsiaTheme="minorHAnsi" w:hAnsiTheme="minorHAnsi" w:cstheme="minorBidi"/>
          <w:i/>
          <w:sz w:val="22"/>
          <w:szCs w:val="22"/>
          <w:lang w:val="fr-BE"/>
        </w:rPr>
      </w:pPr>
    </w:p>
    <w:p w:rsidR="00007365" w:rsidRPr="00D577D0" w:rsidRDefault="00007365" w:rsidP="00007365">
      <w:pPr>
        <w:pStyle w:val="BodyText"/>
        <w:jc w:val="both"/>
        <w:rPr>
          <w:rFonts w:asciiTheme="minorHAnsi" w:eastAsiaTheme="minorHAnsi" w:hAnsiTheme="minorHAnsi" w:cstheme="minorBidi"/>
          <w:i/>
          <w:sz w:val="22"/>
          <w:szCs w:val="22"/>
          <w:lang w:val="fr-BE"/>
        </w:rPr>
      </w:pPr>
    </w:p>
    <w:p w:rsidR="00007365" w:rsidRPr="00007365" w:rsidRDefault="00007365" w:rsidP="00007365">
      <w:pPr>
        <w:pStyle w:val="BodyText"/>
        <w:jc w:val="both"/>
        <w:rPr>
          <w:rFonts w:ascii="Times New Roman" w:hAnsi="Times New Roman" w:cs="Times New Roman"/>
          <w:i/>
          <w:sz w:val="24"/>
          <w:szCs w:val="24"/>
          <w:lang w:val="fr-BE" w:eastAsia="fr-FR"/>
        </w:rPr>
      </w:pPr>
      <w:r w:rsidRPr="00007365">
        <w:rPr>
          <w:rFonts w:ascii="Times New Roman" w:hAnsi="Times New Roman" w:cs="Times New Roman"/>
          <w:i/>
          <w:sz w:val="24"/>
          <w:szCs w:val="24"/>
          <w:lang w:val="fr-BE" w:eastAsia="fr-FR"/>
        </w:rPr>
        <w:t xml:space="preserve">Cet atelier </w:t>
      </w:r>
      <w:proofErr w:type="gramStart"/>
      <w:r w:rsidRPr="00007365">
        <w:rPr>
          <w:rFonts w:ascii="Times New Roman" w:hAnsi="Times New Roman" w:cs="Times New Roman"/>
          <w:i/>
          <w:sz w:val="24"/>
          <w:szCs w:val="24"/>
          <w:lang w:val="fr-BE" w:eastAsia="fr-FR"/>
        </w:rPr>
        <w:t>m</w:t>
      </w:r>
      <w:r w:rsidR="008B0AEB">
        <w:rPr>
          <w:rFonts w:ascii="Times New Roman" w:hAnsi="Times New Roman" w:cs="Times New Roman"/>
          <w:i/>
          <w:sz w:val="24"/>
          <w:szCs w:val="24"/>
          <w:lang w:val="fr-BE" w:eastAsia="fr-FR"/>
        </w:rPr>
        <w:t>’</w:t>
      </w:r>
      <w:r w:rsidRPr="00007365">
        <w:rPr>
          <w:rFonts w:ascii="Times New Roman" w:hAnsi="Times New Roman" w:cs="Times New Roman"/>
          <w:i/>
          <w:sz w:val="24"/>
          <w:szCs w:val="24"/>
          <w:lang w:val="fr-BE" w:eastAsia="fr-FR"/>
        </w:rPr>
        <w:t xml:space="preserve"> a</w:t>
      </w:r>
      <w:proofErr w:type="gramEnd"/>
      <w:r w:rsidRPr="00007365">
        <w:rPr>
          <w:rFonts w:ascii="Times New Roman" w:hAnsi="Times New Roman" w:cs="Times New Roman"/>
          <w:i/>
          <w:sz w:val="24"/>
          <w:szCs w:val="24"/>
          <w:lang w:val="fr-BE" w:eastAsia="fr-FR"/>
        </w:rPr>
        <w:t xml:space="preserve"> permis aujourd’hui de connaitre ce que je ne connaissais pas avant. Cet atelier m’a encouragé. C’est atelier a fait que je me suis considérée  grande. Cet atelier a changé mon caractère aujourd‘hui. Donc je dirai </w:t>
      </w:r>
      <w:proofErr w:type="gramStart"/>
      <w:r w:rsidRPr="00007365">
        <w:rPr>
          <w:rFonts w:ascii="Times New Roman" w:hAnsi="Times New Roman" w:cs="Times New Roman"/>
          <w:i/>
          <w:sz w:val="24"/>
          <w:szCs w:val="24"/>
          <w:lang w:val="fr-BE" w:eastAsia="fr-FR"/>
        </w:rPr>
        <w:t>a</w:t>
      </w:r>
      <w:proofErr w:type="gramEnd"/>
      <w:r w:rsidRPr="00007365">
        <w:rPr>
          <w:rFonts w:ascii="Times New Roman" w:hAnsi="Times New Roman" w:cs="Times New Roman"/>
          <w:i/>
          <w:sz w:val="24"/>
          <w:szCs w:val="24"/>
          <w:lang w:val="fr-BE" w:eastAsia="fr-FR"/>
        </w:rPr>
        <w:t xml:space="preserve"> toute femme FDS, a toute femme civile de se considérer comme nous</w:t>
      </w:r>
      <w:r w:rsidR="006209F1">
        <w:rPr>
          <w:rFonts w:ascii="Times New Roman" w:hAnsi="Times New Roman" w:cs="Times New Roman"/>
          <w:i/>
          <w:sz w:val="24"/>
          <w:szCs w:val="24"/>
          <w:lang w:val="fr-BE" w:eastAsia="fr-FR"/>
        </w:rPr>
        <w:t>.</w:t>
      </w:r>
      <w:r w:rsidRPr="00007365">
        <w:rPr>
          <w:rFonts w:ascii="Times New Roman" w:hAnsi="Times New Roman" w:cs="Times New Roman"/>
          <w:i/>
          <w:sz w:val="24"/>
          <w:szCs w:val="24"/>
          <w:lang w:val="fr-BE" w:eastAsia="fr-FR"/>
        </w:rPr>
        <w:t xml:space="preserve"> Aujourd’hui, cet atelier m’a permis de faire tout ce que je ne faisais pas avant, de m’exprimer devant tout le monde, de m’exprimer devant mes chefs, de m’exprimer devant tous les hommes. Je remercie tout le monde de m’avoir donné cette opportunité de m’exprimer devant tout le monde et devant la télévision</w:t>
      </w:r>
      <w:r w:rsidR="006209F1">
        <w:rPr>
          <w:rFonts w:ascii="Times New Roman" w:hAnsi="Times New Roman" w:cs="Times New Roman"/>
          <w:i/>
          <w:sz w:val="24"/>
          <w:szCs w:val="24"/>
          <w:lang w:val="fr-BE" w:eastAsia="fr-FR"/>
        </w:rPr>
        <w:t>.</w:t>
      </w:r>
      <w:r w:rsidRPr="00007365">
        <w:rPr>
          <w:rFonts w:ascii="Times New Roman" w:hAnsi="Times New Roman" w:cs="Times New Roman"/>
          <w:i/>
          <w:sz w:val="24"/>
          <w:szCs w:val="24"/>
          <w:lang w:val="fr-BE" w:eastAsia="fr-FR"/>
        </w:rPr>
        <w:t xml:space="preserve"> </w:t>
      </w:r>
      <w:r w:rsidRPr="00007365">
        <w:rPr>
          <w:rFonts w:ascii="Times New Roman" w:hAnsi="Times New Roman" w:cs="Times New Roman"/>
          <w:sz w:val="24"/>
          <w:szCs w:val="24"/>
          <w:lang w:val="fr-BE" w:eastAsia="fr-FR"/>
        </w:rPr>
        <w:t xml:space="preserve">Femme FDS/Douanes </w:t>
      </w:r>
    </w:p>
    <w:p w:rsidR="009F7EA1" w:rsidRPr="00007365" w:rsidRDefault="009F7EA1">
      <w:pPr>
        <w:rPr>
          <w:i/>
          <w:lang w:val="fr-BE"/>
        </w:rPr>
      </w:pPr>
      <w:r w:rsidRPr="00007365">
        <w:rPr>
          <w:i/>
          <w:lang w:val="fr-BE"/>
        </w:rPr>
        <w:br w:type="page"/>
      </w:r>
    </w:p>
    <w:p w:rsidR="009F0768" w:rsidRDefault="009F7EA1">
      <w:pPr>
        <w:rPr>
          <w:rFonts w:ascii="Arial" w:hAnsi="Arial" w:cs="Arial"/>
          <w:b/>
          <w:sz w:val="20"/>
          <w:szCs w:val="20"/>
        </w:rPr>
      </w:pPr>
      <w:r w:rsidRPr="009F7EA1">
        <w:rPr>
          <w:rFonts w:ascii="Arial" w:hAnsi="Arial" w:cs="Arial"/>
          <w:b/>
          <w:sz w:val="20"/>
          <w:szCs w:val="20"/>
        </w:rPr>
        <w:lastRenderedPageBreak/>
        <w:t>Photos de la Formation en leadership des femmes FDS</w:t>
      </w:r>
    </w:p>
    <w:p w:rsidR="009F0768" w:rsidRDefault="009F0768">
      <w:pPr>
        <w:rPr>
          <w:rFonts w:ascii="Arial" w:hAnsi="Arial" w:cs="Arial"/>
          <w:b/>
          <w:sz w:val="20"/>
          <w:szCs w:val="20"/>
        </w:rPr>
      </w:pPr>
    </w:p>
    <w:p w:rsidR="008B3F01" w:rsidRDefault="009F0768">
      <w:pPr>
        <w:rPr>
          <w:rFonts w:ascii="Arial" w:hAnsi="Arial" w:cs="Arial"/>
          <w:b/>
          <w:sz w:val="20"/>
          <w:szCs w:val="20"/>
        </w:rPr>
      </w:pPr>
      <w:r>
        <w:rPr>
          <w:rFonts w:ascii="Arial" w:hAnsi="Arial" w:cs="Arial"/>
          <w:b/>
          <w:noProof/>
          <w:sz w:val="20"/>
          <w:szCs w:val="20"/>
          <w:lang w:val="en-US" w:eastAsia="en-US"/>
        </w:rPr>
        <w:drawing>
          <wp:anchor distT="0" distB="0" distL="114300" distR="114300" simplePos="0" relativeHeight="251663872" behindDoc="0" locked="0" layoutInCell="1" allowOverlap="1">
            <wp:simplePos x="0" y="0"/>
            <wp:positionH relativeFrom="column">
              <wp:posOffset>3043555</wp:posOffset>
            </wp:positionH>
            <wp:positionV relativeFrom="paragraph">
              <wp:posOffset>2491105</wp:posOffset>
            </wp:positionV>
            <wp:extent cx="2590800" cy="238760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90800" cy="2387600"/>
                    </a:xfrm>
                    <a:prstGeom prst="rect">
                      <a:avLst/>
                    </a:prstGeom>
                    <a:noFill/>
                    <a:ln w="9525">
                      <a:noFill/>
                      <a:miter lim="800000"/>
                      <a:headEnd/>
                      <a:tailEnd/>
                    </a:ln>
                  </pic:spPr>
                </pic:pic>
              </a:graphicData>
            </a:graphic>
          </wp:anchor>
        </w:drawing>
      </w:r>
      <w:r>
        <w:rPr>
          <w:rFonts w:ascii="Arial" w:hAnsi="Arial" w:cs="Arial"/>
          <w:b/>
          <w:noProof/>
          <w:sz w:val="20"/>
          <w:szCs w:val="20"/>
          <w:lang w:val="en-US" w:eastAsia="en-US"/>
        </w:rPr>
        <w:drawing>
          <wp:anchor distT="0" distB="0" distL="114300" distR="114300" simplePos="0" relativeHeight="251662848" behindDoc="0" locked="0" layoutInCell="1" allowOverlap="1">
            <wp:simplePos x="0" y="0"/>
            <wp:positionH relativeFrom="column">
              <wp:posOffset>-334645</wp:posOffset>
            </wp:positionH>
            <wp:positionV relativeFrom="paragraph">
              <wp:posOffset>3151505</wp:posOffset>
            </wp:positionV>
            <wp:extent cx="2901950" cy="2120900"/>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01950" cy="2120900"/>
                    </a:xfrm>
                    <a:prstGeom prst="rect">
                      <a:avLst/>
                    </a:prstGeom>
                    <a:noFill/>
                    <a:ln w="9525">
                      <a:noFill/>
                      <a:miter lim="800000"/>
                      <a:headEnd/>
                      <a:tailEnd/>
                    </a:ln>
                  </pic:spPr>
                </pic:pic>
              </a:graphicData>
            </a:graphic>
          </wp:anchor>
        </w:drawing>
      </w:r>
      <w:r>
        <w:rPr>
          <w:rFonts w:ascii="Arial" w:hAnsi="Arial" w:cs="Arial"/>
          <w:b/>
          <w:noProof/>
          <w:sz w:val="20"/>
          <w:szCs w:val="20"/>
          <w:lang w:val="en-US" w:eastAsia="en-US"/>
        </w:rPr>
        <w:drawing>
          <wp:anchor distT="0" distB="0" distL="114300" distR="114300" simplePos="0" relativeHeight="251664896" behindDoc="0" locked="0" layoutInCell="1" allowOverlap="1">
            <wp:simplePos x="0" y="0"/>
            <wp:positionH relativeFrom="column">
              <wp:posOffset>-334645</wp:posOffset>
            </wp:positionH>
            <wp:positionV relativeFrom="paragraph">
              <wp:posOffset>5882005</wp:posOffset>
            </wp:positionV>
            <wp:extent cx="2863850" cy="227330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63850" cy="2273300"/>
                    </a:xfrm>
                    <a:prstGeom prst="rect">
                      <a:avLst/>
                    </a:prstGeom>
                    <a:noFill/>
                    <a:ln w="9525">
                      <a:noFill/>
                      <a:miter lim="800000"/>
                      <a:headEnd/>
                      <a:tailEnd/>
                    </a:ln>
                  </pic:spPr>
                </pic:pic>
              </a:graphicData>
            </a:graphic>
          </wp:anchor>
        </w:drawing>
      </w:r>
      <w:r>
        <w:rPr>
          <w:rFonts w:ascii="Arial" w:hAnsi="Arial" w:cs="Arial"/>
          <w:b/>
          <w:noProof/>
          <w:sz w:val="20"/>
          <w:szCs w:val="20"/>
          <w:lang w:val="en-US" w:eastAsia="en-US"/>
        </w:rPr>
        <w:drawing>
          <wp:anchor distT="0" distB="0" distL="114300" distR="114300" simplePos="0" relativeHeight="251665920" behindDoc="0" locked="0" layoutInCell="1" allowOverlap="1">
            <wp:simplePos x="0" y="0"/>
            <wp:positionH relativeFrom="column">
              <wp:posOffset>3310255</wp:posOffset>
            </wp:positionH>
            <wp:positionV relativeFrom="paragraph">
              <wp:posOffset>5374005</wp:posOffset>
            </wp:positionV>
            <wp:extent cx="2254250" cy="2997200"/>
            <wp:effectExtent l="19050" t="0" r="0" b="0"/>
            <wp:wrapSquare wrapText="bothSides"/>
            <wp:docPr id="7" name="Picture 7" descr="C:\Users\UNWOMEN3-SENEGAL\AppData\Local\Microsoft\Windows\Temporary Internet Files\Content.Word\20130913_151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NWOMEN3-SENEGAL\AppData\Local\Microsoft\Windows\Temporary Internet Files\Content.Word\20130913_15160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54250" cy="2997200"/>
                    </a:xfrm>
                    <a:prstGeom prst="rect">
                      <a:avLst/>
                    </a:prstGeom>
                    <a:noFill/>
                    <a:ln w="9525">
                      <a:noFill/>
                      <a:miter lim="800000"/>
                      <a:headEnd/>
                      <a:tailEnd/>
                    </a:ln>
                  </pic:spPr>
                </pic:pic>
              </a:graphicData>
            </a:graphic>
          </wp:anchor>
        </w:drawing>
      </w:r>
      <w:r>
        <w:rPr>
          <w:rFonts w:ascii="Arial" w:hAnsi="Arial" w:cs="Arial"/>
          <w:b/>
          <w:noProof/>
          <w:sz w:val="20"/>
          <w:szCs w:val="20"/>
          <w:lang w:val="en-US" w:eastAsia="en-US"/>
        </w:rPr>
        <w:drawing>
          <wp:anchor distT="0" distB="0" distL="114300" distR="114300" simplePos="0" relativeHeight="251661824" behindDoc="0" locked="0" layoutInCell="1" allowOverlap="1">
            <wp:simplePos x="0" y="0"/>
            <wp:positionH relativeFrom="column">
              <wp:posOffset>2726055</wp:posOffset>
            </wp:positionH>
            <wp:positionV relativeFrom="paragraph">
              <wp:posOffset>116205</wp:posOffset>
            </wp:positionV>
            <wp:extent cx="2901950" cy="2171700"/>
            <wp:effectExtent l="19050" t="0" r="0" b="0"/>
            <wp:wrapSquare wrapText="bothSides"/>
            <wp:docPr id="14" name="Picture 14" descr="C:\Users\UNWOMEN3-SENEGAL\AppData\Local\Microsoft\Windows\Temporary Internet Files\Content.Word\20130911_15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NWOMEN3-SENEGAL\AppData\Local\Microsoft\Windows\Temporary Internet Files\Content.Word\20130911_153500.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01950" cy="2171700"/>
                    </a:xfrm>
                    <a:prstGeom prst="rect">
                      <a:avLst/>
                    </a:prstGeom>
                    <a:noFill/>
                    <a:ln w="9525">
                      <a:noFill/>
                      <a:miter lim="800000"/>
                      <a:headEnd/>
                      <a:tailEnd/>
                    </a:ln>
                  </pic:spPr>
                </pic:pic>
              </a:graphicData>
            </a:graphic>
          </wp:anchor>
        </w:drawing>
      </w:r>
      <w:r>
        <w:rPr>
          <w:rFonts w:ascii="Arial" w:hAnsi="Arial" w:cs="Arial"/>
          <w:b/>
          <w:noProof/>
          <w:sz w:val="20"/>
          <w:szCs w:val="20"/>
          <w:lang w:val="en-US" w:eastAsia="en-US"/>
        </w:rPr>
        <w:drawing>
          <wp:anchor distT="0" distB="0" distL="114300" distR="114300" simplePos="0" relativeHeight="251660800" behindDoc="0" locked="0" layoutInCell="1" allowOverlap="1">
            <wp:simplePos x="0" y="0"/>
            <wp:positionH relativeFrom="column">
              <wp:posOffset>-372745</wp:posOffset>
            </wp:positionH>
            <wp:positionV relativeFrom="paragraph">
              <wp:posOffset>116205</wp:posOffset>
            </wp:positionV>
            <wp:extent cx="2901950" cy="2171700"/>
            <wp:effectExtent l="19050" t="0" r="0" b="0"/>
            <wp:wrapSquare wrapText="bothSides"/>
            <wp:docPr id="11" name="Picture 11" descr="C:\Users\UNWOMEN3-SENEGAL\AppData\Local\Microsoft\Windows\Temporary Internet Files\Content.Word\20130913_13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NWOMEN3-SENEGAL\AppData\Local\Microsoft\Windows\Temporary Internet Files\Content.Word\20130913_130129.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01950" cy="2171700"/>
                    </a:xfrm>
                    <a:prstGeom prst="rect">
                      <a:avLst/>
                    </a:prstGeom>
                    <a:noFill/>
                    <a:ln w="9525">
                      <a:noFill/>
                      <a:miter lim="800000"/>
                      <a:headEnd/>
                      <a:tailEnd/>
                    </a:ln>
                  </pic:spPr>
                </pic:pic>
              </a:graphicData>
            </a:graphic>
          </wp:anchor>
        </w:drawing>
      </w:r>
      <w:r w:rsidR="008B3F01" w:rsidRPr="009F7EA1">
        <w:rPr>
          <w:rFonts w:ascii="Arial" w:hAnsi="Arial" w:cs="Arial"/>
          <w:b/>
          <w:sz w:val="20"/>
          <w:szCs w:val="20"/>
        </w:rPr>
        <w:br w:type="page"/>
      </w:r>
    </w:p>
    <w:p w:rsidR="009F0768" w:rsidRPr="009F7EA1" w:rsidRDefault="009F0768" w:rsidP="009F0768">
      <w:pPr>
        <w:jc w:val="center"/>
        <w:rPr>
          <w:rFonts w:ascii="Arial" w:hAnsi="Arial" w:cs="Arial"/>
          <w:b/>
          <w:sz w:val="20"/>
          <w:szCs w:val="20"/>
          <w:lang w:eastAsia="en-US"/>
        </w:rPr>
      </w:pPr>
      <w:r w:rsidRPr="009F0768">
        <w:rPr>
          <w:rFonts w:ascii="Arial" w:hAnsi="Arial" w:cs="Arial"/>
          <w:b/>
          <w:noProof/>
          <w:sz w:val="20"/>
          <w:szCs w:val="20"/>
          <w:lang w:val="en-US" w:eastAsia="en-US"/>
        </w:rPr>
        <w:lastRenderedPageBreak/>
        <w:drawing>
          <wp:inline distT="0" distB="0" distL="0" distR="0">
            <wp:extent cx="5543550" cy="4154880"/>
            <wp:effectExtent l="19050" t="0" r="0" b="0"/>
            <wp:docPr id="5" name="Picture 4" descr="C:\Users\UNWOMEN3-SENEGAL\AppData\Local\Microsoft\Windows\Temporary Internet Files\Content.Word\20130913_153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WOMEN3-SENEGAL\AppData\Local\Microsoft\Windows\Temporary Internet Files\Content.Word\20130913_153700.jpg"/>
                    <pic:cNvPicPr>
                      <a:picLocks noChangeAspect="1" noChangeArrowheads="1"/>
                    </pic:cNvPicPr>
                  </pic:nvPicPr>
                  <pic:blipFill>
                    <a:blip r:embed="rId22"/>
                    <a:srcRect/>
                    <a:stretch>
                      <a:fillRect/>
                    </a:stretch>
                  </pic:blipFill>
                  <pic:spPr bwMode="auto">
                    <a:xfrm>
                      <a:off x="0" y="0"/>
                      <a:ext cx="5540604" cy="4152672"/>
                    </a:xfrm>
                    <a:prstGeom prst="rect">
                      <a:avLst/>
                    </a:prstGeom>
                    <a:noFill/>
                    <a:ln w="9525">
                      <a:noFill/>
                      <a:miter lim="800000"/>
                      <a:headEnd/>
                      <a:tailEnd/>
                    </a:ln>
                  </pic:spPr>
                </pic:pic>
              </a:graphicData>
            </a:graphic>
          </wp:inline>
        </w:drawing>
      </w:r>
    </w:p>
    <w:p w:rsidR="00264361" w:rsidRDefault="00264361" w:rsidP="004D18B1">
      <w:pPr>
        <w:pStyle w:val="BodyText"/>
        <w:rPr>
          <w:rFonts w:ascii="Times New Roman" w:hAnsi="Times New Roman"/>
          <w:b/>
          <w:sz w:val="24"/>
          <w:lang w:val="fr-FR"/>
        </w:rPr>
      </w:pPr>
    </w:p>
    <w:p w:rsidR="009F0768" w:rsidRDefault="009F0768" w:rsidP="004D18B1">
      <w:pPr>
        <w:pStyle w:val="BodyText"/>
        <w:rPr>
          <w:rFonts w:ascii="Times New Roman" w:hAnsi="Times New Roman"/>
          <w:b/>
          <w:sz w:val="24"/>
          <w:lang w:val="fr-FR"/>
        </w:rPr>
      </w:pPr>
    </w:p>
    <w:p w:rsidR="009F0768" w:rsidRPr="00334073" w:rsidRDefault="009F0768" w:rsidP="004D18B1">
      <w:pPr>
        <w:pStyle w:val="BodyText"/>
        <w:rPr>
          <w:rFonts w:ascii="Times New Roman" w:hAnsi="Times New Roman"/>
          <w:b/>
          <w:sz w:val="24"/>
          <w:lang w:val="fr-FR"/>
        </w:rPr>
      </w:pPr>
    </w:p>
    <w:p w:rsidR="00264361" w:rsidRPr="00334073" w:rsidRDefault="00264361" w:rsidP="004D18B1">
      <w:pPr>
        <w:pStyle w:val="BodyText"/>
        <w:numPr>
          <w:ilvl w:val="0"/>
          <w:numId w:val="1"/>
        </w:numPr>
        <w:rPr>
          <w:rFonts w:ascii="Times New Roman" w:hAnsi="Times New Roman"/>
          <w:b/>
          <w:sz w:val="24"/>
          <w:lang w:val="fr-FR"/>
        </w:rPr>
      </w:pPr>
      <w:r w:rsidRPr="00334073">
        <w:rPr>
          <w:rFonts w:ascii="Times New Roman" w:hAnsi="Times New Roman"/>
          <w:b/>
          <w:sz w:val="24"/>
          <w:lang w:val="fr-FR"/>
        </w:rPr>
        <w:t xml:space="preserve">Dispositions de suivi </w:t>
      </w:r>
    </w:p>
    <w:p w:rsidR="00264361" w:rsidRPr="00334073" w:rsidRDefault="00264361" w:rsidP="004D18B1">
      <w:pPr>
        <w:pStyle w:val="BodyText"/>
        <w:ind w:left="1080"/>
        <w:rPr>
          <w:rFonts w:ascii="Times New Roman" w:hAnsi="Times New Roman"/>
          <w:b/>
          <w:sz w:val="24"/>
          <w:lang w:val="fr-FR"/>
        </w:rPr>
      </w:pPr>
    </w:p>
    <w:p w:rsidR="000E4090" w:rsidRPr="009F7EA1" w:rsidRDefault="000E4090" w:rsidP="000E4090">
      <w:pPr>
        <w:tabs>
          <w:tab w:val="left" w:pos="0"/>
        </w:tabs>
        <w:jc w:val="both"/>
        <w:rPr>
          <w:sz w:val="22"/>
          <w:szCs w:val="22"/>
        </w:rPr>
      </w:pPr>
      <w:r w:rsidRPr="009F7EA1">
        <w:rPr>
          <w:sz w:val="22"/>
          <w:szCs w:val="22"/>
        </w:rPr>
        <w:t>Afin d’assurer le suivi du programme, une Equipe de Gestion du programme se rencontre à base bimensuelle. Pour la période de rapportage, l’Equipe s’est rencontrée</w:t>
      </w:r>
      <w:r w:rsidR="008B3F01" w:rsidRPr="009F7EA1">
        <w:rPr>
          <w:sz w:val="22"/>
          <w:szCs w:val="22"/>
        </w:rPr>
        <w:t xml:space="preserve"> </w:t>
      </w:r>
      <w:r w:rsidRPr="009F7EA1">
        <w:rPr>
          <w:sz w:val="22"/>
          <w:szCs w:val="22"/>
        </w:rPr>
        <w:t>pour faire l’état de mise en œuvre du programme. Les rencontres ont été présidées sous le leadership du Secrétaire General du Ministère des Affaires Sociales, de la Promotion Féminine et de l’Enfance et avec l’implication de l’ensemble des agences et les ministères techniques de mise en œuvre. En outre, les avancées du programme ont également été partagées au sein des réunions mensuelles du Groupe de Travail GBV piloté conjointement par le Ministère des Affaires Sociale</w:t>
      </w:r>
      <w:r w:rsidR="008B3F01" w:rsidRPr="009F7EA1">
        <w:rPr>
          <w:sz w:val="22"/>
          <w:szCs w:val="22"/>
        </w:rPr>
        <w:t>s</w:t>
      </w:r>
      <w:r w:rsidRPr="009F7EA1">
        <w:rPr>
          <w:sz w:val="22"/>
          <w:szCs w:val="22"/>
        </w:rPr>
        <w:t xml:space="preserve"> et l’UNFPA.</w:t>
      </w:r>
    </w:p>
    <w:p w:rsidR="000E4090" w:rsidRPr="009F7EA1" w:rsidRDefault="000E4090" w:rsidP="000E4090">
      <w:pPr>
        <w:ind w:left="360"/>
        <w:jc w:val="both"/>
        <w:rPr>
          <w:sz w:val="22"/>
          <w:szCs w:val="22"/>
        </w:rPr>
      </w:pPr>
    </w:p>
    <w:p w:rsidR="000E4090" w:rsidRPr="009F7EA1" w:rsidRDefault="000E4090" w:rsidP="000E4090">
      <w:pPr>
        <w:jc w:val="both"/>
        <w:rPr>
          <w:sz w:val="22"/>
          <w:szCs w:val="22"/>
        </w:rPr>
      </w:pPr>
      <w:r w:rsidRPr="009F7EA1">
        <w:rPr>
          <w:sz w:val="22"/>
          <w:szCs w:val="22"/>
        </w:rPr>
        <w:t xml:space="preserve">En outre de ces mécanismes au niveau du suivi global du programme, les agences individuelles en charge de la mise en œuvre du projet se sont basées sur leurs propres mécanismes </w:t>
      </w:r>
      <w:r w:rsidR="008B3F01" w:rsidRPr="009F7EA1">
        <w:rPr>
          <w:sz w:val="22"/>
          <w:szCs w:val="22"/>
        </w:rPr>
        <w:t>de</w:t>
      </w:r>
      <w:r w:rsidRPr="009F7EA1">
        <w:rPr>
          <w:sz w:val="22"/>
          <w:szCs w:val="22"/>
        </w:rPr>
        <w:t xml:space="preserve"> suivi des activités sur le terrain. Il s’agit notamment des mécanismes suivants:</w:t>
      </w:r>
    </w:p>
    <w:p w:rsidR="000E4090" w:rsidRPr="009F7EA1" w:rsidRDefault="000E4090" w:rsidP="000E4090">
      <w:pPr>
        <w:ind w:left="360"/>
        <w:jc w:val="both"/>
        <w:rPr>
          <w:sz w:val="22"/>
          <w:szCs w:val="22"/>
        </w:rPr>
      </w:pPr>
    </w:p>
    <w:p w:rsidR="000E4090" w:rsidRPr="009F7EA1" w:rsidRDefault="000E4090" w:rsidP="008B3F01">
      <w:pPr>
        <w:pStyle w:val="ListParagraph"/>
        <w:widowControl w:val="0"/>
        <w:numPr>
          <w:ilvl w:val="0"/>
          <w:numId w:val="33"/>
        </w:numPr>
        <w:jc w:val="both"/>
        <w:rPr>
          <w:sz w:val="22"/>
          <w:szCs w:val="22"/>
          <w:lang w:eastAsia="en-US"/>
        </w:rPr>
      </w:pPr>
      <w:r w:rsidRPr="009F7EA1">
        <w:rPr>
          <w:sz w:val="22"/>
          <w:szCs w:val="22"/>
          <w:lang w:eastAsia="en-US"/>
        </w:rPr>
        <w:t xml:space="preserve">La supervision technique et </w:t>
      </w:r>
      <w:r w:rsidRPr="009F7EA1">
        <w:rPr>
          <w:i/>
          <w:sz w:val="22"/>
          <w:szCs w:val="22"/>
          <w:lang w:eastAsia="en-US"/>
        </w:rPr>
        <w:t>end-user monitoring</w:t>
      </w:r>
      <w:r w:rsidRPr="009F7EA1">
        <w:rPr>
          <w:sz w:val="22"/>
          <w:szCs w:val="22"/>
          <w:lang w:eastAsia="en-US"/>
        </w:rPr>
        <w:t xml:space="preserve"> à travers la participation, principalement des équipes de terrains des agences de mise en œuvre. Pour l’UNICEF, ce suivi consiste aussi des missions de vérification de leur réalisation ou des appréciations rapides devant confirmer les activités présentées dans les rapports narratifs et financiers soumis par les partenaires. Pour l’UNICEF le suivi des activités a été fait à travers les officiers de protection des bureaux de zones ;</w:t>
      </w:r>
    </w:p>
    <w:p w:rsidR="008B3F01" w:rsidRPr="009F7EA1" w:rsidRDefault="008B3F01" w:rsidP="008B3F01">
      <w:pPr>
        <w:pStyle w:val="ListParagraph"/>
        <w:widowControl w:val="0"/>
        <w:jc w:val="both"/>
        <w:rPr>
          <w:sz w:val="22"/>
          <w:szCs w:val="22"/>
          <w:lang w:eastAsia="en-US"/>
        </w:rPr>
      </w:pPr>
    </w:p>
    <w:p w:rsidR="000E4090" w:rsidRPr="009F7EA1" w:rsidRDefault="000E4090" w:rsidP="008B3F01">
      <w:pPr>
        <w:pStyle w:val="ListParagraph"/>
        <w:widowControl w:val="0"/>
        <w:numPr>
          <w:ilvl w:val="0"/>
          <w:numId w:val="33"/>
        </w:numPr>
        <w:jc w:val="both"/>
        <w:rPr>
          <w:sz w:val="22"/>
          <w:szCs w:val="22"/>
          <w:lang w:eastAsia="en-US"/>
        </w:rPr>
      </w:pPr>
      <w:r w:rsidRPr="009F7EA1">
        <w:rPr>
          <w:sz w:val="22"/>
          <w:szCs w:val="22"/>
          <w:lang w:eastAsia="en-US"/>
        </w:rPr>
        <w:t>La soumission de rapports narratifs et financiers périodiques des activités mises en œuvre et soumis par les partenaires de terrain.</w:t>
      </w:r>
    </w:p>
    <w:p w:rsidR="008B3F01" w:rsidRPr="009F7EA1" w:rsidRDefault="008B3F01" w:rsidP="008B3F01">
      <w:pPr>
        <w:widowControl w:val="0"/>
        <w:jc w:val="both"/>
        <w:rPr>
          <w:sz w:val="22"/>
          <w:szCs w:val="22"/>
          <w:lang w:eastAsia="en-US"/>
        </w:rPr>
      </w:pPr>
    </w:p>
    <w:p w:rsidR="008B3F01" w:rsidRPr="009F7EA1" w:rsidRDefault="000E4090" w:rsidP="008B3F01">
      <w:pPr>
        <w:pStyle w:val="ListParagraph"/>
        <w:widowControl w:val="0"/>
        <w:numPr>
          <w:ilvl w:val="0"/>
          <w:numId w:val="33"/>
        </w:numPr>
        <w:jc w:val="both"/>
        <w:rPr>
          <w:sz w:val="22"/>
          <w:szCs w:val="22"/>
          <w:lang w:eastAsia="en-US"/>
        </w:rPr>
      </w:pPr>
      <w:r w:rsidRPr="009F7EA1">
        <w:rPr>
          <w:sz w:val="22"/>
          <w:szCs w:val="22"/>
          <w:lang w:eastAsia="en-US"/>
        </w:rPr>
        <w:t>Des missions conjointes de suivi/supervision par l’Agence de mise en</w:t>
      </w:r>
      <w:r w:rsidR="008B3F01" w:rsidRPr="009F7EA1">
        <w:rPr>
          <w:sz w:val="22"/>
          <w:szCs w:val="22"/>
          <w:lang w:eastAsia="en-US"/>
        </w:rPr>
        <w:t xml:space="preserve"> œuvre et le </w:t>
      </w:r>
      <w:r w:rsidR="008B3F01" w:rsidRPr="009F7EA1">
        <w:rPr>
          <w:sz w:val="22"/>
          <w:szCs w:val="22"/>
          <w:lang w:eastAsia="en-US"/>
        </w:rPr>
        <w:lastRenderedPageBreak/>
        <w:t>Gouvernement. L</w:t>
      </w:r>
      <w:r w:rsidRPr="009F7EA1">
        <w:rPr>
          <w:sz w:val="22"/>
          <w:szCs w:val="22"/>
          <w:lang w:eastAsia="en-US"/>
        </w:rPr>
        <w:t xml:space="preserve">’UNICEF, </w:t>
      </w:r>
      <w:r w:rsidR="008B3F01" w:rsidRPr="009F7EA1">
        <w:rPr>
          <w:sz w:val="22"/>
          <w:szCs w:val="22"/>
          <w:lang w:eastAsia="en-US"/>
        </w:rPr>
        <w:t>organise</w:t>
      </w:r>
      <w:r w:rsidRPr="009F7EA1">
        <w:rPr>
          <w:sz w:val="22"/>
          <w:szCs w:val="22"/>
          <w:lang w:eastAsia="en-US"/>
        </w:rPr>
        <w:t xml:space="preserve"> au moins une visite par bureau de zone pour apprécier la conformité de l’exécution des activités, la satisfaction des participants au projet, à travers des focus-groups et des entretiens individuels y inclus des séjours dans les communautés bénéficiaires et la formulation de recommandations pour la bonification/consolidation des actions. </w:t>
      </w:r>
      <w:r w:rsidR="008B3F01" w:rsidRPr="009F7EA1">
        <w:rPr>
          <w:sz w:val="22"/>
          <w:szCs w:val="22"/>
          <w:lang w:eastAsia="en-US"/>
        </w:rPr>
        <w:t>La Chargée du projet du PNUD a effectué une mission de terrain, au cours de laquelle une séance de travail a eu lieu entre elle et les partenaires de terrain, notamment les deux Comités Régionaux de Prévention et de Prise en charge des VBG et les ONG retenues pour l’accompagnement des victimes de VBG.</w:t>
      </w:r>
    </w:p>
    <w:p w:rsidR="008B3F01" w:rsidRPr="009F7EA1" w:rsidRDefault="008B3F01" w:rsidP="008B3F01">
      <w:pPr>
        <w:widowControl w:val="0"/>
        <w:jc w:val="both"/>
        <w:rPr>
          <w:sz w:val="22"/>
          <w:szCs w:val="22"/>
          <w:lang w:eastAsia="en-US"/>
        </w:rPr>
      </w:pPr>
    </w:p>
    <w:p w:rsidR="000E4090" w:rsidRPr="009F7EA1" w:rsidRDefault="000E4090" w:rsidP="008B3F01">
      <w:pPr>
        <w:pStyle w:val="ListParagraph"/>
        <w:widowControl w:val="0"/>
        <w:numPr>
          <w:ilvl w:val="0"/>
          <w:numId w:val="33"/>
        </w:numPr>
        <w:jc w:val="both"/>
        <w:rPr>
          <w:sz w:val="22"/>
          <w:szCs w:val="22"/>
          <w:lang w:eastAsia="en-US"/>
        </w:rPr>
      </w:pPr>
      <w:r w:rsidRPr="009F7EA1">
        <w:rPr>
          <w:sz w:val="22"/>
          <w:szCs w:val="22"/>
          <w:lang w:eastAsia="en-US"/>
        </w:rPr>
        <w:t>La tenue des revues semestrielles (en juin/juillet de chaque année) et annuelles (fin d’année) de l’exécution des plans de travail du Gouvernement et de l’Agence de mise en œuvre dans le cadre de leur programme de coopération. Pour l’UNICEF, les activités de ce projet seront prises en compte dans la prochaine revue semestrielle du programme de coopération planifiée pour juillet ;</w:t>
      </w:r>
    </w:p>
    <w:p w:rsidR="008B3F01" w:rsidRPr="009F7EA1" w:rsidRDefault="008B3F01" w:rsidP="008B3F01">
      <w:pPr>
        <w:widowControl w:val="0"/>
        <w:jc w:val="both"/>
        <w:rPr>
          <w:sz w:val="22"/>
          <w:szCs w:val="22"/>
          <w:lang w:eastAsia="en-US"/>
        </w:rPr>
      </w:pPr>
    </w:p>
    <w:p w:rsidR="000E4090" w:rsidRPr="009F7EA1" w:rsidRDefault="000E4090" w:rsidP="008B3F01">
      <w:pPr>
        <w:pStyle w:val="ListParagraph"/>
        <w:widowControl w:val="0"/>
        <w:numPr>
          <w:ilvl w:val="0"/>
          <w:numId w:val="33"/>
        </w:numPr>
        <w:jc w:val="both"/>
        <w:rPr>
          <w:sz w:val="22"/>
          <w:szCs w:val="22"/>
          <w:lang w:eastAsia="en-US"/>
        </w:rPr>
      </w:pPr>
      <w:r w:rsidRPr="009F7EA1">
        <w:rPr>
          <w:sz w:val="22"/>
          <w:szCs w:val="22"/>
          <w:lang w:eastAsia="en-US"/>
        </w:rPr>
        <w:t>La prise en compte des activités du présent projet dans les  rapports annuels des agences d’exécution dans le cadre de leur programme de coopération.</w:t>
      </w:r>
    </w:p>
    <w:p w:rsidR="008B3F01" w:rsidRPr="009F7EA1" w:rsidRDefault="008B3F01" w:rsidP="008B3F01">
      <w:pPr>
        <w:widowControl w:val="0"/>
        <w:jc w:val="both"/>
        <w:rPr>
          <w:sz w:val="22"/>
          <w:szCs w:val="22"/>
          <w:lang w:eastAsia="en-US"/>
        </w:rPr>
      </w:pPr>
    </w:p>
    <w:p w:rsidR="008B3F01" w:rsidRPr="009F7EA1" w:rsidRDefault="008B3F01" w:rsidP="008B3F01">
      <w:pPr>
        <w:pStyle w:val="ListParagraph"/>
        <w:widowControl w:val="0"/>
        <w:numPr>
          <w:ilvl w:val="0"/>
          <w:numId w:val="33"/>
        </w:numPr>
        <w:jc w:val="both"/>
        <w:rPr>
          <w:sz w:val="22"/>
          <w:szCs w:val="22"/>
          <w:lang w:eastAsia="en-US"/>
        </w:rPr>
      </w:pPr>
      <w:r w:rsidRPr="009F7EA1">
        <w:rPr>
          <w:sz w:val="22"/>
          <w:szCs w:val="22"/>
          <w:lang w:eastAsia="en-US"/>
        </w:rPr>
        <w:t xml:space="preserve">Il est prévu une revue </w:t>
      </w:r>
      <w:r w:rsidR="009F7EA1" w:rsidRPr="009F7EA1">
        <w:rPr>
          <w:sz w:val="22"/>
          <w:szCs w:val="22"/>
          <w:lang w:eastAsia="en-US"/>
        </w:rPr>
        <w:t>à</w:t>
      </w:r>
      <w:r w:rsidRPr="009F7EA1">
        <w:rPr>
          <w:sz w:val="22"/>
          <w:szCs w:val="22"/>
          <w:lang w:eastAsia="en-US"/>
        </w:rPr>
        <w:t xml:space="preserve"> mi-parcours du programme lors du premier trimestre de 2014</w:t>
      </w:r>
    </w:p>
    <w:p w:rsidR="00264361" w:rsidRDefault="00264361" w:rsidP="004D18B1">
      <w:pPr>
        <w:pStyle w:val="BodyText"/>
        <w:jc w:val="both"/>
        <w:rPr>
          <w:rFonts w:ascii="Times New Roman" w:hAnsi="Times New Roman"/>
          <w:sz w:val="24"/>
          <w:lang w:val="fr-FR"/>
        </w:rPr>
      </w:pPr>
    </w:p>
    <w:p w:rsidR="009F7EA1" w:rsidRDefault="009F7EA1" w:rsidP="004D18B1">
      <w:pPr>
        <w:pStyle w:val="BodyText"/>
        <w:jc w:val="both"/>
        <w:rPr>
          <w:rFonts w:ascii="Times New Roman" w:hAnsi="Times New Roman"/>
          <w:sz w:val="24"/>
          <w:lang w:val="fr-FR"/>
        </w:rPr>
      </w:pPr>
    </w:p>
    <w:p w:rsidR="00264361" w:rsidRPr="00334073" w:rsidRDefault="00264361" w:rsidP="004D18B1">
      <w:pPr>
        <w:pStyle w:val="BodyText"/>
        <w:numPr>
          <w:ilvl w:val="0"/>
          <w:numId w:val="1"/>
        </w:numPr>
        <w:jc w:val="both"/>
        <w:rPr>
          <w:rFonts w:ascii="Times New Roman" w:hAnsi="Times New Roman"/>
          <w:b/>
          <w:sz w:val="24"/>
          <w:lang w:val="fr-FR"/>
        </w:rPr>
      </w:pPr>
      <w:r w:rsidRPr="00334073">
        <w:rPr>
          <w:rFonts w:ascii="Times New Roman" w:hAnsi="Times New Roman"/>
          <w:b/>
          <w:sz w:val="24"/>
          <w:lang w:val="fr-FR"/>
        </w:rPr>
        <w:t xml:space="preserve">Révisions programmatiques (le cas échéant) </w:t>
      </w:r>
    </w:p>
    <w:p w:rsidR="00264361" w:rsidRPr="009F7EA1" w:rsidRDefault="00264361" w:rsidP="004D18B1">
      <w:pPr>
        <w:pStyle w:val="BodyText"/>
        <w:ind w:left="1080"/>
        <w:jc w:val="both"/>
        <w:rPr>
          <w:rFonts w:ascii="Times New Roman" w:hAnsi="Times New Roman"/>
          <w:sz w:val="24"/>
          <w:lang w:val="fr-FR"/>
        </w:rPr>
      </w:pPr>
    </w:p>
    <w:p w:rsidR="009F7EA1" w:rsidRDefault="009F0768" w:rsidP="009F7EA1">
      <w:pPr>
        <w:pStyle w:val="BodyText"/>
        <w:ind w:left="360"/>
        <w:jc w:val="both"/>
        <w:rPr>
          <w:rFonts w:ascii="Times New Roman" w:hAnsi="Times New Roman"/>
          <w:sz w:val="24"/>
          <w:lang w:val="fr-FR"/>
        </w:rPr>
      </w:pPr>
      <w:r>
        <w:rPr>
          <w:rFonts w:ascii="Times New Roman" w:hAnsi="Times New Roman"/>
          <w:sz w:val="24"/>
          <w:lang w:val="fr-FR"/>
        </w:rPr>
        <w:t>Pour les 05 mois restants du programme les actions suivantes restent à mettre en œuvre :</w:t>
      </w:r>
    </w:p>
    <w:p w:rsidR="009F0768" w:rsidRDefault="009F0768" w:rsidP="009F7EA1">
      <w:pPr>
        <w:pStyle w:val="BodyText"/>
        <w:ind w:left="360"/>
        <w:jc w:val="both"/>
        <w:rPr>
          <w:rFonts w:ascii="Times New Roman" w:hAnsi="Times New Roman"/>
          <w:sz w:val="24"/>
          <w:lang w:val="fr-FR"/>
        </w:rPr>
      </w:pPr>
    </w:p>
    <w:p w:rsidR="009F0768" w:rsidRDefault="009F0768"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Elaborer une politique sectorielle Genre pour les FDS (UNFPA/UNICEF)</w:t>
      </w:r>
    </w:p>
    <w:p w:rsidR="009F0768" w:rsidRDefault="009F0768"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Mise en place de 05 Cellules</w:t>
      </w:r>
      <w:r w:rsidR="00CD5D5D">
        <w:rPr>
          <w:rFonts w:ascii="Times New Roman" w:hAnsi="Times New Roman"/>
          <w:sz w:val="24"/>
          <w:lang w:val="fr-FR"/>
        </w:rPr>
        <w:t xml:space="preserve"> </w:t>
      </w:r>
      <w:r>
        <w:rPr>
          <w:rFonts w:ascii="Times New Roman" w:hAnsi="Times New Roman"/>
          <w:sz w:val="24"/>
          <w:lang w:val="fr-FR"/>
        </w:rPr>
        <w:t>VBG dans les commissariats de police (UNFPA)</w:t>
      </w:r>
    </w:p>
    <w:p w:rsidR="009F0768" w:rsidRDefault="009F0768"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 xml:space="preserve">Appui </w:t>
      </w:r>
      <w:proofErr w:type="spellStart"/>
      <w:r>
        <w:rPr>
          <w:rFonts w:ascii="Times New Roman" w:hAnsi="Times New Roman"/>
          <w:sz w:val="24"/>
          <w:lang w:val="fr-FR"/>
        </w:rPr>
        <w:t>a</w:t>
      </w:r>
      <w:proofErr w:type="spellEnd"/>
      <w:r>
        <w:rPr>
          <w:rFonts w:ascii="Times New Roman" w:hAnsi="Times New Roman"/>
          <w:sz w:val="24"/>
          <w:lang w:val="fr-FR"/>
        </w:rPr>
        <w:t xml:space="preserve"> l’opérationnalisation des 10 Cellules VBG (UNICEF)</w:t>
      </w:r>
    </w:p>
    <w:p w:rsidR="00CD5D5D" w:rsidRDefault="00CD5D5D"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Continuer la formation en leadership des femmes FDS</w:t>
      </w:r>
    </w:p>
    <w:p w:rsidR="009F0768" w:rsidRDefault="00CD5D5D"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Mettre à jour les POS en lien avec le dispositif de suivi du numéro 116 (UNFPA/UNICEF)</w:t>
      </w:r>
    </w:p>
    <w:p w:rsidR="00CD5D5D" w:rsidRDefault="00CD5D5D"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Développer des AGR en faveur des femmes victimes (PNUD)</w:t>
      </w:r>
    </w:p>
    <w:p w:rsidR="00CD5D5D" w:rsidRDefault="00CD5D5D"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Continuer l’accompagnement judiciaire de 118 victimes (PNUD)</w:t>
      </w:r>
    </w:p>
    <w:p w:rsidR="00CD5D5D" w:rsidRDefault="00CD5D5D"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Harmoniser et rendre fonctionnel la base de données (UNFPA/HCDH)</w:t>
      </w:r>
    </w:p>
    <w:p w:rsidR="00CD5D5D" w:rsidRDefault="00CD5D5D"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Fournir un appui institutionnel a l’Observatoire Nationale de Lutte contre les VBG (PNUD)</w:t>
      </w:r>
    </w:p>
    <w:p w:rsidR="00CD5D5D" w:rsidRDefault="00CD5D5D" w:rsidP="009F0768">
      <w:pPr>
        <w:pStyle w:val="BodyText"/>
        <w:numPr>
          <w:ilvl w:val="0"/>
          <w:numId w:val="36"/>
        </w:numPr>
        <w:jc w:val="both"/>
        <w:rPr>
          <w:rFonts w:ascii="Times New Roman" w:hAnsi="Times New Roman"/>
          <w:sz w:val="24"/>
          <w:lang w:val="fr-FR"/>
        </w:rPr>
      </w:pPr>
      <w:r>
        <w:rPr>
          <w:rFonts w:ascii="Times New Roman" w:hAnsi="Times New Roman"/>
          <w:sz w:val="24"/>
          <w:lang w:val="fr-FR"/>
        </w:rPr>
        <w:t>Appuyer le développement d’une législation en harmonie avec les conventions internationales et le développement de la jurisprudence (PNUD)</w:t>
      </w:r>
    </w:p>
    <w:p w:rsidR="009F0768" w:rsidRDefault="009F0768" w:rsidP="009F7EA1">
      <w:pPr>
        <w:pStyle w:val="BodyText"/>
        <w:ind w:left="360"/>
        <w:jc w:val="both"/>
        <w:rPr>
          <w:rFonts w:ascii="Times New Roman" w:hAnsi="Times New Roman"/>
          <w:sz w:val="24"/>
          <w:lang w:val="fr-FR"/>
        </w:rPr>
      </w:pPr>
    </w:p>
    <w:p w:rsidR="009F0768" w:rsidRPr="009F7EA1" w:rsidRDefault="009F0768" w:rsidP="009F7EA1">
      <w:pPr>
        <w:pStyle w:val="BodyText"/>
        <w:ind w:left="360"/>
        <w:jc w:val="both"/>
        <w:rPr>
          <w:rFonts w:ascii="Times New Roman" w:hAnsi="Times New Roman"/>
          <w:sz w:val="24"/>
          <w:lang w:val="fr-FR"/>
        </w:rPr>
      </w:pPr>
    </w:p>
    <w:p w:rsidR="00B66207" w:rsidRPr="00334073" w:rsidRDefault="00B66207" w:rsidP="004D18B1">
      <w:pPr>
        <w:pStyle w:val="BodyText"/>
        <w:ind w:firstLine="360"/>
        <w:jc w:val="both"/>
        <w:rPr>
          <w:rFonts w:ascii="Times New Roman" w:hAnsi="Times New Roman"/>
          <w:sz w:val="24"/>
          <w:lang w:val="fr-FR"/>
        </w:rPr>
      </w:pPr>
    </w:p>
    <w:p w:rsidR="009F0768" w:rsidRDefault="009F0768">
      <w:pPr>
        <w:rPr>
          <w:rFonts w:cs="Arial"/>
          <w:szCs w:val="20"/>
          <w:lang w:eastAsia="en-US"/>
        </w:rPr>
      </w:pPr>
      <w:r>
        <w:br w:type="page"/>
      </w:r>
    </w:p>
    <w:p w:rsidR="00264361" w:rsidRPr="00334073" w:rsidRDefault="00264361" w:rsidP="004D18B1">
      <w:pPr>
        <w:pStyle w:val="BodyText"/>
        <w:rPr>
          <w:rFonts w:ascii="Times New Roman" w:hAnsi="Times New Roman"/>
          <w:sz w:val="24"/>
          <w:lang w:val="fr-FR"/>
        </w:rPr>
      </w:pPr>
    </w:p>
    <w:p w:rsidR="00264361" w:rsidRDefault="00B66207" w:rsidP="00B66207">
      <w:pPr>
        <w:pStyle w:val="BodyText"/>
        <w:keepNext/>
        <w:keepLines/>
        <w:numPr>
          <w:ilvl w:val="0"/>
          <w:numId w:val="1"/>
        </w:numPr>
        <w:rPr>
          <w:rFonts w:ascii="Times New Roman" w:hAnsi="Times New Roman"/>
          <w:b/>
          <w:sz w:val="24"/>
          <w:lang w:val="fr-FR"/>
        </w:rPr>
      </w:pPr>
      <w:r>
        <w:rPr>
          <w:rFonts w:ascii="Times New Roman" w:hAnsi="Times New Roman"/>
          <w:b/>
          <w:sz w:val="24"/>
          <w:lang w:val="fr-FR"/>
        </w:rPr>
        <w:t xml:space="preserve">Ressources </w:t>
      </w:r>
    </w:p>
    <w:p w:rsidR="00B66207" w:rsidRDefault="00B66207" w:rsidP="00B66207">
      <w:pPr>
        <w:pStyle w:val="BodyText"/>
        <w:keepNext/>
        <w:keepLines/>
        <w:rPr>
          <w:rFonts w:ascii="Times New Roman" w:hAnsi="Times New Roman"/>
          <w:b/>
          <w:sz w:val="24"/>
          <w:lang w:val="fr-FR"/>
        </w:rPr>
      </w:pPr>
    </w:p>
    <w:p w:rsidR="006D3909" w:rsidRDefault="006D3909" w:rsidP="00B66207">
      <w:pPr>
        <w:pStyle w:val="BodyText"/>
        <w:keepNext/>
        <w:keepLines/>
        <w:rPr>
          <w:rFonts w:ascii="Times New Roman" w:hAnsi="Times New Roman"/>
          <w:b/>
          <w:sz w:val="24"/>
          <w:lang w:val="fr-FR"/>
        </w:rPr>
      </w:pPr>
      <w:r>
        <w:rPr>
          <w:rFonts w:ascii="Times New Roman" w:hAnsi="Times New Roman"/>
          <w:b/>
          <w:sz w:val="24"/>
          <w:lang w:val="fr-FR"/>
        </w:rPr>
        <w:t>5.1. Financières</w:t>
      </w:r>
    </w:p>
    <w:p w:rsidR="006D3909" w:rsidRDefault="006D3909" w:rsidP="00B66207">
      <w:pPr>
        <w:pStyle w:val="BodyText"/>
        <w:keepNext/>
        <w:keepLines/>
        <w:rPr>
          <w:rFonts w:ascii="Times New Roman" w:hAnsi="Times New Roman"/>
          <w:b/>
          <w:sz w:val="24"/>
          <w:lang w:val="fr-FR"/>
        </w:rPr>
      </w:pPr>
    </w:p>
    <w:p w:rsidR="00B66207" w:rsidRPr="00B60E20" w:rsidRDefault="00B66207" w:rsidP="006D3909">
      <w:pPr>
        <w:pStyle w:val="ListParagraph"/>
        <w:numPr>
          <w:ilvl w:val="0"/>
          <w:numId w:val="21"/>
        </w:numPr>
        <w:rPr>
          <w:rFonts w:cs="Arial"/>
          <w:sz w:val="22"/>
          <w:szCs w:val="22"/>
        </w:rPr>
      </w:pPr>
      <w:r w:rsidRPr="00B60E20">
        <w:rPr>
          <w:rFonts w:cs="Arial"/>
          <w:sz w:val="22"/>
          <w:szCs w:val="22"/>
        </w:rPr>
        <w:t xml:space="preserve">Le </w:t>
      </w:r>
      <w:r w:rsidRPr="00B60E20">
        <w:rPr>
          <w:rFonts w:cs="Arial"/>
          <w:b/>
          <w:sz w:val="22"/>
          <w:szCs w:val="22"/>
        </w:rPr>
        <w:t>taux d’exécution</w:t>
      </w:r>
      <w:r w:rsidRPr="00B60E20">
        <w:rPr>
          <w:rFonts w:cs="Arial"/>
          <w:sz w:val="22"/>
          <w:szCs w:val="22"/>
        </w:rPr>
        <w:t xml:space="preserve"> en fin 2013 est de </w:t>
      </w:r>
      <w:r w:rsidR="0041617A">
        <w:rPr>
          <w:rFonts w:cs="Arial"/>
          <w:b/>
          <w:sz w:val="22"/>
          <w:szCs w:val="22"/>
        </w:rPr>
        <w:t xml:space="preserve">753,095 </w:t>
      </w:r>
      <w:r w:rsidR="00760D83">
        <w:rPr>
          <w:rFonts w:cs="Arial"/>
          <w:b/>
          <w:sz w:val="22"/>
          <w:szCs w:val="22"/>
        </w:rPr>
        <w:t xml:space="preserve"> </w:t>
      </w:r>
      <w:r w:rsidRPr="00760D83">
        <w:rPr>
          <w:rFonts w:cs="Arial"/>
          <w:b/>
          <w:sz w:val="22"/>
          <w:szCs w:val="22"/>
        </w:rPr>
        <w:t>USD</w:t>
      </w:r>
      <w:r w:rsidRPr="00B60E20">
        <w:rPr>
          <w:rFonts w:cs="Arial"/>
          <w:sz w:val="22"/>
          <w:szCs w:val="22"/>
        </w:rPr>
        <w:t xml:space="preserve"> soit </w:t>
      </w:r>
      <w:r w:rsidR="0041617A">
        <w:rPr>
          <w:rFonts w:cs="Arial"/>
          <w:b/>
          <w:sz w:val="22"/>
          <w:szCs w:val="22"/>
        </w:rPr>
        <w:t>75</w:t>
      </w:r>
      <w:r w:rsidRPr="00760D83">
        <w:rPr>
          <w:rFonts w:cs="Arial"/>
          <w:b/>
          <w:sz w:val="22"/>
          <w:szCs w:val="22"/>
        </w:rPr>
        <w:t>%</w:t>
      </w:r>
      <w:r w:rsidRPr="00B60E20">
        <w:rPr>
          <w:rFonts w:cs="Arial"/>
          <w:sz w:val="22"/>
          <w:szCs w:val="22"/>
        </w:rPr>
        <w:t xml:space="preserve"> du budget total du projet. Les dépenses par agences se présentent  comme </w:t>
      </w:r>
      <w:r w:rsidR="00B30DF2" w:rsidRPr="00B60E20">
        <w:rPr>
          <w:rFonts w:cs="Arial"/>
          <w:sz w:val="22"/>
          <w:szCs w:val="22"/>
        </w:rPr>
        <w:t>suit :</w:t>
      </w:r>
    </w:p>
    <w:p w:rsidR="00B66207" w:rsidRPr="00334073" w:rsidRDefault="00B66207" w:rsidP="00B66207">
      <w:pPr>
        <w:pStyle w:val="BodyText"/>
        <w:keepNext/>
        <w:keepLines/>
        <w:rPr>
          <w:rFonts w:ascii="Times New Roman" w:hAnsi="Times New Roman"/>
          <w:b/>
          <w:sz w:val="24"/>
          <w:lang w:val="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9"/>
        <w:gridCol w:w="1530"/>
        <w:gridCol w:w="1447"/>
        <w:gridCol w:w="1529"/>
        <w:gridCol w:w="1701"/>
        <w:gridCol w:w="1276"/>
      </w:tblGrid>
      <w:tr w:rsidR="006D3909" w:rsidTr="006D3909">
        <w:trPr>
          <w:trHeight w:val="360"/>
        </w:trPr>
        <w:tc>
          <w:tcPr>
            <w:tcW w:w="1839" w:type="dxa"/>
            <w:shd w:val="clear" w:color="auto" w:fill="D9D9D9"/>
          </w:tcPr>
          <w:p w:rsidR="006D3909" w:rsidRPr="00796C1F" w:rsidRDefault="006D3909" w:rsidP="00B66207">
            <w:pPr>
              <w:rPr>
                <w:rFonts w:ascii="Arial" w:hAnsi="Arial" w:cs="Arial"/>
                <w:b/>
                <w:sz w:val="20"/>
                <w:szCs w:val="20"/>
              </w:rPr>
            </w:pPr>
            <w:r>
              <w:rPr>
                <w:rFonts w:ascii="Arial" w:hAnsi="Arial" w:cs="Arial"/>
                <w:b/>
                <w:sz w:val="20"/>
                <w:szCs w:val="20"/>
              </w:rPr>
              <w:t>AGENCE D’EXECUTION</w:t>
            </w:r>
          </w:p>
        </w:tc>
        <w:tc>
          <w:tcPr>
            <w:tcW w:w="1530" w:type="dxa"/>
            <w:shd w:val="clear" w:color="auto" w:fill="D9D9D9"/>
          </w:tcPr>
          <w:p w:rsidR="006D3909" w:rsidRDefault="006D3909" w:rsidP="00B66207">
            <w:pPr>
              <w:jc w:val="center"/>
              <w:rPr>
                <w:rFonts w:ascii="Arial" w:hAnsi="Arial" w:cs="Arial"/>
                <w:b/>
                <w:sz w:val="20"/>
                <w:szCs w:val="20"/>
              </w:rPr>
            </w:pPr>
            <w:r>
              <w:rPr>
                <w:rFonts w:ascii="Arial" w:hAnsi="Arial" w:cs="Arial"/>
                <w:b/>
                <w:sz w:val="20"/>
                <w:szCs w:val="20"/>
              </w:rPr>
              <w:t>DEPENSES (USD)</w:t>
            </w:r>
          </w:p>
          <w:p w:rsidR="006D3909" w:rsidRPr="00796C1F" w:rsidRDefault="006D3909" w:rsidP="00B66207">
            <w:pPr>
              <w:jc w:val="center"/>
              <w:rPr>
                <w:rFonts w:ascii="Arial" w:hAnsi="Arial" w:cs="Arial"/>
                <w:b/>
                <w:sz w:val="20"/>
                <w:szCs w:val="20"/>
              </w:rPr>
            </w:pPr>
            <w:r w:rsidRPr="00796C1F">
              <w:rPr>
                <w:rFonts w:ascii="Arial" w:hAnsi="Arial" w:cs="Arial"/>
                <w:b/>
                <w:sz w:val="20"/>
                <w:szCs w:val="20"/>
              </w:rPr>
              <w:t>2012</w:t>
            </w:r>
            <w:r w:rsidRPr="00796C1F">
              <w:rPr>
                <w:rStyle w:val="FootnoteReference"/>
                <w:rFonts w:ascii="Arial" w:hAnsi="Arial" w:cs="Arial"/>
                <w:b/>
                <w:sz w:val="20"/>
                <w:szCs w:val="20"/>
              </w:rPr>
              <w:footnoteReference w:id="2"/>
            </w:r>
          </w:p>
        </w:tc>
        <w:tc>
          <w:tcPr>
            <w:tcW w:w="1447" w:type="dxa"/>
            <w:shd w:val="clear" w:color="auto" w:fill="D9D9D9"/>
          </w:tcPr>
          <w:p w:rsidR="006D3909" w:rsidRDefault="006D3909" w:rsidP="00B66207">
            <w:pPr>
              <w:jc w:val="center"/>
              <w:rPr>
                <w:rFonts w:ascii="Arial" w:hAnsi="Arial" w:cs="Arial"/>
                <w:b/>
                <w:sz w:val="20"/>
                <w:szCs w:val="20"/>
              </w:rPr>
            </w:pPr>
            <w:r>
              <w:rPr>
                <w:rFonts w:ascii="Arial" w:hAnsi="Arial" w:cs="Arial"/>
                <w:b/>
                <w:sz w:val="20"/>
                <w:szCs w:val="20"/>
              </w:rPr>
              <w:t>DEPENSES</w:t>
            </w:r>
          </w:p>
          <w:p w:rsidR="006D3909" w:rsidRDefault="006D3909" w:rsidP="00B66207">
            <w:pPr>
              <w:jc w:val="center"/>
              <w:rPr>
                <w:rFonts w:ascii="Arial" w:hAnsi="Arial" w:cs="Arial"/>
                <w:b/>
                <w:sz w:val="20"/>
                <w:szCs w:val="20"/>
              </w:rPr>
            </w:pPr>
            <w:r>
              <w:rPr>
                <w:rFonts w:ascii="Arial" w:hAnsi="Arial" w:cs="Arial"/>
                <w:b/>
                <w:sz w:val="20"/>
                <w:szCs w:val="20"/>
              </w:rPr>
              <w:t>(USD)</w:t>
            </w:r>
          </w:p>
          <w:p w:rsidR="006D3909" w:rsidRPr="00796C1F" w:rsidRDefault="006D3909" w:rsidP="00B66207">
            <w:pPr>
              <w:jc w:val="center"/>
              <w:rPr>
                <w:rFonts w:ascii="Arial" w:hAnsi="Arial" w:cs="Arial"/>
                <w:b/>
                <w:sz w:val="20"/>
                <w:szCs w:val="20"/>
              </w:rPr>
            </w:pPr>
            <w:r w:rsidRPr="00796C1F">
              <w:rPr>
                <w:rFonts w:ascii="Arial" w:hAnsi="Arial" w:cs="Arial"/>
                <w:b/>
                <w:sz w:val="20"/>
                <w:szCs w:val="20"/>
              </w:rPr>
              <w:t>2013</w:t>
            </w:r>
          </w:p>
        </w:tc>
        <w:tc>
          <w:tcPr>
            <w:tcW w:w="1529" w:type="dxa"/>
            <w:shd w:val="clear" w:color="auto" w:fill="D9D9D9"/>
          </w:tcPr>
          <w:p w:rsidR="006D3909" w:rsidRPr="00796C1F" w:rsidRDefault="006D3909" w:rsidP="00B66207">
            <w:pPr>
              <w:rPr>
                <w:rFonts w:ascii="Arial" w:hAnsi="Arial" w:cs="Arial"/>
                <w:b/>
                <w:sz w:val="20"/>
                <w:szCs w:val="20"/>
              </w:rPr>
            </w:pPr>
            <w:r w:rsidRPr="00796C1F">
              <w:rPr>
                <w:rFonts w:ascii="Arial" w:hAnsi="Arial" w:cs="Arial"/>
                <w:b/>
                <w:sz w:val="20"/>
                <w:szCs w:val="20"/>
              </w:rPr>
              <w:t>TOTAL</w:t>
            </w:r>
            <w:r>
              <w:rPr>
                <w:rFonts w:ascii="Arial" w:hAnsi="Arial" w:cs="Arial"/>
                <w:b/>
                <w:sz w:val="20"/>
                <w:szCs w:val="20"/>
              </w:rPr>
              <w:t xml:space="preserve"> DEPENSES (USD)</w:t>
            </w:r>
          </w:p>
        </w:tc>
        <w:tc>
          <w:tcPr>
            <w:tcW w:w="1701" w:type="dxa"/>
            <w:shd w:val="clear" w:color="auto" w:fill="D9D9D9"/>
          </w:tcPr>
          <w:p w:rsidR="006D3909" w:rsidRDefault="006D3909" w:rsidP="00B66207">
            <w:pPr>
              <w:rPr>
                <w:rFonts w:ascii="Arial" w:hAnsi="Arial" w:cs="Arial"/>
                <w:b/>
                <w:sz w:val="20"/>
                <w:szCs w:val="20"/>
              </w:rPr>
            </w:pPr>
            <w:r>
              <w:rPr>
                <w:rFonts w:ascii="Arial" w:hAnsi="Arial" w:cs="Arial"/>
                <w:b/>
                <w:sz w:val="20"/>
                <w:szCs w:val="20"/>
              </w:rPr>
              <w:t>TAUX D’EXECUTION GLOBAL (%)</w:t>
            </w:r>
          </w:p>
        </w:tc>
        <w:tc>
          <w:tcPr>
            <w:tcW w:w="1276" w:type="dxa"/>
            <w:shd w:val="clear" w:color="auto" w:fill="D9D9D9"/>
          </w:tcPr>
          <w:p w:rsidR="006D3909" w:rsidRDefault="006D3909" w:rsidP="00B66207">
            <w:pPr>
              <w:rPr>
                <w:rFonts w:ascii="Arial" w:hAnsi="Arial" w:cs="Arial"/>
                <w:b/>
                <w:sz w:val="20"/>
                <w:szCs w:val="20"/>
              </w:rPr>
            </w:pPr>
            <w:r>
              <w:rPr>
                <w:rFonts w:ascii="Arial" w:hAnsi="Arial" w:cs="Arial"/>
                <w:b/>
                <w:sz w:val="20"/>
                <w:szCs w:val="20"/>
              </w:rPr>
              <w:t xml:space="preserve">RELIQUAT </w:t>
            </w:r>
          </w:p>
          <w:p w:rsidR="006D3909" w:rsidRPr="00796C1F" w:rsidRDefault="006D3909" w:rsidP="00B66207">
            <w:pPr>
              <w:rPr>
                <w:rFonts w:ascii="Arial" w:hAnsi="Arial" w:cs="Arial"/>
                <w:b/>
                <w:sz w:val="20"/>
                <w:szCs w:val="20"/>
              </w:rPr>
            </w:pPr>
            <w:r>
              <w:rPr>
                <w:rFonts w:ascii="Arial" w:hAnsi="Arial" w:cs="Arial"/>
                <w:b/>
                <w:sz w:val="20"/>
                <w:szCs w:val="20"/>
              </w:rPr>
              <w:t>2014</w:t>
            </w:r>
          </w:p>
        </w:tc>
      </w:tr>
      <w:tr w:rsidR="006D3909" w:rsidRPr="00893241" w:rsidTr="006D3909">
        <w:trPr>
          <w:trHeight w:val="360"/>
        </w:trPr>
        <w:tc>
          <w:tcPr>
            <w:tcW w:w="1839" w:type="dxa"/>
            <w:shd w:val="clear" w:color="auto" w:fill="auto"/>
          </w:tcPr>
          <w:p w:rsidR="006D3909" w:rsidRPr="004C3706" w:rsidRDefault="006D3909" w:rsidP="00B66207">
            <w:pPr>
              <w:rPr>
                <w:rFonts w:ascii="Arial" w:hAnsi="Arial" w:cs="Arial"/>
                <w:b/>
              </w:rPr>
            </w:pPr>
            <w:r w:rsidRPr="004C3706">
              <w:rPr>
                <w:rFonts w:ascii="Arial" w:hAnsi="Arial" w:cs="Arial"/>
                <w:b/>
                <w:sz w:val="22"/>
                <w:szCs w:val="22"/>
              </w:rPr>
              <w:t xml:space="preserve">UNDP </w:t>
            </w:r>
          </w:p>
        </w:tc>
        <w:tc>
          <w:tcPr>
            <w:tcW w:w="1530" w:type="dxa"/>
            <w:shd w:val="clear" w:color="auto" w:fill="auto"/>
            <w:vAlign w:val="center"/>
          </w:tcPr>
          <w:p w:rsidR="006D3909" w:rsidRPr="006209F1" w:rsidRDefault="00A66C48" w:rsidP="00B66207">
            <w:pPr>
              <w:jc w:val="center"/>
              <w:rPr>
                <w:rFonts w:ascii="Arial" w:hAnsi="Arial" w:cs="Arial"/>
                <w:color w:val="FFFF00"/>
              </w:rPr>
            </w:pPr>
            <w:r>
              <w:rPr>
                <w:rFonts w:ascii="Arial" w:hAnsi="Arial" w:cs="Arial"/>
                <w:color w:val="000000"/>
                <w:sz w:val="22"/>
                <w:szCs w:val="22"/>
              </w:rPr>
              <w:t>15,000</w:t>
            </w:r>
          </w:p>
        </w:tc>
        <w:tc>
          <w:tcPr>
            <w:tcW w:w="1447" w:type="dxa"/>
            <w:shd w:val="clear" w:color="auto" w:fill="auto"/>
            <w:vAlign w:val="center"/>
          </w:tcPr>
          <w:p w:rsidR="006D3909" w:rsidRPr="004C3706" w:rsidRDefault="00943B2D" w:rsidP="00B66207">
            <w:pPr>
              <w:jc w:val="center"/>
              <w:rPr>
                <w:rFonts w:ascii="Arial" w:hAnsi="Arial" w:cs="Arial"/>
                <w:color w:val="000000"/>
              </w:rPr>
            </w:pPr>
            <w:r w:rsidRPr="00943B2D">
              <w:rPr>
                <w:rFonts w:ascii="Arial" w:hAnsi="Arial" w:cs="Arial"/>
                <w:color w:val="000000"/>
                <w:sz w:val="22"/>
                <w:szCs w:val="22"/>
              </w:rPr>
              <w:t>107.206</w:t>
            </w:r>
          </w:p>
        </w:tc>
        <w:tc>
          <w:tcPr>
            <w:tcW w:w="1529" w:type="dxa"/>
            <w:shd w:val="clear" w:color="auto" w:fill="auto"/>
            <w:vAlign w:val="center"/>
          </w:tcPr>
          <w:p w:rsidR="006D3909" w:rsidRPr="004C3706" w:rsidRDefault="00A66C48" w:rsidP="00B66207">
            <w:pPr>
              <w:jc w:val="center"/>
              <w:rPr>
                <w:rFonts w:ascii="Arial" w:hAnsi="Arial" w:cs="Arial"/>
                <w:color w:val="000000"/>
              </w:rPr>
            </w:pPr>
            <w:r w:rsidRPr="00A66C48">
              <w:rPr>
                <w:rFonts w:ascii="Arial" w:hAnsi="Arial" w:cs="Arial"/>
                <w:color w:val="000000"/>
                <w:sz w:val="22"/>
                <w:szCs w:val="22"/>
              </w:rPr>
              <w:t>122.206</w:t>
            </w:r>
          </w:p>
        </w:tc>
        <w:tc>
          <w:tcPr>
            <w:tcW w:w="1701" w:type="dxa"/>
          </w:tcPr>
          <w:p w:rsidR="006D3909" w:rsidRPr="004C3706" w:rsidRDefault="00A66C48" w:rsidP="00B66207">
            <w:pPr>
              <w:jc w:val="center"/>
              <w:rPr>
                <w:rFonts w:ascii="Arial" w:hAnsi="Arial" w:cs="Arial"/>
                <w:color w:val="000000"/>
              </w:rPr>
            </w:pPr>
            <w:r w:rsidRPr="00A66C48">
              <w:rPr>
                <w:rFonts w:ascii="Arial" w:hAnsi="Arial" w:cs="Arial"/>
                <w:color w:val="000000"/>
                <w:sz w:val="22"/>
                <w:szCs w:val="22"/>
              </w:rPr>
              <w:t>53</w:t>
            </w:r>
            <w:r>
              <w:rPr>
                <w:rFonts w:ascii="Arial" w:hAnsi="Arial" w:cs="Arial"/>
                <w:color w:val="000000"/>
              </w:rPr>
              <w:t>%</w:t>
            </w:r>
          </w:p>
        </w:tc>
        <w:tc>
          <w:tcPr>
            <w:tcW w:w="1276" w:type="dxa"/>
            <w:shd w:val="clear" w:color="auto" w:fill="auto"/>
          </w:tcPr>
          <w:p w:rsidR="006D3909" w:rsidRPr="004C3706" w:rsidRDefault="00A66C48" w:rsidP="00B66207">
            <w:pPr>
              <w:jc w:val="center"/>
              <w:rPr>
                <w:rFonts w:ascii="Arial" w:hAnsi="Arial" w:cs="Arial"/>
                <w:color w:val="000000"/>
              </w:rPr>
            </w:pPr>
            <w:r w:rsidRPr="00A66C48">
              <w:rPr>
                <w:rFonts w:ascii="Arial" w:hAnsi="Arial" w:cs="Arial"/>
                <w:color w:val="000000"/>
                <w:sz w:val="22"/>
                <w:szCs w:val="22"/>
              </w:rPr>
              <w:t>107,394</w:t>
            </w:r>
          </w:p>
        </w:tc>
      </w:tr>
      <w:tr w:rsidR="006D3909" w:rsidRPr="00893241" w:rsidTr="00542C5C">
        <w:trPr>
          <w:trHeight w:val="386"/>
        </w:trPr>
        <w:tc>
          <w:tcPr>
            <w:tcW w:w="1839" w:type="dxa"/>
            <w:shd w:val="clear" w:color="auto" w:fill="auto"/>
          </w:tcPr>
          <w:p w:rsidR="006D3909" w:rsidRPr="004C3706" w:rsidRDefault="006D3909" w:rsidP="00B66207">
            <w:pPr>
              <w:rPr>
                <w:rFonts w:ascii="Arial" w:hAnsi="Arial" w:cs="Arial"/>
                <w:b/>
              </w:rPr>
            </w:pPr>
            <w:r w:rsidRPr="004C3706">
              <w:rPr>
                <w:rFonts w:ascii="Arial" w:hAnsi="Arial" w:cs="Arial"/>
                <w:b/>
                <w:sz w:val="22"/>
                <w:szCs w:val="22"/>
              </w:rPr>
              <w:t>UNFPA</w:t>
            </w:r>
          </w:p>
        </w:tc>
        <w:tc>
          <w:tcPr>
            <w:tcW w:w="1530" w:type="dxa"/>
            <w:shd w:val="clear" w:color="auto" w:fill="auto"/>
            <w:vAlign w:val="center"/>
          </w:tcPr>
          <w:p w:rsidR="006D3909" w:rsidRPr="004C3706" w:rsidRDefault="006D3909" w:rsidP="00542C5C">
            <w:pPr>
              <w:jc w:val="center"/>
              <w:rPr>
                <w:rFonts w:ascii="Arial" w:hAnsi="Arial" w:cs="Arial"/>
                <w:color w:val="000000"/>
              </w:rPr>
            </w:pPr>
            <w:r w:rsidRPr="004C3706">
              <w:rPr>
                <w:rFonts w:ascii="Arial" w:hAnsi="Arial" w:cs="Arial"/>
                <w:color w:val="000000"/>
                <w:sz w:val="22"/>
                <w:szCs w:val="22"/>
              </w:rPr>
              <w:t>94,645</w:t>
            </w:r>
          </w:p>
        </w:tc>
        <w:tc>
          <w:tcPr>
            <w:tcW w:w="1447" w:type="dxa"/>
            <w:shd w:val="clear" w:color="auto" w:fill="auto"/>
            <w:vAlign w:val="center"/>
          </w:tcPr>
          <w:p w:rsidR="006D3909" w:rsidRPr="004C3706" w:rsidRDefault="00B2523F" w:rsidP="00542C5C">
            <w:pPr>
              <w:jc w:val="center"/>
              <w:rPr>
                <w:rFonts w:ascii="Arial" w:hAnsi="Arial" w:cs="Arial"/>
                <w:color w:val="000000"/>
              </w:rPr>
            </w:pPr>
            <w:r>
              <w:rPr>
                <w:rFonts w:ascii="Arial" w:hAnsi="Arial" w:cs="Arial"/>
                <w:color w:val="000000"/>
                <w:sz w:val="22"/>
                <w:szCs w:val="22"/>
              </w:rPr>
              <w:t>201</w:t>
            </w:r>
            <w:r w:rsidR="00FC7579" w:rsidRPr="004C3706">
              <w:rPr>
                <w:rFonts w:ascii="Arial" w:hAnsi="Arial" w:cs="Arial"/>
                <w:color w:val="000000"/>
                <w:sz w:val="22"/>
                <w:szCs w:val="22"/>
              </w:rPr>
              <w:t>,124</w:t>
            </w:r>
          </w:p>
        </w:tc>
        <w:tc>
          <w:tcPr>
            <w:tcW w:w="1529" w:type="dxa"/>
            <w:shd w:val="clear" w:color="auto" w:fill="auto"/>
            <w:vAlign w:val="center"/>
          </w:tcPr>
          <w:p w:rsidR="006D3909" w:rsidRPr="004C3706" w:rsidRDefault="00FC7579" w:rsidP="00B2523F">
            <w:pPr>
              <w:jc w:val="center"/>
              <w:rPr>
                <w:rFonts w:ascii="Arial" w:hAnsi="Arial" w:cs="Arial"/>
                <w:color w:val="000000"/>
              </w:rPr>
            </w:pPr>
            <w:r w:rsidRPr="004C3706">
              <w:rPr>
                <w:rFonts w:ascii="Arial" w:hAnsi="Arial" w:cs="Arial"/>
                <w:color w:val="000000"/>
                <w:sz w:val="22"/>
                <w:szCs w:val="22"/>
              </w:rPr>
              <w:t>2</w:t>
            </w:r>
            <w:r w:rsidR="00B2523F">
              <w:rPr>
                <w:rFonts w:ascii="Arial" w:hAnsi="Arial" w:cs="Arial"/>
                <w:color w:val="000000"/>
                <w:sz w:val="22"/>
                <w:szCs w:val="22"/>
              </w:rPr>
              <w:t>96</w:t>
            </w:r>
            <w:r w:rsidRPr="004C3706">
              <w:rPr>
                <w:rFonts w:ascii="Arial" w:hAnsi="Arial" w:cs="Arial"/>
                <w:color w:val="000000"/>
                <w:sz w:val="22"/>
                <w:szCs w:val="22"/>
              </w:rPr>
              <w:t>,</w:t>
            </w:r>
            <w:r w:rsidR="00B2523F">
              <w:rPr>
                <w:rFonts w:ascii="Arial" w:hAnsi="Arial" w:cs="Arial"/>
                <w:color w:val="000000"/>
                <w:sz w:val="22"/>
                <w:szCs w:val="22"/>
              </w:rPr>
              <w:t>045</w:t>
            </w:r>
          </w:p>
        </w:tc>
        <w:tc>
          <w:tcPr>
            <w:tcW w:w="1701" w:type="dxa"/>
            <w:vAlign w:val="center"/>
          </w:tcPr>
          <w:p w:rsidR="006D3909" w:rsidRPr="004C3706" w:rsidRDefault="00B2523F" w:rsidP="00A66C48">
            <w:pPr>
              <w:jc w:val="center"/>
              <w:rPr>
                <w:rFonts w:ascii="Arial" w:hAnsi="Arial" w:cs="Arial"/>
                <w:color w:val="000000"/>
              </w:rPr>
            </w:pPr>
            <w:r>
              <w:rPr>
                <w:rFonts w:ascii="Arial" w:hAnsi="Arial" w:cs="Arial"/>
                <w:color w:val="000000"/>
                <w:sz w:val="22"/>
                <w:szCs w:val="22"/>
              </w:rPr>
              <w:t>70</w:t>
            </w:r>
            <w:r w:rsidR="00A66C48">
              <w:rPr>
                <w:rFonts w:ascii="Arial" w:hAnsi="Arial" w:cs="Arial"/>
                <w:color w:val="000000"/>
                <w:sz w:val="22"/>
                <w:szCs w:val="22"/>
              </w:rPr>
              <w:t>%</w:t>
            </w:r>
          </w:p>
        </w:tc>
        <w:tc>
          <w:tcPr>
            <w:tcW w:w="1276" w:type="dxa"/>
            <w:shd w:val="clear" w:color="auto" w:fill="auto"/>
            <w:vAlign w:val="center"/>
          </w:tcPr>
          <w:p w:rsidR="006D3909" w:rsidRPr="004C3706" w:rsidRDefault="00B2523F" w:rsidP="00542C5C">
            <w:pPr>
              <w:jc w:val="center"/>
              <w:rPr>
                <w:rFonts w:ascii="Arial" w:hAnsi="Arial" w:cs="Arial"/>
                <w:b/>
                <w:i/>
              </w:rPr>
            </w:pPr>
            <w:r>
              <w:rPr>
                <w:rFonts w:ascii="Arial" w:hAnsi="Arial" w:cs="Arial"/>
                <w:color w:val="000000"/>
                <w:sz w:val="22"/>
                <w:szCs w:val="22"/>
              </w:rPr>
              <w:t>125,000</w:t>
            </w:r>
          </w:p>
        </w:tc>
      </w:tr>
      <w:tr w:rsidR="00995459" w:rsidRPr="00893241" w:rsidTr="00995459">
        <w:trPr>
          <w:trHeight w:val="386"/>
        </w:trPr>
        <w:tc>
          <w:tcPr>
            <w:tcW w:w="1839" w:type="dxa"/>
            <w:shd w:val="clear" w:color="auto" w:fill="auto"/>
          </w:tcPr>
          <w:p w:rsidR="00995459" w:rsidRPr="004C3706" w:rsidRDefault="00995459" w:rsidP="00B66207">
            <w:pPr>
              <w:rPr>
                <w:rFonts w:ascii="Arial" w:hAnsi="Arial" w:cs="Arial"/>
                <w:b/>
              </w:rPr>
            </w:pPr>
            <w:r w:rsidRPr="004C3706">
              <w:rPr>
                <w:rFonts w:ascii="Arial" w:hAnsi="Arial" w:cs="Arial"/>
                <w:b/>
                <w:sz w:val="22"/>
                <w:szCs w:val="22"/>
              </w:rPr>
              <w:t>UNICEF</w:t>
            </w:r>
          </w:p>
        </w:tc>
        <w:tc>
          <w:tcPr>
            <w:tcW w:w="1530" w:type="dxa"/>
            <w:tcBorders>
              <w:bottom w:val="single" w:sz="4" w:space="0" w:color="000000"/>
            </w:tcBorders>
            <w:shd w:val="clear" w:color="auto" w:fill="auto"/>
            <w:vAlign w:val="center"/>
          </w:tcPr>
          <w:p w:rsidR="00995459" w:rsidRPr="004C3706" w:rsidRDefault="00FC7579" w:rsidP="00995459">
            <w:pPr>
              <w:jc w:val="center"/>
              <w:rPr>
                <w:rFonts w:ascii="Arial" w:hAnsi="Arial" w:cs="Arial"/>
                <w:color w:val="000000"/>
              </w:rPr>
            </w:pPr>
            <w:r w:rsidRPr="004C3706">
              <w:rPr>
                <w:rFonts w:ascii="Arial" w:hAnsi="Arial" w:cs="Arial"/>
                <w:color w:val="000000"/>
                <w:sz w:val="22"/>
                <w:szCs w:val="22"/>
              </w:rPr>
              <w:t>52,355</w:t>
            </w:r>
          </w:p>
        </w:tc>
        <w:tc>
          <w:tcPr>
            <w:tcW w:w="1447" w:type="dxa"/>
            <w:tcBorders>
              <w:bottom w:val="single" w:sz="4" w:space="0" w:color="000000"/>
            </w:tcBorders>
            <w:shd w:val="clear" w:color="auto" w:fill="auto"/>
            <w:vAlign w:val="center"/>
          </w:tcPr>
          <w:p w:rsidR="00995459" w:rsidRPr="004C3706" w:rsidRDefault="00995459" w:rsidP="00995459">
            <w:pPr>
              <w:jc w:val="center"/>
              <w:rPr>
                <w:rFonts w:ascii="Arial" w:hAnsi="Arial" w:cs="Arial"/>
                <w:color w:val="000000"/>
              </w:rPr>
            </w:pPr>
            <w:r w:rsidRPr="004C3706">
              <w:rPr>
                <w:rFonts w:ascii="Arial" w:hAnsi="Arial" w:cs="Arial"/>
                <w:color w:val="000000"/>
                <w:sz w:val="22"/>
                <w:szCs w:val="22"/>
              </w:rPr>
              <w:t>282,489</w:t>
            </w:r>
          </w:p>
        </w:tc>
        <w:tc>
          <w:tcPr>
            <w:tcW w:w="1529" w:type="dxa"/>
            <w:tcBorders>
              <w:bottom w:val="single" w:sz="4" w:space="0" w:color="000000"/>
            </w:tcBorders>
            <w:shd w:val="clear" w:color="auto" w:fill="auto"/>
            <w:vAlign w:val="center"/>
          </w:tcPr>
          <w:p w:rsidR="00995459" w:rsidRPr="004C3706" w:rsidRDefault="00995459" w:rsidP="00995459">
            <w:pPr>
              <w:jc w:val="center"/>
              <w:rPr>
                <w:rFonts w:ascii="Arial" w:hAnsi="Arial" w:cs="Arial"/>
                <w:color w:val="000000"/>
              </w:rPr>
            </w:pPr>
            <w:r w:rsidRPr="004C3706">
              <w:rPr>
                <w:rFonts w:ascii="Arial" w:hAnsi="Arial" w:cs="Arial"/>
                <w:color w:val="000000"/>
                <w:sz w:val="22"/>
                <w:szCs w:val="22"/>
              </w:rPr>
              <w:t>334,844</w:t>
            </w:r>
          </w:p>
        </w:tc>
        <w:tc>
          <w:tcPr>
            <w:tcW w:w="1701" w:type="dxa"/>
            <w:tcBorders>
              <w:bottom w:val="single" w:sz="4" w:space="0" w:color="000000"/>
            </w:tcBorders>
            <w:vAlign w:val="center"/>
          </w:tcPr>
          <w:p w:rsidR="00995459" w:rsidRPr="004C3706" w:rsidRDefault="00A66C48" w:rsidP="00995459">
            <w:pPr>
              <w:jc w:val="center"/>
              <w:rPr>
                <w:rFonts w:ascii="Arial" w:hAnsi="Arial" w:cs="Arial"/>
                <w:color w:val="000000"/>
              </w:rPr>
            </w:pPr>
            <w:r>
              <w:rPr>
                <w:rFonts w:ascii="Arial" w:hAnsi="Arial" w:cs="Arial"/>
                <w:color w:val="000000"/>
                <w:sz w:val="22"/>
                <w:szCs w:val="22"/>
              </w:rPr>
              <w:t>96%</w:t>
            </w:r>
          </w:p>
        </w:tc>
        <w:tc>
          <w:tcPr>
            <w:tcW w:w="1276" w:type="dxa"/>
            <w:tcBorders>
              <w:bottom w:val="single" w:sz="4" w:space="0" w:color="000000"/>
            </w:tcBorders>
            <w:shd w:val="clear" w:color="auto" w:fill="auto"/>
            <w:vAlign w:val="center"/>
          </w:tcPr>
          <w:p w:rsidR="00995459" w:rsidRPr="004C3706" w:rsidRDefault="00995459" w:rsidP="00995459">
            <w:pPr>
              <w:jc w:val="center"/>
              <w:rPr>
                <w:rFonts w:ascii="Arial" w:hAnsi="Arial" w:cs="Arial"/>
                <w:color w:val="000000"/>
              </w:rPr>
            </w:pPr>
            <w:r w:rsidRPr="004C3706">
              <w:rPr>
                <w:rFonts w:ascii="Arial" w:hAnsi="Arial" w:cs="Arial"/>
                <w:color w:val="000000"/>
                <w:sz w:val="22"/>
                <w:szCs w:val="22"/>
              </w:rPr>
              <w:t>14,511</w:t>
            </w:r>
          </w:p>
        </w:tc>
      </w:tr>
      <w:tr w:rsidR="00995459" w:rsidRPr="00893241" w:rsidTr="000E00CD">
        <w:trPr>
          <w:trHeight w:val="386"/>
        </w:trPr>
        <w:tc>
          <w:tcPr>
            <w:tcW w:w="1839" w:type="dxa"/>
            <w:shd w:val="clear" w:color="auto" w:fill="auto"/>
          </w:tcPr>
          <w:p w:rsidR="00995459" w:rsidRPr="00C36738" w:rsidRDefault="00995459" w:rsidP="00B66207">
            <w:pPr>
              <w:jc w:val="right"/>
              <w:rPr>
                <w:rFonts w:ascii="Arial" w:hAnsi="Arial" w:cs="Arial"/>
                <w:b/>
                <w:i/>
              </w:rPr>
            </w:pPr>
            <w:r w:rsidRPr="00C36738">
              <w:rPr>
                <w:rFonts w:ascii="Arial" w:hAnsi="Arial" w:cs="Arial"/>
                <w:b/>
                <w:i/>
              </w:rPr>
              <w:t>TOTAL</w:t>
            </w:r>
          </w:p>
        </w:tc>
        <w:tc>
          <w:tcPr>
            <w:tcW w:w="1530" w:type="dxa"/>
            <w:shd w:val="clear" w:color="auto" w:fill="FABF8F"/>
            <w:vAlign w:val="center"/>
          </w:tcPr>
          <w:p w:rsidR="00995459" w:rsidRDefault="005C7D24" w:rsidP="000E00CD">
            <w:pPr>
              <w:jc w:val="center"/>
              <w:rPr>
                <w:rFonts w:ascii="Arial" w:hAnsi="Arial" w:cs="Arial"/>
                <w:b/>
                <w:bCs/>
                <w:i/>
                <w:iCs/>
                <w:color w:val="000000"/>
              </w:rPr>
            </w:pPr>
            <w:r>
              <w:rPr>
                <w:rFonts w:ascii="Arial" w:hAnsi="Arial" w:cs="Arial"/>
                <w:b/>
                <w:bCs/>
                <w:i/>
                <w:iCs/>
                <w:color w:val="000000"/>
              </w:rPr>
              <w:t>175,920</w:t>
            </w:r>
          </w:p>
        </w:tc>
        <w:tc>
          <w:tcPr>
            <w:tcW w:w="1447" w:type="dxa"/>
            <w:shd w:val="clear" w:color="auto" w:fill="FABF8F"/>
            <w:vAlign w:val="center"/>
          </w:tcPr>
          <w:p w:rsidR="00995459" w:rsidRDefault="007B3555" w:rsidP="000E00CD">
            <w:pPr>
              <w:jc w:val="center"/>
              <w:rPr>
                <w:rFonts w:ascii="Arial" w:hAnsi="Arial" w:cs="Arial"/>
                <w:b/>
                <w:bCs/>
                <w:i/>
                <w:iCs/>
                <w:color w:val="000000"/>
              </w:rPr>
            </w:pPr>
            <w:r>
              <w:rPr>
                <w:rFonts w:ascii="Arial" w:hAnsi="Arial" w:cs="Arial"/>
                <w:b/>
                <w:bCs/>
                <w:i/>
                <w:iCs/>
                <w:color w:val="000000"/>
              </w:rPr>
              <w:t>520,819</w:t>
            </w:r>
          </w:p>
        </w:tc>
        <w:tc>
          <w:tcPr>
            <w:tcW w:w="1529" w:type="dxa"/>
            <w:shd w:val="clear" w:color="auto" w:fill="FABF8F"/>
            <w:vAlign w:val="center"/>
          </w:tcPr>
          <w:p w:rsidR="00995459" w:rsidRDefault="0041617A" w:rsidP="000E00CD">
            <w:pPr>
              <w:jc w:val="center"/>
              <w:rPr>
                <w:rFonts w:ascii="Arial" w:hAnsi="Arial" w:cs="Arial"/>
                <w:b/>
                <w:bCs/>
                <w:i/>
                <w:iCs/>
                <w:color w:val="000000"/>
              </w:rPr>
            </w:pPr>
            <w:r>
              <w:rPr>
                <w:rFonts w:ascii="Arial" w:hAnsi="Arial" w:cs="Arial"/>
                <w:b/>
                <w:bCs/>
                <w:i/>
                <w:iCs/>
                <w:color w:val="000000"/>
              </w:rPr>
              <w:t>753</w:t>
            </w:r>
            <w:r w:rsidR="00A66C48">
              <w:rPr>
                <w:rFonts w:ascii="Arial" w:hAnsi="Arial" w:cs="Arial"/>
                <w:b/>
                <w:bCs/>
                <w:i/>
                <w:iCs/>
                <w:color w:val="000000"/>
              </w:rPr>
              <w:t>,</w:t>
            </w:r>
            <w:r>
              <w:rPr>
                <w:rFonts w:ascii="Arial" w:hAnsi="Arial" w:cs="Arial"/>
                <w:b/>
                <w:bCs/>
                <w:i/>
                <w:iCs/>
                <w:color w:val="000000"/>
              </w:rPr>
              <w:t>095</w:t>
            </w:r>
          </w:p>
        </w:tc>
        <w:tc>
          <w:tcPr>
            <w:tcW w:w="1701" w:type="dxa"/>
            <w:shd w:val="clear" w:color="auto" w:fill="FABF8F"/>
            <w:vAlign w:val="center"/>
          </w:tcPr>
          <w:p w:rsidR="00995459" w:rsidRPr="00796C1F" w:rsidRDefault="0041617A" w:rsidP="000E00CD">
            <w:pPr>
              <w:jc w:val="center"/>
              <w:rPr>
                <w:rFonts w:ascii="Arial" w:hAnsi="Arial" w:cs="Arial"/>
                <w:b/>
                <w:i/>
              </w:rPr>
            </w:pPr>
            <w:r>
              <w:rPr>
                <w:rFonts w:ascii="Arial" w:hAnsi="Arial" w:cs="Arial"/>
                <w:b/>
                <w:i/>
              </w:rPr>
              <w:t>75%</w:t>
            </w:r>
          </w:p>
        </w:tc>
        <w:tc>
          <w:tcPr>
            <w:tcW w:w="1276" w:type="dxa"/>
            <w:shd w:val="clear" w:color="auto" w:fill="FABF8F"/>
            <w:vAlign w:val="center"/>
          </w:tcPr>
          <w:p w:rsidR="00995459" w:rsidRPr="00796C1F" w:rsidRDefault="0041617A" w:rsidP="000E00CD">
            <w:pPr>
              <w:jc w:val="center"/>
              <w:rPr>
                <w:rFonts w:ascii="Arial" w:hAnsi="Arial" w:cs="Arial"/>
                <w:b/>
                <w:i/>
              </w:rPr>
            </w:pPr>
            <w:r>
              <w:rPr>
                <w:rFonts w:ascii="Arial" w:hAnsi="Arial" w:cs="Arial"/>
                <w:b/>
                <w:i/>
              </w:rPr>
              <w:t>246,905</w:t>
            </w:r>
          </w:p>
        </w:tc>
      </w:tr>
    </w:tbl>
    <w:p w:rsidR="00B2523F" w:rsidRDefault="00B2523F" w:rsidP="00334073">
      <w:pPr>
        <w:pStyle w:val="BodyText"/>
        <w:keepNext/>
        <w:keepLines/>
        <w:rPr>
          <w:rFonts w:ascii="Times New Roman" w:hAnsi="Times New Roman"/>
          <w:b/>
          <w:sz w:val="24"/>
          <w:lang w:val="fr-FR"/>
        </w:rPr>
      </w:pPr>
    </w:p>
    <w:p w:rsidR="00B2523F" w:rsidRDefault="00B2523F" w:rsidP="00334073">
      <w:pPr>
        <w:pStyle w:val="BodyText"/>
        <w:keepNext/>
        <w:keepLines/>
        <w:rPr>
          <w:rFonts w:ascii="Times New Roman" w:hAnsi="Times New Roman"/>
          <w:b/>
          <w:sz w:val="24"/>
          <w:lang w:val="fr-FR"/>
        </w:rPr>
      </w:pPr>
    </w:p>
    <w:p w:rsidR="006D3909" w:rsidRDefault="006D3909" w:rsidP="006D3909">
      <w:pPr>
        <w:pStyle w:val="BodyText"/>
        <w:keepNext/>
        <w:keepLines/>
        <w:numPr>
          <w:ilvl w:val="0"/>
          <w:numId w:val="21"/>
        </w:numPr>
        <w:rPr>
          <w:rFonts w:ascii="Times New Roman" w:hAnsi="Times New Roman"/>
          <w:b/>
          <w:sz w:val="24"/>
          <w:lang w:val="fr-FR"/>
        </w:rPr>
      </w:pPr>
      <w:r>
        <w:rPr>
          <w:rFonts w:ascii="Times New Roman" w:hAnsi="Times New Roman"/>
          <w:b/>
          <w:sz w:val="24"/>
          <w:lang w:val="fr-FR"/>
        </w:rPr>
        <w:t>Points sur les achats :</w:t>
      </w:r>
    </w:p>
    <w:p w:rsidR="00B60E20" w:rsidRDefault="00B60E20" w:rsidP="00B60E20">
      <w:pPr>
        <w:pStyle w:val="BodyText"/>
        <w:numPr>
          <w:ilvl w:val="0"/>
          <w:numId w:val="35"/>
        </w:numPr>
        <w:jc w:val="both"/>
        <w:rPr>
          <w:rFonts w:ascii="Times New Roman" w:hAnsi="Times New Roman"/>
          <w:sz w:val="22"/>
          <w:szCs w:val="22"/>
          <w:lang w:val="fr-FR"/>
        </w:rPr>
      </w:pPr>
      <w:r>
        <w:rPr>
          <w:rFonts w:ascii="Times New Roman" w:hAnsi="Times New Roman"/>
          <w:sz w:val="22"/>
          <w:szCs w:val="22"/>
          <w:lang w:val="fr-FR"/>
        </w:rPr>
        <w:t>Kits post-viols (UNFPA)</w:t>
      </w:r>
    </w:p>
    <w:p w:rsidR="000E4090" w:rsidRPr="00B60E20" w:rsidRDefault="00B60E20" w:rsidP="00B60E20">
      <w:pPr>
        <w:pStyle w:val="BodyText"/>
        <w:numPr>
          <w:ilvl w:val="0"/>
          <w:numId w:val="35"/>
        </w:numPr>
        <w:jc w:val="both"/>
        <w:rPr>
          <w:rFonts w:ascii="Times New Roman" w:hAnsi="Times New Roman"/>
          <w:sz w:val="22"/>
          <w:szCs w:val="22"/>
          <w:lang w:val="fr-FR"/>
        </w:rPr>
      </w:pPr>
      <w:r>
        <w:rPr>
          <w:rFonts w:ascii="Times New Roman" w:hAnsi="Times New Roman"/>
          <w:sz w:val="22"/>
          <w:szCs w:val="22"/>
          <w:lang w:val="fr-FR"/>
        </w:rPr>
        <w:t>Pr</w:t>
      </w:r>
      <w:r w:rsidR="000E4090" w:rsidRPr="00B60E20">
        <w:rPr>
          <w:rFonts w:ascii="Times New Roman" w:hAnsi="Times New Roman"/>
          <w:sz w:val="22"/>
          <w:szCs w:val="22"/>
          <w:lang w:val="fr-FR"/>
        </w:rPr>
        <w:t xml:space="preserve">oduction de spots et de matériel de communication </w:t>
      </w:r>
      <w:r>
        <w:rPr>
          <w:rFonts w:ascii="Times New Roman" w:hAnsi="Times New Roman"/>
          <w:sz w:val="22"/>
          <w:szCs w:val="22"/>
          <w:lang w:val="fr-FR"/>
        </w:rPr>
        <w:t xml:space="preserve">en appui a AGIAS </w:t>
      </w:r>
      <w:r w:rsidR="000E4090" w:rsidRPr="00B60E20">
        <w:rPr>
          <w:rFonts w:ascii="Times New Roman" w:hAnsi="Times New Roman"/>
          <w:sz w:val="22"/>
          <w:szCs w:val="22"/>
          <w:lang w:val="fr-FR"/>
        </w:rPr>
        <w:t xml:space="preserve">devant renforcer la connaissance et l’utilisation de la </w:t>
      </w:r>
      <w:r>
        <w:rPr>
          <w:rFonts w:ascii="Times New Roman" w:hAnsi="Times New Roman"/>
          <w:sz w:val="22"/>
          <w:szCs w:val="22"/>
          <w:lang w:val="fr-FR"/>
        </w:rPr>
        <w:t>ligne verte par les populations (UNICEF)</w:t>
      </w:r>
    </w:p>
    <w:p w:rsidR="006D3909" w:rsidRDefault="006D3909" w:rsidP="006D3909">
      <w:pPr>
        <w:pStyle w:val="BodyText"/>
        <w:keepNext/>
        <w:keepLines/>
        <w:rPr>
          <w:rFonts w:ascii="Times New Roman" w:hAnsi="Times New Roman"/>
          <w:b/>
          <w:sz w:val="24"/>
          <w:lang w:val="fr-FR"/>
        </w:rPr>
      </w:pPr>
    </w:p>
    <w:p w:rsidR="006D3909" w:rsidRDefault="006D3909" w:rsidP="006D3909">
      <w:pPr>
        <w:pStyle w:val="BodyText"/>
        <w:numPr>
          <w:ilvl w:val="0"/>
          <w:numId w:val="21"/>
        </w:numPr>
        <w:jc w:val="both"/>
        <w:rPr>
          <w:rFonts w:ascii="Times New Roman" w:hAnsi="Times New Roman"/>
          <w:b/>
          <w:sz w:val="24"/>
          <w:lang w:val="fr-FR"/>
        </w:rPr>
      </w:pPr>
      <w:r>
        <w:rPr>
          <w:rFonts w:ascii="Times New Roman" w:hAnsi="Times New Roman"/>
          <w:b/>
          <w:sz w:val="24"/>
          <w:lang w:val="fr-FR"/>
        </w:rPr>
        <w:t>Point sur les ressources additionnelles mobilisées :</w:t>
      </w:r>
    </w:p>
    <w:p w:rsidR="00E80FD4" w:rsidRPr="00E80FD4" w:rsidRDefault="00E80FD4" w:rsidP="00E80FD4">
      <w:pPr>
        <w:pStyle w:val="BodyText"/>
        <w:ind w:left="360"/>
        <w:jc w:val="both"/>
        <w:rPr>
          <w:rFonts w:ascii="Times New Roman" w:hAnsi="Times New Roman"/>
          <w:sz w:val="22"/>
          <w:szCs w:val="22"/>
          <w:lang w:val="fr-FR"/>
        </w:rPr>
      </w:pPr>
      <w:r w:rsidRPr="00E80FD4">
        <w:rPr>
          <w:rFonts w:ascii="Times New Roman" w:hAnsi="Times New Roman"/>
          <w:sz w:val="22"/>
          <w:szCs w:val="22"/>
          <w:lang w:val="fr-FR"/>
        </w:rPr>
        <w:t xml:space="preserve">Le financement de l’ONG </w:t>
      </w:r>
      <w:proofErr w:type="spellStart"/>
      <w:r w:rsidRPr="00E80FD4">
        <w:rPr>
          <w:rFonts w:ascii="Times New Roman" w:hAnsi="Times New Roman"/>
          <w:sz w:val="22"/>
          <w:szCs w:val="22"/>
          <w:lang w:val="fr-FR"/>
        </w:rPr>
        <w:t>Tostan</w:t>
      </w:r>
      <w:proofErr w:type="spellEnd"/>
      <w:r w:rsidRPr="00E80FD4">
        <w:rPr>
          <w:rFonts w:ascii="Times New Roman" w:hAnsi="Times New Roman"/>
          <w:sz w:val="22"/>
          <w:szCs w:val="22"/>
          <w:lang w:val="fr-FR"/>
        </w:rPr>
        <w:t xml:space="preserve"> est principalement assuré par le projet conjoint inter</w:t>
      </w:r>
      <w:r w:rsidR="00463240">
        <w:rPr>
          <w:rFonts w:ascii="Times New Roman" w:hAnsi="Times New Roman"/>
          <w:sz w:val="22"/>
          <w:szCs w:val="22"/>
          <w:lang w:val="fr-FR"/>
        </w:rPr>
        <w:t>-</w:t>
      </w:r>
      <w:r w:rsidRPr="00E80FD4">
        <w:rPr>
          <w:rFonts w:ascii="Times New Roman" w:hAnsi="Times New Roman"/>
          <w:sz w:val="22"/>
          <w:szCs w:val="22"/>
          <w:lang w:val="fr-FR"/>
        </w:rPr>
        <w:t>agence UNFPA/UNICEF pour l’abandon des MGF en Guinée.</w:t>
      </w:r>
    </w:p>
    <w:p w:rsidR="000E4090" w:rsidRDefault="000E4090" w:rsidP="006D3909">
      <w:pPr>
        <w:pStyle w:val="BodyText"/>
        <w:ind w:left="720"/>
        <w:jc w:val="both"/>
        <w:rPr>
          <w:rFonts w:ascii="Times New Roman" w:hAnsi="Times New Roman"/>
          <w:b/>
          <w:sz w:val="24"/>
          <w:lang w:val="fr-FR"/>
        </w:rPr>
      </w:pPr>
    </w:p>
    <w:p w:rsidR="00B66207" w:rsidRDefault="006D3909" w:rsidP="00334073">
      <w:pPr>
        <w:pStyle w:val="BodyText"/>
        <w:keepNext/>
        <w:keepLines/>
        <w:rPr>
          <w:rFonts w:ascii="Times New Roman" w:hAnsi="Times New Roman"/>
          <w:b/>
          <w:sz w:val="24"/>
          <w:lang w:val="fr-FR"/>
        </w:rPr>
      </w:pPr>
      <w:r>
        <w:rPr>
          <w:rFonts w:ascii="Times New Roman" w:hAnsi="Times New Roman"/>
          <w:b/>
          <w:sz w:val="24"/>
          <w:lang w:val="fr-FR"/>
        </w:rPr>
        <w:t>5.2. Humaines</w:t>
      </w:r>
    </w:p>
    <w:p w:rsidR="006D3909" w:rsidRPr="006D3909" w:rsidRDefault="006D3909" w:rsidP="00334073">
      <w:pPr>
        <w:pStyle w:val="BodyText"/>
        <w:keepNext/>
        <w:keepLines/>
        <w:rPr>
          <w:rFonts w:ascii="Times New Roman" w:hAnsi="Times New Roman"/>
          <w:sz w:val="24"/>
          <w:lang w:val="fr-FR"/>
        </w:rPr>
      </w:pPr>
    </w:p>
    <w:p w:rsidR="000E4090" w:rsidRPr="00B60E20" w:rsidRDefault="000E4090" w:rsidP="000E4090">
      <w:pPr>
        <w:pStyle w:val="BodyText2"/>
        <w:spacing w:after="0" w:line="240" w:lineRule="auto"/>
        <w:jc w:val="both"/>
        <w:rPr>
          <w:sz w:val="22"/>
          <w:szCs w:val="22"/>
        </w:rPr>
      </w:pPr>
      <w:r w:rsidRPr="00B60E20">
        <w:rPr>
          <w:sz w:val="22"/>
          <w:szCs w:val="22"/>
        </w:rPr>
        <w:t xml:space="preserve">Il y a un total </w:t>
      </w:r>
      <w:r w:rsidR="00E80FD4">
        <w:rPr>
          <w:sz w:val="22"/>
          <w:szCs w:val="22"/>
        </w:rPr>
        <w:t xml:space="preserve">11 </w:t>
      </w:r>
      <w:proofErr w:type="gramStart"/>
      <w:r w:rsidR="00E80FD4">
        <w:rPr>
          <w:sz w:val="22"/>
          <w:szCs w:val="22"/>
        </w:rPr>
        <w:t>staff</w:t>
      </w:r>
      <w:proofErr w:type="gramEnd"/>
      <w:r w:rsidR="00E80FD4">
        <w:rPr>
          <w:sz w:val="22"/>
          <w:szCs w:val="22"/>
        </w:rPr>
        <w:t xml:space="preserve"> qui travaillent sur le programme, dont 8 staffs nationaux : </w:t>
      </w:r>
      <w:r w:rsidRPr="00B60E20">
        <w:rPr>
          <w:sz w:val="22"/>
          <w:szCs w:val="22"/>
        </w:rPr>
        <w:t>6 staffs des programmes, 2 staffs d’opérations. Au niveau des agences, le programme est supervisé par 2 staffs internationaux. La coordination est faite par un staff dédié au niveau du Bureau du Coordonnateur Résident (BCR) mis à disposition par le ONU Femmes/PBSO.  La répartition est comme suit :</w:t>
      </w:r>
    </w:p>
    <w:p w:rsidR="00B66207" w:rsidRDefault="00B66207" w:rsidP="00334073">
      <w:pPr>
        <w:pStyle w:val="BodyText"/>
        <w:keepNext/>
        <w:keepLines/>
        <w:rPr>
          <w:rFonts w:ascii="Times New Roman" w:hAnsi="Times New Roman"/>
          <w:b/>
          <w:sz w:val="24"/>
          <w:lang w:val="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6"/>
        <w:gridCol w:w="1276"/>
        <w:gridCol w:w="1275"/>
        <w:gridCol w:w="1134"/>
        <w:gridCol w:w="1701"/>
        <w:gridCol w:w="1276"/>
      </w:tblGrid>
      <w:tr w:rsidR="000E4090" w:rsidRPr="00D526C0" w:rsidTr="00001ACB">
        <w:trPr>
          <w:trHeight w:val="360"/>
        </w:trPr>
        <w:tc>
          <w:tcPr>
            <w:tcW w:w="1384" w:type="dxa"/>
            <w:vMerge w:val="restart"/>
            <w:shd w:val="clear" w:color="auto" w:fill="D9D9D9"/>
          </w:tcPr>
          <w:p w:rsidR="000E4090" w:rsidRPr="00B30DF2" w:rsidRDefault="000E4090" w:rsidP="00001ACB">
            <w:pPr>
              <w:jc w:val="center"/>
              <w:rPr>
                <w:rFonts w:ascii="Arial" w:hAnsi="Arial" w:cs="Arial"/>
                <w:b/>
                <w:sz w:val="20"/>
                <w:szCs w:val="20"/>
              </w:rPr>
            </w:pPr>
            <w:r w:rsidRPr="00B30DF2">
              <w:rPr>
                <w:rFonts w:ascii="Arial" w:hAnsi="Arial" w:cs="Arial"/>
                <w:b/>
                <w:sz w:val="20"/>
                <w:szCs w:val="20"/>
              </w:rPr>
              <w:t xml:space="preserve">Agence </w:t>
            </w:r>
          </w:p>
        </w:tc>
        <w:tc>
          <w:tcPr>
            <w:tcW w:w="2552" w:type="dxa"/>
            <w:gridSpan w:val="2"/>
            <w:shd w:val="clear" w:color="auto" w:fill="D9D9D9"/>
          </w:tcPr>
          <w:p w:rsidR="000E4090" w:rsidRPr="00B30DF2" w:rsidRDefault="000E4090" w:rsidP="00AE7C50">
            <w:pPr>
              <w:jc w:val="center"/>
              <w:rPr>
                <w:rFonts w:ascii="Arial" w:hAnsi="Arial" w:cs="Arial"/>
                <w:b/>
                <w:sz w:val="20"/>
                <w:szCs w:val="20"/>
              </w:rPr>
            </w:pPr>
            <w:r w:rsidRPr="00B30DF2">
              <w:rPr>
                <w:rFonts w:ascii="Arial" w:hAnsi="Arial" w:cs="Arial"/>
                <w:b/>
                <w:sz w:val="20"/>
                <w:szCs w:val="20"/>
              </w:rPr>
              <w:t xml:space="preserve">Programmes </w:t>
            </w:r>
          </w:p>
        </w:tc>
        <w:tc>
          <w:tcPr>
            <w:tcW w:w="2409" w:type="dxa"/>
            <w:gridSpan w:val="2"/>
            <w:shd w:val="clear" w:color="auto" w:fill="D9D9D9"/>
          </w:tcPr>
          <w:p w:rsidR="000E4090" w:rsidRPr="00B30DF2" w:rsidRDefault="000E4090" w:rsidP="00AE7C50">
            <w:pPr>
              <w:jc w:val="center"/>
              <w:rPr>
                <w:rFonts w:ascii="Arial" w:hAnsi="Arial" w:cs="Arial"/>
                <w:b/>
                <w:sz w:val="20"/>
                <w:szCs w:val="20"/>
              </w:rPr>
            </w:pPr>
            <w:r w:rsidRPr="00B30DF2">
              <w:rPr>
                <w:rFonts w:ascii="Arial" w:hAnsi="Arial" w:cs="Arial"/>
                <w:b/>
                <w:sz w:val="20"/>
                <w:szCs w:val="20"/>
              </w:rPr>
              <w:t xml:space="preserve">Operations  </w:t>
            </w:r>
          </w:p>
        </w:tc>
        <w:tc>
          <w:tcPr>
            <w:tcW w:w="2977" w:type="dxa"/>
            <w:gridSpan w:val="2"/>
            <w:shd w:val="clear" w:color="auto" w:fill="D9D9D9"/>
          </w:tcPr>
          <w:p w:rsidR="000E4090" w:rsidRPr="00B30DF2" w:rsidRDefault="000E4090" w:rsidP="00AE7C50">
            <w:pPr>
              <w:jc w:val="center"/>
              <w:rPr>
                <w:rFonts w:ascii="Arial" w:hAnsi="Arial" w:cs="Arial"/>
                <w:b/>
                <w:sz w:val="20"/>
                <w:szCs w:val="20"/>
              </w:rPr>
            </w:pPr>
            <w:r w:rsidRPr="00B30DF2">
              <w:rPr>
                <w:rFonts w:ascii="Arial" w:hAnsi="Arial" w:cs="Arial"/>
                <w:b/>
                <w:sz w:val="20"/>
                <w:szCs w:val="20"/>
              </w:rPr>
              <w:t xml:space="preserve">Programmes </w:t>
            </w:r>
          </w:p>
        </w:tc>
      </w:tr>
      <w:tr w:rsidR="000E4090" w:rsidRPr="00D526C0" w:rsidTr="00001ACB">
        <w:trPr>
          <w:trHeight w:val="360"/>
        </w:trPr>
        <w:tc>
          <w:tcPr>
            <w:tcW w:w="1384" w:type="dxa"/>
            <w:vMerge/>
            <w:shd w:val="clear" w:color="auto" w:fill="D9D9D9"/>
          </w:tcPr>
          <w:p w:rsidR="000E4090" w:rsidRPr="00B30DF2" w:rsidRDefault="000E4090" w:rsidP="00AE7C50">
            <w:pPr>
              <w:jc w:val="center"/>
              <w:rPr>
                <w:rFonts w:ascii="Arial" w:hAnsi="Arial" w:cs="Arial"/>
                <w:b/>
                <w:sz w:val="20"/>
                <w:szCs w:val="20"/>
              </w:rPr>
            </w:pPr>
          </w:p>
        </w:tc>
        <w:tc>
          <w:tcPr>
            <w:tcW w:w="1276" w:type="dxa"/>
            <w:shd w:val="clear" w:color="auto" w:fill="D9D9D9"/>
          </w:tcPr>
          <w:p w:rsidR="000E4090" w:rsidRPr="00B30DF2" w:rsidRDefault="000E4090" w:rsidP="00AE7C50">
            <w:pPr>
              <w:jc w:val="center"/>
              <w:rPr>
                <w:rFonts w:ascii="Arial" w:hAnsi="Arial" w:cs="Arial"/>
                <w:b/>
                <w:sz w:val="20"/>
                <w:szCs w:val="20"/>
              </w:rPr>
            </w:pPr>
            <w:r w:rsidRPr="00B30DF2">
              <w:rPr>
                <w:rFonts w:ascii="Arial" w:hAnsi="Arial" w:cs="Arial"/>
                <w:b/>
                <w:sz w:val="20"/>
                <w:szCs w:val="20"/>
              </w:rPr>
              <w:t xml:space="preserve">Nationaux </w:t>
            </w:r>
          </w:p>
        </w:tc>
        <w:tc>
          <w:tcPr>
            <w:tcW w:w="1276" w:type="dxa"/>
            <w:shd w:val="clear" w:color="auto" w:fill="D9D9D9"/>
          </w:tcPr>
          <w:p w:rsidR="000E4090" w:rsidRPr="00B30DF2" w:rsidRDefault="000E4090" w:rsidP="00AE7C50">
            <w:pPr>
              <w:jc w:val="center"/>
              <w:rPr>
                <w:rFonts w:ascii="Arial" w:hAnsi="Arial" w:cs="Arial"/>
                <w:b/>
                <w:sz w:val="20"/>
                <w:szCs w:val="20"/>
              </w:rPr>
            </w:pPr>
            <w:r w:rsidRPr="00B30DF2">
              <w:rPr>
                <w:rFonts w:ascii="Arial" w:hAnsi="Arial" w:cs="Arial"/>
                <w:b/>
                <w:sz w:val="20"/>
                <w:szCs w:val="20"/>
              </w:rPr>
              <w:t>Allocation du temps</w:t>
            </w:r>
          </w:p>
        </w:tc>
        <w:tc>
          <w:tcPr>
            <w:tcW w:w="1275" w:type="dxa"/>
            <w:shd w:val="clear" w:color="auto" w:fill="D9D9D9"/>
          </w:tcPr>
          <w:p w:rsidR="000E4090" w:rsidRPr="00B30DF2" w:rsidRDefault="000E4090" w:rsidP="00AE7C50">
            <w:pPr>
              <w:jc w:val="center"/>
              <w:rPr>
                <w:rFonts w:ascii="Arial" w:hAnsi="Arial" w:cs="Arial"/>
                <w:b/>
                <w:sz w:val="20"/>
                <w:szCs w:val="20"/>
              </w:rPr>
            </w:pPr>
            <w:r w:rsidRPr="00B30DF2">
              <w:rPr>
                <w:rFonts w:ascii="Arial" w:hAnsi="Arial" w:cs="Arial"/>
                <w:b/>
                <w:sz w:val="20"/>
                <w:szCs w:val="20"/>
              </w:rPr>
              <w:t xml:space="preserve">Nationaux </w:t>
            </w:r>
          </w:p>
        </w:tc>
        <w:tc>
          <w:tcPr>
            <w:tcW w:w="1134" w:type="dxa"/>
            <w:shd w:val="clear" w:color="auto" w:fill="D9D9D9"/>
          </w:tcPr>
          <w:p w:rsidR="000E4090" w:rsidRPr="00B30DF2" w:rsidRDefault="000E4090" w:rsidP="00AE7C50">
            <w:pPr>
              <w:jc w:val="center"/>
              <w:rPr>
                <w:rFonts w:ascii="Arial" w:hAnsi="Arial" w:cs="Arial"/>
                <w:b/>
                <w:sz w:val="20"/>
                <w:szCs w:val="20"/>
              </w:rPr>
            </w:pPr>
            <w:r w:rsidRPr="00B30DF2">
              <w:rPr>
                <w:rFonts w:ascii="Arial" w:hAnsi="Arial" w:cs="Arial"/>
                <w:b/>
                <w:sz w:val="20"/>
                <w:szCs w:val="20"/>
              </w:rPr>
              <w:t>Allocation du temps</w:t>
            </w:r>
          </w:p>
        </w:tc>
        <w:tc>
          <w:tcPr>
            <w:tcW w:w="1701" w:type="dxa"/>
            <w:shd w:val="clear" w:color="auto" w:fill="D9D9D9"/>
          </w:tcPr>
          <w:p w:rsidR="000E4090" w:rsidRPr="00B30DF2" w:rsidRDefault="000E4090" w:rsidP="00AE7C50">
            <w:pPr>
              <w:jc w:val="center"/>
              <w:rPr>
                <w:rFonts w:ascii="Arial" w:hAnsi="Arial" w:cs="Arial"/>
                <w:b/>
                <w:sz w:val="20"/>
                <w:szCs w:val="20"/>
              </w:rPr>
            </w:pPr>
            <w:r w:rsidRPr="00B30DF2">
              <w:rPr>
                <w:rFonts w:ascii="Arial" w:hAnsi="Arial" w:cs="Arial"/>
                <w:b/>
                <w:sz w:val="20"/>
                <w:szCs w:val="20"/>
              </w:rPr>
              <w:t>Internationaux</w:t>
            </w:r>
          </w:p>
        </w:tc>
        <w:tc>
          <w:tcPr>
            <w:tcW w:w="1276" w:type="dxa"/>
            <w:shd w:val="clear" w:color="auto" w:fill="D9D9D9"/>
          </w:tcPr>
          <w:p w:rsidR="000E4090" w:rsidRPr="00B30DF2" w:rsidRDefault="000E4090" w:rsidP="00AE7C50">
            <w:pPr>
              <w:jc w:val="center"/>
              <w:rPr>
                <w:rFonts w:ascii="Arial" w:hAnsi="Arial" w:cs="Arial"/>
                <w:b/>
                <w:sz w:val="20"/>
                <w:szCs w:val="20"/>
              </w:rPr>
            </w:pPr>
            <w:r w:rsidRPr="00B30DF2">
              <w:rPr>
                <w:rFonts w:ascii="Arial" w:hAnsi="Arial" w:cs="Arial"/>
                <w:b/>
                <w:sz w:val="20"/>
                <w:szCs w:val="20"/>
              </w:rPr>
              <w:t>Allocation du temps</w:t>
            </w:r>
          </w:p>
        </w:tc>
      </w:tr>
      <w:tr w:rsidR="000E4090" w:rsidRPr="00D526C0" w:rsidTr="00001ACB">
        <w:trPr>
          <w:trHeight w:val="360"/>
        </w:trPr>
        <w:tc>
          <w:tcPr>
            <w:tcW w:w="1384" w:type="dxa"/>
            <w:shd w:val="clear" w:color="auto" w:fill="auto"/>
          </w:tcPr>
          <w:p w:rsidR="000E4090" w:rsidRPr="00B30DF2" w:rsidRDefault="000E4090" w:rsidP="00AE7C50">
            <w:pPr>
              <w:rPr>
                <w:rFonts w:ascii="Arial" w:hAnsi="Arial" w:cs="Arial"/>
                <w:b/>
                <w:sz w:val="20"/>
                <w:szCs w:val="20"/>
              </w:rPr>
            </w:pPr>
            <w:r w:rsidRPr="00B30DF2">
              <w:rPr>
                <w:rFonts w:ascii="Arial" w:hAnsi="Arial" w:cs="Arial"/>
                <w:b/>
                <w:sz w:val="20"/>
                <w:szCs w:val="20"/>
              </w:rPr>
              <w:t xml:space="preserve">UNDP </w:t>
            </w:r>
          </w:p>
        </w:tc>
        <w:tc>
          <w:tcPr>
            <w:tcW w:w="1276" w:type="dxa"/>
            <w:shd w:val="clear" w:color="auto" w:fill="auto"/>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w:t>
            </w:r>
          </w:p>
        </w:tc>
        <w:tc>
          <w:tcPr>
            <w:tcW w:w="1276" w:type="dxa"/>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40%</w:t>
            </w:r>
          </w:p>
        </w:tc>
        <w:tc>
          <w:tcPr>
            <w:tcW w:w="1275" w:type="dxa"/>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0</w:t>
            </w:r>
          </w:p>
        </w:tc>
        <w:tc>
          <w:tcPr>
            <w:tcW w:w="1134" w:type="dxa"/>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0</w:t>
            </w:r>
          </w:p>
        </w:tc>
        <w:tc>
          <w:tcPr>
            <w:tcW w:w="1701" w:type="dxa"/>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0</w:t>
            </w:r>
          </w:p>
        </w:tc>
        <w:tc>
          <w:tcPr>
            <w:tcW w:w="1276" w:type="dxa"/>
            <w:shd w:val="clear" w:color="auto" w:fill="auto"/>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0</w:t>
            </w:r>
          </w:p>
        </w:tc>
      </w:tr>
      <w:tr w:rsidR="000E4090" w:rsidRPr="00D526C0" w:rsidTr="00001ACB">
        <w:trPr>
          <w:trHeight w:val="386"/>
        </w:trPr>
        <w:tc>
          <w:tcPr>
            <w:tcW w:w="1384" w:type="dxa"/>
            <w:shd w:val="clear" w:color="auto" w:fill="auto"/>
          </w:tcPr>
          <w:p w:rsidR="000E4090" w:rsidRPr="00B30DF2" w:rsidRDefault="000E4090" w:rsidP="00AE7C50">
            <w:pPr>
              <w:rPr>
                <w:rFonts w:ascii="Arial" w:hAnsi="Arial" w:cs="Arial"/>
                <w:b/>
                <w:sz w:val="20"/>
                <w:szCs w:val="20"/>
              </w:rPr>
            </w:pPr>
            <w:r w:rsidRPr="00B30DF2">
              <w:rPr>
                <w:rFonts w:ascii="Arial" w:hAnsi="Arial" w:cs="Arial"/>
                <w:b/>
                <w:sz w:val="20"/>
                <w:szCs w:val="20"/>
              </w:rPr>
              <w:t>UNFPA</w:t>
            </w:r>
          </w:p>
        </w:tc>
        <w:tc>
          <w:tcPr>
            <w:tcW w:w="1276" w:type="dxa"/>
            <w:shd w:val="clear" w:color="auto" w:fill="auto"/>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w:t>
            </w:r>
          </w:p>
        </w:tc>
        <w:tc>
          <w:tcPr>
            <w:tcW w:w="1276" w:type="dxa"/>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40%</w:t>
            </w:r>
          </w:p>
        </w:tc>
        <w:tc>
          <w:tcPr>
            <w:tcW w:w="1275" w:type="dxa"/>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w:t>
            </w:r>
          </w:p>
        </w:tc>
        <w:tc>
          <w:tcPr>
            <w:tcW w:w="1134" w:type="dxa"/>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10%</w:t>
            </w:r>
          </w:p>
        </w:tc>
        <w:tc>
          <w:tcPr>
            <w:tcW w:w="1701" w:type="dxa"/>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w:t>
            </w:r>
          </w:p>
        </w:tc>
        <w:tc>
          <w:tcPr>
            <w:tcW w:w="1276" w:type="dxa"/>
            <w:shd w:val="clear" w:color="auto" w:fill="auto"/>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10%</w:t>
            </w:r>
          </w:p>
        </w:tc>
      </w:tr>
      <w:tr w:rsidR="000E4090" w:rsidRPr="00D526C0" w:rsidTr="00001ACB">
        <w:trPr>
          <w:trHeight w:val="386"/>
        </w:trPr>
        <w:tc>
          <w:tcPr>
            <w:tcW w:w="1384" w:type="dxa"/>
            <w:shd w:val="clear" w:color="auto" w:fill="auto"/>
          </w:tcPr>
          <w:p w:rsidR="000E4090" w:rsidRPr="00B30DF2" w:rsidRDefault="000E4090" w:rsidP="00AE7C50">
            <w:pPr>
              <w:rPr>
                <w:rFonts w:ascii="Arial" w:hAnsi="Arial" w:cs="Arial"/>
                <w:b/>
                <w:sz w:val="20"/>
                <w:szCs w:val="20"/>
              </w:rPr>
            </w:pPr>
            <w:r w:rsidRPr="00B30DF2">
              <w:rPr>
                <w:rFonts w:ascii="Arial" w:hAnsi="Arial" w:cs="Arial"/>
                <w:b/>
                <w:sz w:val="20"/>
                <w:szCs w:val="20"/>
              </w:rPr>
              <w:t>UNICEF</w:t>
            </w:r>
          </w:p>
        </w:tc>
        <w:tc>
          <w:tcPr>
            <w:tcW w:w="1276" w:type="dxa"/>
            <w:tcBorders>
              <w:bottom w:val="single" w:sz="4" w:space="0" w:color="000000"/>
            </w:tcBorders>
            <w:shd w:val="clear" w:color="auto" w:fill="auto"/>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4</w:t>
            </w:r>
          </w:p>
        </w:tc>
        <w:tc>
          <w:tcPr>
            <w:tcW w:w="1276" w:type="dxa"/>
            <w:tcBorders>
              <w:bottom w:val="single" w:sz="4" w:space="0" w:color="000000"/>
            </w:tcBorders>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10%</w:t>
            </w:r>
          </w:p>
        </w:tc>
        <w:tc>
          <w:tcPr>
            <w:tcW w:w="1275" w:type="dxa"/>
            <w:tcBorders>
              <w:bottom w:val="single" w:sz="4" w:space="0" w:color="000000"/>
            </w:tcBorders>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w:t>
            </w:r>
          </w:p>
        </w:tc>
        <w:tc>
          <w:tcPr>
            <w:tcW w:w="1134" w:type="dxa"/>
            <w:tcBorders>
              <w:bottom w:val="single" w:sz="4" w:space="0" w:color="000000"/>
            </w:tcBorders>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10%</w:t>
            </w:r>
          </w:p>
        </w:tc>
        <w:tc>
          <w:tcPr>
            <w:tcW w:w="1701" w:type="dxa"/>
            <w:tcBorders>
              <w:bottom w:val="single" w:sz="4" w:space="0" w:color="000000"/>
            </w:tcBorders>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w:t>
            </w:r>
          </w:p>
        </w:tc>
        <w:tc>
          <w:tcPr>
            <w:tcW w:w="1276" w:type="dxa"/>
            <w:tcBorders>
              <w:bottom w:val="single" w:sz="4" w:space="0" w:color="000000"/>
            </w:tcBorders>
            <w:shd w:val="clear" w:color="auto" w:fill="auto"/>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20%</w:t>
            </w:r>
          </w:p>
        </w:tc>
      </w:tr>
      <w:tr w:rsidR="000E4090" w:rsidRPr="00D526C0" w:rsidTr="00001ACB">
        <w:trPr>
          <w:trHeight w:val="386"/>
        </w:trPr>
        <w:tc>
          <w:tcPr>
            <w:tcW w:w="1384" w:type="dxa"/>
            <w:shd w:val="clear" w:color="auto" w:fill="auto"/>
          </w:tcPr>
          <w:p w:rsidR="000E4090" w:rsidRPr="00B30DF2" w:rsidRDefault="000E4090" w:rsidP="00AE7C50">
            <w:pPr>
              <w:rPr>
                <w:rFonts w:ascii="Arial" w:hAnsi="Arial" w:cs="Arial"/>
                <w:b/>
                <w:sz w:val="20"/>
                <w:szCs w:val="20"/>
              </w:rPr>
            </w:pPr>
            <w:r w:rsidRPr="00B30DF2">
              <w:rPr>
                <w:rFonts w:ascii="Arial" w:hAnsi="Arial" w:cs="Arial"/>
                <w:b/>
                <w:sz w:val="20"/>
                <w:szCs w:val="20"/>
              </w:rPr>
              <w:t xml:space="preserve">BCR </w:t>
            </w:r>
          </w:p>
        </w:tc>
        <w:tc>
          <w:tcPr>
            <w:tcW w:w="1276" w:type="dxa"/>
            <w:tcBorders>
              <w:bottom w:val="single" w:sz="4" w:space="0" w:color="000000"/>
            </w:tcBorders>
            <w:shd w:val="clear" w:color="auto" w:fill="auto"/>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0</w:t>
            </w:r>
          </w:p>
        </w:tc>
        <w:tc>
          <w:tcPr>
            <w:tcW w:w="1276" w:type="dxa"/>
            <w:tcBorders>
              <w:bottom w:val="single" w:sz="4" w:space="0" w:color="000000"/>
            </w:tcBorders>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0</w:t>
            </w:r>
          </w:p>
        </w:tc>
        <w:tc>
          <w:tcPr>
            <w:tcW w:w="1275" w:type="dxa"/>
            <w:tcBorders>
              <w:bottom w:val="single" w:sz="4" w:space="0" w:color="000000"/>
            </w:tcBorders>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0</w:t>
            </w:r>
          </w:p>
        </w:tc>
        <w:tc>
          <w:tcPr>
            <w:tcW w:w="1134" w:type="dxa"/>
            <w:tcBorders>
              <w:bottom w:val="single" w:sz="4" w:space="0" w:color="000000"/>
            </w:tcBorders>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0</w:t>
            </w:r>
          </w:p>
        </w:tc>
        <w:tc>
          <w:tcPr>
            <w:tcW w:w="1701" w:type="dxa"/>
            <w:tcBorders>
              <w:bottom w:val="single" w:sz="4" w:space="0" w:color="000000"/>
            </w:tcBorders>
            <w:vAlign w:val="center"/>
          </w:tcPr>
          <w:p w:rsidR="000E4090" w:rsidRPr="00B30DF2" w:rsidRDefault="000E4090" w:rsidP="00AE7C50">
            <w:pPr>
              <w:jc w:val="center"/>
              <w:rPr>
                <w:rFonts w:ascii="Arial" w:hAnsi="Arial" w:cs="Arial"/>
                <w:color w:val="000000"/>
                <w:sz w:val="20"/>
                <w:szCs w:val="20"/>
              </w:rPr>
            </w:pPr>
            <w:r w:rsidRPr="00B30DF2">
              <w:rPr>
                <w:rFonts w:ascii="Arial" w:hAnsi="Arial" w:cs="Arial"/>
                <w:color w:val="000000"/>
                <w:sz w:val="20"/>
                <w:szCs w:val="20"/>
              </w:rPr>
              <w:t>1</w:t>
            </w:r>
          </w:p>
        </w:tc>
        <w:tc>
          <w:tcPr>
            <w:tcW w:w="1276" w:type="dxa"/>
            <w:tcBorders>
              <w:bottom w:val="single" w:sz="4" w:space="0" w:color="000000"/>
            </w:tcBorders>
            <w:shd w:val="clear" w:color="auto" w:fill="auto"/>
            <w:vAlign w:val="center"/>
          </w:tcPr>
          <w:p w:rsidR="000E4090" w:rsidRPr="00B30DF2" w:rsidRDefault="00001ACB" w:rsidP="00AE7C50">
            <w:pPr>
              <w:jc w:val="center"/>
              <w:rPr>
                <w:rFonts w:ascii="Arial" w:hAnsi="Arial" w:cs="Arial"/>
                <w:color w:val="000000"/>
                <w:sz w:val="20"/>
                <w:szCs w:val="20"/>
              </w:rPr>
            </w:pPr>
            <w:r>
              <w:rPr>
                <w:rFonts w:ascii="Arial" w:hAnsi="Arial" w:cs="Arial"/>
                <w:color w:val="000000"/>
                <w:sz w:val="20"/>
                <w:szCs w:val="20"/>
              </w:rPr>
              <w:t>35</w:t>
            </w:r>
            <w:r w:rsidR="000E4090" w:rsidRPr="00B30DF2">
              <w:rPr>
                <w:rFonts w:ascii="Arial" w:hAnsi="Arial" w:cs="Arial"/>
                <w:color w:val="000000"/>
                <w:sz w:val="20"/>
                <w:szCs w:val="20"/>
              </w:rPr>
              <w:t>%</w:t>
            </w:r>
          </w:p>
        </w:tc>
      </w:tr>
      <w:tr w:rsidR="000E4090" w:rsidRPr="00D526C0" w:rsidTr="00001ACB">
        <w:trPr>
          <w:trHeight w:val="386"/>
        </w:trPr>
        <w:tc>
          <w:tcPr>
            <w:tcW w:w="1384" w:type="dxa"/>
            <w:shd w:val="clear" w:color="auto" w:fill="auto"/>
          </w:tcPr>
          <w:p w:rsidR="000E4090" w:rsidRPr="00D526C0" w:rsidRDefault="000E4090" w:rsidP="00AE7C50">
            <w:pPr>
              <w:jc w:val="right"/>
              <w:rPr>
                <w:b/>
              </w:rPr>
            </w:pPr>
            <w:r w:rsidRPr="00D526C0">
              <w:rPr>
                <w:b/>
              </w:rPr>
              <w:t>TOTAL</w:t>
            </w:r>
          </w:p>
        </w:tc>
        <w:tc>
          <w:tcPr>
            <w:tcW w:w="1276" w:type="dxa"/>
            <w:shd w:val="clear" w:color="auto" w:fill="FABF8F"/>
            <w:vAlign w:val="center"/>
          </w:tcPr>
          <w:p w:rsidR="000E4090" w:rsidRPr="00D526C0" w:rsidRDefault="000E4090" w:rsidP="00AE7C50">
            <w:pPr>
              <w:jc w:val="center"/>
              <w:rPr>
                <w:b/>
                <w:bCs/>
                <w:i/>
                <w:iCs/>
                <w:color w:val="000000"/>
              </w:rPr>
            </w:pPr>
            <w:r w:rsidRPr="00D526C0">
              <w:rPr>
                <w:b/>
                <w:bCs/>
                <w:i/>
                <w:iCs/>
                <w:color w:val="000000"/>
              </w:rPr>
              <w:t>6</w:t>
            </w:r>
          </w:p>
        </w:tc>
        <w:tc>
          <w:tcPr>
            <w:tcW w:w="1276" w:type="dxa"/>
            <w:shd w:val="clear" w:color="auto" w:fill="FABF8F"/>
            <w:vAlign w:val="center"/>
          </w:tcPr>
          <w:p w:rsidR="000E4090" w:rsidRPr="00D526C0" w:rsidRDefault="000E4090" w:rsidP="00AE7C50">
            <w:pPr>
              <w:jc w:val="center"/>
              <w:rPr>
                <w:b/>
                <w:bCs/>
                <w:i/>
                <w:iCs/>
                <w:color w:val="000000"/>
              </w:rPr>
            </w:pPr>
          </w:p>
        </w:tc>
        <w:tc>
          <w:tcPr>
            <w:tcW w:w="1275" w:type="dxa"/>
            <w:shd w:val="clear" w:color="auto" w:fill="FABF8F"/>
            <w:vAlign w:val="center"/>
          </w:tcPr>
          <w:p w:rsidR="000E4090" w:rsidRPr="00D526C0" w:rsidRDefault="000E4090" w:rsidP="00AE7C50">
            <w:pPr>
              <w:jc w:val="center"/>
              <w:rPr>
                <w:b/>
                <w:bCs/>
                <w:i/>
                <w:iCs/>
                <w:color w:val="000000"/>
              </w:rPr>
            </w:pPr>
            <w:r w:rsidRPr="00D526C0">
              <w:rPr>
                <w:b/>
                <w:bCs/>
                <w:i/>
                <w:iCs/>
                <w:color w:val="000000"/>
              </w:rPr>
              <w:t>2</w:t>
            </w:r>
          </w:p>
        </w:tc>
        <w:tc>
          <w:tcPr>
            <w:tcW w:w="1134" w:type="dxa"/>
            <w:shd w:val="clear" w:color="auto" w:fill="FABF8F"/>
            <w:vAlign w:val="center"/>
          </w:tcPr>
          <w:p w:rsidR="000E4090" w:rsidRPr="00D526C0" w:rsidRDefault="000E4090" w:rsidP="00AE7C50">
            <w:pPr>
              <w:jc w:val="center"/>
              <w:rPr>
                <w:b/>
                <w:bCs/>
                <w:i/>
                <w:iCs/>
                <w:color w:val="000000"/>
              </w:rPr>
            </w:pPr>
          </w:p>
        </w:tc>
        <w:tc>
          <w:tcPr>
            <w:tcW w:w="1701" w:type="dxa"/>
            <w:shd w:val="clear" w:color="auto" w:fill="FABF8F"/>
            <w:vAlign w:val="center"/>
          </w:tcPr>
          <w:p w:rsidR="000E4090" w:rsidRPr="00D526C0" w:rsidRDefault="000E4090" w:rsidP="00AE7C50">
            <w:pPr>
              <w:jc w:val="center"/>
              <w:rPr>
                <w:b/>
                <w:bCs/>
                <w:i/>
                <w:iCs/>
                <w:color w:val="000000"/>
              </w:rPr>
            </w:pPr>
            <w:r w:rsidRPr="00D526C0">
              <w:rPr>
                <w:b/>
                <w:bCs/>
                <w:i/>
                <w:iCs/>
                <w:color w:val="000000"/>
              </w:rPr>
              <w:t>3</w:t>
            </w:r>
          </w:p>
        </w:tc>
        <w:tc>
          <w:tcPr>
            <w:tcW w:w="1276" w:type="dxa"/>
            <w:shd w:val="clear" w:color="auto" w:fill="FABF8F"/>
            <w:vAlign w:val="center"/>
          </w:tcPr>
          <w:p w:rsidR="000E4090" w:rsidRPr="00D526C0" w:rsidRDefault="000E4090" w:rsidP="00AE7C50">
            <w:pPr>
              <w:jc w:val="center"/>
              <w:rPr>
                <w:b/>
                <w:bCs/>
                <w:i/>
                <w:iCs/>
                <w:color w:val="000000"/>
              </w:rPr>
            </w:pPr>
          </w:p>
        </w:tc>
      </w:tr>
    </w:tbl>
    <w:p w:rsidR="00264361" w:rsidRPr="00334073" w:rsidRDefault="00264361">
      <w:pPr>
        <w:rPr>
          <w:b/>
        </w:rPr>
      </w:pPr>
    </w:p>
    <w:sectPr w:rsidR="00264361" w:rsidRPr="00334073" w:rsidSect="00A862DB">
      <w:headerReference w:type="even" r:id="rId23"/>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D6" w:rsidRDefault="009122D6">
      <w:r>
        <w:separator/>
      </w:r>
    </w:p>
  </w:endnote>
  <w:endnote w:type="continuationSeparator" w:id="0">
    <w:p w:rsidR="009122D6" w:rsidRDefault="0091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68" w:rsidRDefault="009F0768" w:rsidP="00E61876">
    <w:pPr>
      <w:pStyle w:val="Footer"/>
      <w:pBdr>
        <w:top w:val="single" w:sz="4" w:space="1" w:color="auto"/>
      </w:pBdr>
      <w:tabs>
        <w:tab w:val="clear" w:pos="4320"/>
        <w:tab w:val="clear" w:pos="8640"/>
        <w:tab w:val="center" w:pos="4500"/>
        <w:tab w:val="right" w:pos="9000"/>
      </w:tabs>
      <w:jc w:val="right"/>
      <w:rPr>
        <w:rFonts w:ascii="Arial" w:hAnsi="Arial" w:cs="Arial"/>
        <w:sz w:val="18"/>
        <w:szCs w:val="18"/>
      </w:rPr>
    </w:pPr>
    <w:r>
      <w:rPr>
        <w:rFonts w:ascii="Arial" w:hAnsi="Arial" w:cs="Arial"/>
        <w:sz w:val="18"/>
        <w:szCs w:val="18"/>
      </w:rPr>
      <w:t xml:space="preserve">Page </w:t>
    </w:r>
    <w:r w:rsidR="00660B6C">
      <w:rPr>
        <w:rFonts w:ascii="Arial" w:hAnsi="Arial" w:cs="Arial"/>
        <w:sz w:val="18"/>
        <w:szCs w:val="18"/>
      </w:rPr>
      <w:fldChar w:fldCharType="begin"/>
    </w:r>
    <w:r>
      <w:rPr>
        <w:rFonts w:ascii="Arial" w:hAnsi="Arial" w:cs="Arial"/>
        <w:sz w:val="18"/>
        <w:szCs w:val="18"/>
      </w:rPr>
      <w:instrText xml:space="preserve"> PAGE   \* MERGEFORMAT </w:instrText>
    </w:r>
    <w:r w:rsidR="00660B6C">
      <w:rPr>
        <w:rFonts w:ascii="Arial" w:hAnsi="Arial" w:cs="Arial"/>
        <w:sz w:val="18"/>
        <w:szCs w:val="18"/>
      </w:rPr>
      <w:fldChar w:fldCharType="separate"/>
    </w:r>
    <w:r w:rsidR="00FF21F6">
      <w:rPr>
        <w:rFonts w:ascii="Arial" w:hAnsi="Arial" w:cs="Arial"/>
        <w:noProof/>
        <w:sz w:val="18"/>
        <w:szCs w:val="18"/>
      </w:rPr>
      <w:t>1</w:t>
    </w:r>
    <w:r w:rsidR="00660B6C">
      <w:rPr>
        <w:rFonts w:ascii="Arial" w:hAnsi="Arial" w:cs="Arial"/>
        <w:sz w:val="18"/>
        <w:szCs w:val="18"/>
      </w:rPr>
      <w:fldChar w:fldCharType="end"/>
    </w:r>
    <w:r>
      <w:rPr>
        <w:rFonts w:ascii="Arial" w:hAnsi="Arial" w:cs="Arial"/>
        <w:sz w:val="18"/>
        <w:szCs w:val="18"/>
      </w:rPr>
      <w:t xml:space="preserve"> de </w:t>
    </w:r>
    <w:r w:rsidR="00FF21F6">
      <w:fldChar w:fldCharType="begin"/>
    </w:r>
    <w:r w:rsidR="00FF21F6">
      <w:instrText xml:space="preserve"> NUMPAGES   \* MERGEFORMAT </w:instrText>
    </w:r>
    <w:r w:rsidR="00FF21F6">
      <w:fldChar w:fldCharType="separate"/>
    </w:r>
    <w:r w:rsidR="00FF21F6" w:rsidRPr="00FF21F6">
      <w:rPr>
        <w:rFonts w:ascii="Arial" w:hAnsi="Arial" w:cs="Arial"/>
        <w:noProof/>
        <w:sz w:val="18"/>
        <w:szCs w:val="18"/>
      </w:rPr>
      <w:t>17</w:t>
    </w:r>
    <w:r w:rsidR="00FF21F6">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68" w:rsidRPr="004D18B1" w:rsidRDefault="009F0768">
    <w:pPr>
      <w:pStyle w:val="Footer"/>
      <w:pBdr>
        <w:top w:val="single" w:sz="4" w:space="1" w:color="auto"/>
      </w:pBdr>
      <w:tabs>
        <w:tab w:val="clear" w:pos="4320"/>
        <w:tab w:val="clear" w:pos="8640"/>
        <w:tab w:val="center" w:pos="4500"/>
        <w:tab w:val="right" w:pos="9000"/>
      </w:tabs>
      <w:rPr>
        <w:rFonts w:ascii="Arial" w:hAnsi="Arial" w:cs="Arial"/>
        <w:sz w:val="18"/>
        <w:szCs w:val="18"/>
        <w:lang w:val="en-GB"/>
      </w:rPr>
    </w:pPr>
    <w:r w:rsidRPr="004D18B1">
      <w:rPr>
        <w:rFonts w:ascii="Arial" w:hAnsi="Arial" w:cs="Arial"/>
        <w:sz w:val="18"/>
        <w:szCs w:val="18"/>
        <w:lang w:val="en-GB"/>
      </w:rPr>
      <w:t>Sixth Six-Month Progress Report</w:t>
    </w:r>
    <w:r w:rsidRPr="004D18B1">
      <w:rPr>
        <w:rFonts w:ascii="Arial" w:hAnsi="Arial" w:cs="Arial"/>
        <w:sz w:val="18"/>
        <w:szCs w:val="18"/>
        <w:lang w:val="en-GB"/>
      </w:rPr>
      <w:tab/>
      <w:t>1 January – 30 June 2007</w:t>
    </w:r>
    <w:r w:rsidRPr="004D18B1">
      <w:rPr>
        <w:rFonts w:ascii="Arial" w:hAnsi="Arial" w:cs="Arial"/>
        <w:sz w:val="18"/>
        <w:szCs w:val="18"/>
        <w:lang w:val="en-GB"/>
      </w:rPr>
      <w:tab/>
      <w:t xml:space="preserve">Page </w:t>
    </w:r>
    <w:r w:rsidR="00660B6C" w:rsidRPr="004D18B1">
      <w:rPr>
        <w:rFonts w:ascii="Arial" w:hAnsi="Arial" w:cs="Arial"/>
        <w:sz w:val="18"/>
        <w:szCs w:val="18"/>
        <w:lang w:val="en-GB"/>
      </w:rPr>
      <w:fldChar w:fldCharType="begin"/>
    </w:r>
    <w:r w:rsidRPr="004D18B1">
      <w:rPr>
        <w:rFonts w:ascii="Arial" w:hAnsi="Arial" w:cs="Arial"/>
        <w:sz w:val="18"/>
        <w:szCs w:val="18"/>
        <w:lang w:val="en-GB"/>
      </w:rPr>
      <w:instrText xml:space="preserve"> PAGE   \* MERGEFORMAT </w:instrText>
    </w:r>
    <w:r w:rsidR="00660B6C" w:rsidRPr="004D18B1">
      <w:rPr>
        <w:rFonts w:ascii="Arial" w:hAnsi="Arial" w:cs="Arial"/>
        <w:sz w:val="18"/>
        <w:szCs w:val="18"/>
        <w:lang w:val="en-GB"/>
      </w:rPr>
      <w:fldChar w:fldCharType="separate"/>
    </w:r>
    <w:r w:rsidRPr="004D18B1">
      <w:rPr>
        <w:rFonts w:ascii="Arial" w:hAnsi="Arial" w:cs="Arial"/>
        <w:noProof/>
        <w:sz w:val="18"/>
        <w:szCs w:val="18"/>
        <w:lang w:val="en-GB"/>
      </w:rPr>
      <w:t>5</w:t>
    </w:r>
    <w:r w:rsidR="00660B6C" w:rsidRPr="004D18B1">
      <w:rPr>
        <w:rFonts w:ascii="Arial" w:hAnsi="Arial" w:cs="Arial"/>
        <w:sz w:val="18"/>
        <w:szCs w:val="18"/>
        <w:lang w:val="en-GB"/>
      </w:rPr>
      <w:fldChar w:fldCharType="end"/>
    </w:r>
    <w:r w:rsidRPr="004D18B1">
      <w:rPr>
        <w:rFonts w:ascii="Arial" w:hAnsi="Arial" w:cs="Arial"/>
        <w:sz w:val="18"/>
        <w:szCs w:val="18"/>
        <w:lang w:val="en-GB"/>
      </w:rPr>
      <w:t xml:space="preserve"> of </w:t>
    </w:r>
    <w:r w:rsidR="008A19C0">
      <w:fldChar w:fldCharType="begin"/>
    </w:r>
    <w:r w:rsidR="008A19C0" w:rsidRPr="00232152">
      <w:rPr>
        <w:lang w:val="en-US"/>
      </w:rPr>
      <w:instrText xml:space="preserve"> NUMPAGES   \* MERGEFORMAT </w:instrText>
    </w:r>
    <w:r w:rsidR="008A19C0">
      <w:fldChar w:fldCharType="separate"/>
    </w:r>
    <w:r w:rsidRPr="004D18B1">
      <w:rPr>
        <w:rFonts w:ascii="Arial" w:hAnsi="Arial" w:cs="Arial"/>
        <w:noProof/>
        <w:sz w:val="18"/>
        <w:szCs w:val="18"/>
        <w:lang w:val="en-GB"/>
      </w:rPr>
      <w:t>6</w:t>
    </w:r>
    <w:r w:rsidR="008A19C0">
      <w:rPr>
        <w:rFonts w:ascii="Arial" w:hAnsi="Arial" w:cs="Arial"/>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D6" w:rsidRDefault="009122D6">
      <w:r>
        <w:separator/>
      </w:r>
    </w:p>
  </w:footnote>
  <w:footnote w:type="continuationSeparator" w:id="0">
    <w:p w:rsidR="009122D6" w:rsidRDefault="009122D6">
      <w:r>
        <w:continuationSeparator/>
      </w:r>
    </w:p>
  </w:footnote>
  <w:footnote w:id="1">
    <w:p w:rsidR="009F0768" w:rsidRPr="00F94A85" w:rsidRDefault="009F0768" w:rsidP="00B41DFE">
      <w:pPr>
        <w:pStyle w:val="FootnoteText"/>
        <w:rPr>
          <w:lang w:val="fr-FR"/>
        </w:rPr>
      </w:pPr>
      <w:r w:rsidRPr="00E3532D">
        <w:rPr>
          <w:rStyle w:val="FootnoteReference"/>
          <w:lang w:val="fr-FR"/>
        </w:rPr>
        <w:footnoteRef/>
      </w:r>
      <w:r w:rsidRPr="00E3532D">
        <w:rPr>
          <w:lang w:val="fr-FR"/>
        </w:rPr>
        <w:t xml:space="preserve"> Note: </w:t>
      </w:r>
      <w:r w:rsidRPr="00F94A85">
        <w:rPr>
          <w:lang w:val="fr-FR"/>
        </w:rPr>
        <w:t xml:space="preserve">Les </w:t>
      </w:r>
      <w:r>
        <w:rPr>
          <w:lang w:val="fr-FR"/>
        </w:rPr>
        <w:t xml:space="preserve">effets, </w:t>
      </w:r>
      <w:r w:rsidRPr="00F94A85">
        <w:rPr>
          <w:lang w:val="fr-FR"/>
        </w:rPr>
        <w:t xml:space="preserve">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Pr>
          <w:rFonts w:ascii="Times New Roman Bold" w:hAnsi="Times New Roman Bold"/>
          <w:b/>
          <w:lang w:val="fr-FR"/>
        </w:rPr>
        <w:t>/Plan Prioritaire ou PMP</w:t>
      </w:r>
      <w:r w:rsidRPr="00F94A85">
        <w:rPr>
          <w:lang w:val="fr-FR"/>
        </w:rPr>
        <w:t xml:space="preserve"> de sorte que vous rendrez compte de vos accomplissements par rapport aux objectifs prévus. Veuillez ajouter des lignes si nécessaires pour les résultats 2, 3, etc.</w:t>
      </w:r>
    </w:p>
    <w:p w:rsidR="009F0768" w:rsidRPr="00E3532D" w:rsidRDefault="009F0768" w:rsidP="00B41DFE">
      <w:pPr>
        <w:pStyle w:val="FootnoteText"/>
        <w:rPr>
          <w:lang w:val="fr-FR"/>
        </w:rPr>
      </w:pPr>
    </w:p>
  </w:footnote>
  <w:footnote w:id="2">
    <w:p w:rsidR="009F0768" w:rsidRPr="005B4B64" w:rsidRDefault="009F0768" w:rsidP="00B66207">
      <w:pPr>
        <w:pStyle w:val="FootnoteText"/>
        <w:rPr>
          <w:lang w:val="fr-FR"/>
        </w:rPr>
      </w:pPr>
      <w:r>
        <w:rPr>
          <w:rStyle w:val="FootnoteReference"/>
        </w:rPr>
        <w:footnoteRef/>
      </w:r>
      <w:r w:rsidRPr="00B66207">
        <w:rPr>
          <w:lang w:val="fr-BE"/>
        </w:rPr>
        <w:t xml:space="preserve"> </w:t>
      </w:r>
      <w:r w:rsidRPr="005B4B64">
        <w:rPr>
          <w:lang w:val="fr-FR"/>
        </w:rPr>
        <w:t>Les frais de gestion ont été</w:t>
      </w:r>
      <w:r>
        <w:rPr>
          <w:lang w:val="fr-FR"/>
        </w:rPr>
        <w:t xml:space="preserve"> comptabilis</w:t>
      </w:r>
      <w:r w:rsidRPr="005B4B64">
        <w:rPr>
          <w:lang w:val="fr-FR"/>
        </w:rPr>
        <w:t>és au  titre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68" w:rsidRDefault="00660B6C" w:rsidP="00595EB4">
    <w:pPr>
      <w:pStyle w:val="Header"/>
      <w:framePr w:wrap="around" w:vAnchor="text" w:hAnchor="margin" w:xAlign="center" w:y="1"/>
      <w:rPr>
        <w:rStyle w:val="PageNumber"/>
      </w:rPr>
    </w:pPr>
    <w:r>
      <w:rPr>
        <w:rStyle w:val="PageNumber"/>
      </w:rPr>
      <w:fldChar w:fldCharType="begin"/>
    </w:r>
    <w:r w:rsidR="009F0768">
      <w:rPr>
        <w:rStyle w:val="PageNumber"/>
      </w:rPr>
      <w:instrText xml:space="preserve">PAGE  </w:instrText>
    </w:r>
    <w:r>
      <w:rPr>
        <w:rStyle w:val="PageNumber"/>
      </w:rPr>
      <w:fldChar w:fldCharType="end"/>
    </w:r>
  </w:p>
  <w:p w:rsidR="009F0768" w:rsidRDefault="009F0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68" w:rsidRDefault="009F0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E6C6F"/>
    <w:multiLevelType w:val="multilevel"/>
    <w:tmpl w:val="469ACE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3">
    <w:nsid w:val="101D6A7D"/>
    <w:multiLevelType w:val="hybridMultilevel"/>
    <w:tmpl w:val="5984B574"/>
    <w:lvl w:ilvl="0" w:tplc="CA5237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56C75"/>
    <w:multiLevelType w:val="multilevel"/>
    <w:tmpl w:val="15E68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3B2A5A"/>
    <w:multiLevelType w:val="hybridMultilevel"/>
    <w:tmpl w:val="7DBAD244"/>
    <w:lvl w:ilvl="0" w:tplc="FDDEC900">
      <w:start w:val="1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96C77"/>
    <w:multiLevelType w:val="hybridMultilevel"/>
    <w:tmpl w:val="A564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41D23"/>
    <w:multiLevelType w:val="multilevel"/>
    <w:tmpl w:val="F708A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EC034B"/>
    <w:multiLevelType w:val="hybridMultilevel"/>
    <w:tmpl w:val="09E0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36D9F"/>
    <w:multiLevelType w:val="multilevel"/>
    <w:tmpl w:val="861201C0"/>
    <w:lvl w:ilvl="0">
      <w:start w:val="1"/>
      <w:numFmt w:val="decimal"/>
      <w:lvlText w:val="%1."/>
      <w:lvlJc w:val="left"/>
      <w:pPr>
        <w:ind w:left="709"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509" w:hanging="720"/>
      </w:pPr>
      <w:rPr>
        <w:rFonts w:hint="default"/>
      </w:rPr>
    </w:lvl>
    <w:lvl w:ilvl="3">
      <w:start w:val="1"/>
      <w:numFmt w:val="decimal"/>
      <w:lvlText w:val="%1.%2.%3.%4."/>
      <w:lvlJc w:val="left"/>
      <w:pPr>
        <w:ind w:left="3229" w:hanging="720"/>
      </w:pPr>
      <w:rPr>
        <w:rFonts w:hint="default"/>
      </w:rPr>
    </w:lvl>
    <w:lvl w:ilvl="4">
      <w:start w:val="1"/>
      <w:numFmt w:val="decimal"/>
      <w:lvlText w:val="%1.%2.%3.%4.%5."/>
      <w:lvlJc w:val="left"/>
      <w:pPr>
        <w:ind w:left="4309" w:hanging="1080"/>
      </w:pPr>
      <w:rPr>
        <w:rFonts w:hint="default"/>
      </w:rPr>
    </w:lvl>
    <w:lvl w:ilvl="5">
      <w:start w:val="1"/>
      <w:numFmt w:val="decimal"/>
      <w:lvlText w:val="%1.%2.%3.%4.%5.%6."/>
      <w:lvlJc w:val="left"/>
      <w:pPr>
        <w:ind w:left="5029" w:hanging="1080"/>
      </w:pPr>
      <w:rPr>
        <w:rFonts w:hint="default"/>
      </w:rPr>
    </w:lvl>
    <w:lvl w:ilvl="6">
      <w:start w:val="1"/>
      <w:numFmt w:val="decimal"/>
      <w:lvlText w:val="%1.%2.%3.%4.%5.%6.%7."/>
      <w:lvlJc w:val="left"/>
      <w:pPr>
        <w:ind w:left="6109" w:hanging="1440"/>
      </w:pPr>
      <w:rPr>
        <w:rFonts w:hint="default"/>
      </w:rPr>
    </w:lvl>
    <w:lvl w:ilvl="7">
      <w:start w:val="1"/>
      <w:numFmt w:val="decimal"/>
      <w:lvlText w:val="%1.%2.%3.%4.%5.%6.%7.%8."/>
      <w:lvlJc w:val="left"/>
      <w:pPr>
        <w:ind w:left="6829" w:hanging="1440"/>
      </w:pPr>
      <w:rPr>
        <w:rFonts w:hint="default"/>
      </w:rPr>
    </w:lvl>
    <w:lvl w:ilvl="8">
      <w:start w:val="1"/>
      <w:numFmt w:val="decimal"/>
      <w:lvlText w:val="%1.%2.%3.%4.%5.%6.%7.%8.%9."/>
      <w:lvlJc w:val="left"/>
      <w:pPr>
        <w:ind w:left="7909" w:hanging="1800"/>
      </w:pPr>
      <w:rPr>
        <w:rFonts w:hint="default"/>
      </w:rPr>
    </w:lvl>
  </w:abstractNum>
  <w:abstractNum w:abstractNumId="14">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32626"/>
    <w:multiLevelType w:val="multilevel"/>
    <w:tmpl w:val="9BDA936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B83FBC"/>
    <w:multiLevelType w:val="hybridMultilevel"/>
    <w:tmpl w:val="F37C86F0"/>
    <w:lvl w:ilvl="0" w:tplc="070A43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B19BC"/>
    <w:multiLevelType w:val="hybridMultilevel"/>
    <w:tmpl w:val="A66282D0"/>
    <w:lvl w:ilvl="0" w:tplc="46C087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427D4D"/>
    <w:multiLevelType w:val="multilevel"/>
    <w:tmpl w:val="7CE83A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7B55E1"/>
    <w:multiLevelType w:val="hybridMultilevel"/>
    <w:tmpl w:val="C56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259E8"/>
    <w:multiLevelType w:val="hybridMultilevel"/>
    <w:tmpl w:val="D4741A2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53BC2115"/>
    <w:multiLevelType w:val="multilevel"/>
    <w:tmpl w:val="9D96F2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437145C"/>
    <w:multiLevelType w:val="hybridMultilevel"/>
    <w:tmpl w:val="6C6A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935E6"/>
    <w:multiLevelType w:val="hybridMultilevel"/>
    <w:tmpl w:val="F3A6F2EE"/>
    <w:lvl w:ilvl="0" w:tplc="5C160FF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F046056"/>
    <w:multiLevelType w:val="hybridMultilevel"/>
    <w:tmpl w:val="8A4864A4"/>
    <w:lvl w:ilvl="0" w:tplc="0636C8C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13946"/>
    <w:multiLevelType w:val="multilevel"/>
    <w:tmpl w:val="469ACE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6BF6855"/>
    <w:multiLevelType w:val="multilevel"/>
    <w:tmpl w:val="9BDA936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DF642D7"/>
    <w:multiLevelType w:val="hybridMultilevel"/>
    <w:tmpl w:val="1DD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660D6"/>
    <w:multiLevelType w:val="multilevel"/>
    <w:tmpl w:val="8446F0C8"/>
    <w:lvl w:ilvl="0">
      <w:start w:val="1"/>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2"/>
  </w:num>
  <w:num w:numId="2">
    <w:abstractNumId w:val="14"/>
  </w:num>
  <w:num w:numId="3">
    <w:abstractNumId w:val="0"/>
  </w:num>
  <w:num w:numId="4">
    <w:abstractNumId w:val="15"/>
  </w:num>
  <w:num w:numId="5">
    <w:abstractNumId w:val="25"/>
  </w:num>
  <w:num w:numId="6">
    <w:abstractNumId w:val="18"/>
  </w:num>
  <w:num w:numId="7">
    <w:abstractNumId w:val="31"/>
  </w:num>
  <w:num w:numId="8">
    <w:abstractNumId w:val="8"/>
  </w:num>
  <w:num w:numId="9">
    <w:abstractNumId w:val="12"/>
  </w:num>
  <w:num w:numId="10">
    <w:abstractNumId w:val="33"/>
  </w:num>
  <w:num w:numId="11">
    <w:abstractNumId w:val="11"/>
  </w:num>
  <w:num w:numId="12">
    <w:abstractNumId w:val="19"/>
  </w:num>
  <w:num w:numId="13">
    <w:abstractNumId w:val="4"/>
  </w:num>
  <w:num w:numId="14">
    <w:abstractNumId w:val="32"/>
  </w:num>
  <w:num w:numId="15">
    <w:abstractNumId w:val="7"/>
  </w:num>
  <w:num w:numId="16">
    <w:abstractNumId w:val="26"/>
  </w:num>
  <w:num w:numId="17">
    <w:abstractNumId w:val="3"/>
  </w:num>
  <w:num w:numId="18">
    <w:abstractNumId w:val="9"/>
  </w:num>
  <w:num w:numId="19">
    <w:abstractNumId w:val="13"/>
  </w:num>
  <w:num w:numId="20">
    <w:abstractNumId w:val="23"/>
  </w:num>
  <w:num w:numId="21">
    <w:abstractNumId w:val="21"/>
  </w:num>
  <w:num w:numId="22">
    <w:abstractNumId w:val="34"/>
  </w:num>
  <w:num w:numId="23">
    <w:abstractNumId w:val="28"/>
  </w:num>
  <w:num w:numId="24">
    <w:abstractNumId w:val="1"/>
  </w:num>
  <w:num w:numId="25">
    <w:abstractNumId w:val="5"/>
  </w:num>
  <w:num w:numId="26">
    <w:abstractNumId w:val="29"/>
  </w:num>
  <w:num w:numId="27">
    <w:abstractNumId w:val="16"/>
  </w:num>
  <w:num w:numId="28">
    <w:abstractNumId w:val="20"/>
  </w:num>
  <w:num w:numId="29">
    <w:abstractNumId w:val="10"/>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4"/>
  </w:num>
  <w:num w:numId="34">
    <w:abstractNumId w:val="27"/>
  </w:num>
  <w:num w:numId="35">
    <w:abstractNumId w:val="1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ACB"/>
    <w:rsid w:val="00001E49"/>
    <w:rsid w:val="00003415"/>
    <w:rsid w:val="00004401"/>
    <w:rsid w:val="0000600A"/>
    <w:rsid w:val="00006D54"/>
    <w:rsid w:val="00007365"/>
    <w:rsid w:val="00007B30"/>
    <w:rsid w:val="00007BC1"/>
    <w:rsid w:val="00011069"/>
    <w:rsid w:val="000116C1"/>
    <w:rsid w:val="0001585B"/>
    <w:rsid w:val="00015C58"/>
    <w:rsid w:val="000164AE"/>
    <w:rsid w:val="00022ACB"/>
    <w:rsid w:val="000234F4"/>
    <w:rsid w:val="000256FA"/>
    <w:rsid w:val="00026454"/>
    <w:rsid w:val="0003210A"/>
    <w:rsid w:val="000324A3"/>
    <w:rsid w:val="00033959"/>
    <w:rsid w:val="00036E35"/>
    <w:rsid w:val="000440E9"/>
    <w:rsid w:val="00044194"/>
    <w:rsid w:val="000445F1"/>
    <w:rsid w:val="00044EF4"/>
    <w:rsid w:val="0004701E"/>
    <w:rsid w:val="00047A98"/>
    <w:rsid w:val="00050376"/>
    <w:rsid w:val="00051516"/>
    <w:rsid w:val="00054DCB"/>
    <w:rsid w:val="00055CA5"/>
    <w:rsid w:val="000609E9"/>
    <w:rsid w:val="00060B1F"/>
    <w:rsid w:val="00062878"/>
    <w:rsid w:val="00064103"/>
    <w:rsid w:val="000646FF"/>
    <w:rsid w:val="00065738"/>
    <w:rsid w:val="000665EF"/>
    <w:rsid w:val="000674E5"/>
    <w:rsid w:val="0006769A"/>
    <w:rsid w:val="00067E99"/>
    <w:rsid w:val="00070673"/>
    <w:rsid w:val="00071863"/>
    <w:rsid w:val="0007217D"/>
    <w:rsid w:val="00075754"/>
    <w:rsid w:val="00075E09"/>
    <w:rsid w:val="00076233"/>
    <w:rsid w:val="00076F81"/>
    <w:rsid w:val="00077606"/>
    <w:rsid w:val="000815B9"/>
    <w:rsid w:val="00083FC2"/>
    <w:rsid w:val="000909BE"/>
    <w:rsid w:val="00091616"/>
    <w:rsid w:val="000949C9"/>
    <w:rsid w:val="000961B9"/>
    <w:rsid w:val="000A14A2"/>
    <w:rsid w:val="000A21E7"/>
    <w:rsid w:val="000A483D"/>
    <w:rsid w:val="000A6BB6"/>
    <w:rsid w:val="000B08F7"/>
    <w:rsid w:val="000B1923"/>
    <w:rsid w:val="000B3020"/>
    <w:rsid w:val="000B4388"/>
    <w:rsid w:val="000B7AFA"/>
    <w:rsid w:val="000C1E2D"/>
    <w:rsid w:val="000C3782"/>
    <w:rsid w:val="000C663B"/>
    <w:rsid w:val="000C6E48"/>
    <w:rsid w:val="000D0C98"/>
    <w:rsid w:val="000D3582"/>
    <w:rsid w:val="000D5162"/>
    <w:rsid w:val="000D637F"/>
    <w:rsid w:val="000D6F3F"/>
    <w:rsid w:val="000D7806"/>
    <w:rsid w:val="000E00CD"/>
    <w:rsid w:val="000E20A9"/>
    <w:rsid w:val="000E20E0"/>
    <w:rsid w:val="000E222E"/>
    <w:rsid w:val="000E2244"/>
    <w:rsid w:val="000E4090"/>
    <w:rsid w:val="000E4422"/>
    <w:rsid w:val="000E5282"/>
    <w:rsid w:val="000E56D7"/>
    <w:rsid w:val="000E7FB6"/>
    <w:rsid w:val="000F04C6"/>
    <w:rsid w:val="000F17B2"/>
    <w:rsid w:val="00104412"/>
    <w:rsid w:val="00105995"/>
    <w:rsid w:val="001075E0"/>
    <w:rsid w:val="001079CC"/>
    <w:rsid w:val="00110DDD"/>
    <w:rsid w:val="00111C9C"/>
    <w:rsid w:val="00112D95"/>
    <w:rsid w:val="0011440F"/>
    <w:rsid w:val="0011559A"/>
    <w:rsid w:val="00116120"/>
    <w:rsid w:val="001169F1"/>
    <w:rsid w:val="00117EEA"/>
    <w:rsid w:val="00122DC1"/>
    <w:rsid w:val="0012466B"/>
    <w:rsid w:val="00125271"/>
    <w:rsid w:val="00131EE4"/>
    <w:rsid w:val="00132CB9"/>
    <w:rsid w:val="00133BD3"/>
    <w:rsid w:val="001377E8"/>
    <w:rsid w:val="0014011C"/>
    <w:rsid w:val="00140706"/>
    <w:rsid w:val="001473C0"/>
    <w:rsid w:val="001519D1"/>
    <w:rsid w:val="00151F6F"/>
    <w:rsid w:val="00152115"/>
    <w:rsid w:val="00152378"/>
    <w:rsid w:val="001527E8"/>
    <w:rsid w:val="00152E92"/>
    <w:rsid w:val="00154290"/>
    <w:rsid w:val="001576EA"/>
    <w:rsid w:val="001607BA"/>
    <w:rsid w:val="00161B6B"/>
    <w:rsid w:val="00163695"/>
    <w:rsid w:val="001662E1"/>
    <w:rsid w:val="001700D9"/>
    <w:rsid w:val="00170556"/>
    <w:rsid w:val="00171F6E"/>
    <w:rsid w:val="00172EA3"/>
    <w:rsid w:val="00173E5B"/>
    <w:rsid w:val="0017581B"/>
    <w:rsid w:val="001822CA"/>
    <w:rsid w:val="001836FF"/>
    <w:rsid w:val="00184AD1"/>
    <w:rsid w:val="00184B1C"/>
    <w:rsid w:val="00191231"/>
    <w:rsid w:val="00192C0F"/>
    <w:rsid w:val="001A222A"/>
    <w:rsid w:val="001A37C9"/>
    <w:rsid w:val="001A43F0"/>
    <w:rsid w:val="001A5E0B"/>
    <w:rsid w:val="001A5F8A"/>
    <w:rsid w:val="001A6CBC"/>
    <w:rsid w:val="001B67A1"/>
    <w:rsid w:val="001C171D"/>
    <w:rsid w:val="001C644D"/>
    <w:rsid w:val="001C6983"/>
    <w:rsid w:val="001C698E"/>
    <w:rsid w:val="001D1819"/>
    <w:rsid w:val="001D280D"/>
    <w:rsid w:val="001D2AAC"/>
    <w:rsid w:val="001E4DCF"/>
    <w:rsid w:val="001E5296"/>
    <w:rsid w:val="001E5490"/>
    <w:rsid w:val="001E79E5"/>
    <w:rsid w:val="001F0026"/>
    <w:rsid w:val="001F07E2"/>
    <w:rsid w:val="001F269E"/>
    <w:rsid w:val="001F28B3"/>
    <w:rsid w:val="001F33F1"/>
    <w:rsid w:val="001F40E3"/>
    <w:rsid w:val="001F47E7"/>
    <w:rsid w:val="001F52D0"/>
    <w:rsid w:val="001F6F2F"/>
    <w:rsid w:val="001F7C1C"/>
    <w:rsid w:val="00202126"/>
    <w:rsid w:val="0020340C"/>
    <w:rsid w:val="002036CC"/>
    <w:rsid w:val="00203C63"/>
    <w:rsid w:val="0021092C"/>
    <w:rsid w:val="002139A1"/>
    <w:rsid w:val="00213A4E"/>
    <w:rsid w:val="00216361"/>
    <w:rsid w:val="002167F3"/>
    <w:rsid w:val="0021731C"/>
    <w:rsid w:val="0022562F"/>
    <w:rsid w:val="0022642C"/>
    <w:rsid w:val="00231319"/>
    <w:rsid w:val="00231E0F"/>
    <w:rsid w:val="00231E45"/>
    <w:rsid w:val="00232152"/>
    <w:rsid w:val="00240103"/>
    <w:rsid w:val="0024056E"/>
    <w:rsid w:val="00240E17"/>
    <w:rsid w:val="00241E68"/>
    <w:rsid w:val="0024221A"/>
    <w:rsid w:val="00243BD4"/>
    <w:rsid w:val="00244654"/>
    <w:rsid w:val="0024567C"/>
    <w:rsid w:val="00246D67"/>
    <w:rsid w:val="0024716E"/>
    <w:rsid w:val="00247557"/>
    <w:rsid w:val="0025103B"/>
    <w:rsid w:val="002518FB"/>
    <w:rsid w:val="00252830"/>
    <w:rsid w:val="002534D1"/>
    <w:rsid w:val="00253822"/>
    <w:rsid w:val="00253B25"/>
    <w:rsid w:val="00257F89"/>
    <w:rsid w:val="00262889"/>
    <w:rsid w:val="00264361"/>
    <w:rsid w:val="00267D99"/>
    <w:rsid w:val="0027031A"/>
    <w:rsid w:val="002715AD"/>
    <w:rsid w:val="00272907"/>
    <w:rsid w:val="00272BDB"/>
    <w:rsid w:val="0027398B"/>
    <w:rsid w:val="00275D16"/>
    <w:rsid w:val="0028032D"/>
    <w:rsid w:val="00282180"/>
    <w:rsid w:val="002828C1"/>
    <w:rsid w:val="00283362"/>
    <w:rsid w:val="00287829"/>
    <w:rsid w:val="00293B3A"/>
    <w:rsid w:val="00294791"/>
    <w:rsid w:val="00295A26"/>
    <w:rsid w:val="0029694B"/>
    <w:rsid w:val="00297385"/>
    <w:rsid w:val="00297516"/>
    <w:rsid w:val="002A13AA"/>
    <w:rsid w:val="002A4481"/>
    <w:rsid w:val="002A4982"/>
    <w:rsid w:val="002B056D"/>
    <w:rsid w:val="002B0660"/>
    <w:rsid w:val="002B222B"/>
    <w:rsid w:val="002B31EF"/>
    <w:rsid w:val="002B32E5"/>
    <w:rsid w:val="002C20F1"/>
    <w:rsid w:val="002C5958"/>
    <w:rsid w:val="002C6D27"/>
    <w:rsid w:val="002C73D4"/>
    <w:rsid w:val="002D0C9D"/>
    <w:rsid w:val="002D105C"/>
    <w:rsid w:val="002D1712"/>
    <w:rsid w:val="002D359A"/>
    <w:rsid w:val="002D3F09"/>
    <w:rsid w:val="002D4116"/>
    <w:rsid w:val="002D5DF4"/>
    <w:rsid w:val="002D7970"/>
    <w:rsid w:val="002D797E"/>
    <w:rsid w:val="002D7D73"/>
    <w:rsid w:val="002E0C2B"/>
    <w:rsid w:val="002E5AE5"/>
    <w:rsid w:val="002F17D3"/>
    <w:rsid w:val="002F29D9"/>
    <w:rsid w:val="002F402B"/>
    <w:rsid w:val="002F672E"/>
    <w:rsid w:val="002F69C6"/>
    <w:rsid w:val="002F6F9A"/>
    <w:rsid w:val="0030076E"/>
    <w:rsid w:val="003029D7"/>
    <w:rsid w:val="00302A7B"/>
    <w:rsid w:val="00304929"/>
    <w:rsid w:val="00304C5E"/>
    <w:rsid w:val="003056C7"/>
    <w:rsid w:val="00310519"/>
    <w:rsid w:val="00310E18"/>
    <w:rsid w:val="003153D6"/>
    <w:rsid w:val="00316BDB"/>
    <w:rsid w:val="00317C09"/>
    <w:rsid w:val="00317EDC"/>
    <w:rsid w:val="003236F5"/>
    <w:rsid w:val="00332795"/>
    <w:rsid w:val="00332F6C"/>
    <w:rsid w:val="00334073"/>
    <w:rsid w:val="003344F4"/>
    <w:rsid w:val="00334C83"/>
    <w:rsid w:val="003411B4"/>
    <w:rsid w:val="003414EA"/>
    <w:rsid w:val="00341825"/>
    <w:rsid w:val="003423D0"/>
    <w:rsid w:val="00342CAC"/>
    <w:rsid w:val="00343FB0"/>
    <w:rsid w:val="00345956"/>
    <w:rsid w:val="00347FBC"/>
    <w:rsid w:val="00351AD5"/>
    <w:rsid w:val="00351B3A"/>
    <w:rsid w:val="00351BF9"/>
    <w:rsid w:val="00351DC5"/>
    <w:rsid w:val="00352446"/>
    <w:rsid w:val="00354BF1"/>
    <w:rsid w:val="0035519D"/>
    <w:rsid w:val="003620EA"/>
    <w:rsid w:val="00362F26"/>
    <w:rsid w:val="00370882"/>
    <w:rsid w:val="003717E7"/>
    <w:rsid w:val="0037226B"/>
    <w:rsid w:val="0037263B"/>
    <w:rsid w:val="00373CAF"/>
    <w:rsid w:val="00374251"/>
    <w:rsid w:val="00382990"/>
    <w:rsid w:val="00382D4E"/>
    <w:rsid w:val="00382FDA"/>
    <w:rsid w:val="00384C8C"/>
    <w:rsid w:val="0038672F"/>
    <w:rsid w:val="003917BB"/>
    <w:rsid w:val="00391CBF"/>
    <w:rsid w:val="003976B5"/>
    <w:rsid w:val="003A069A"/>
    <w:rsid w:val="003A4E7F"/>
    <w:rsid w:val="003B0A11"/>
    <w:rsid w:val="003B3457"/>
    <w:rsid w:val="003B5289"/>
    <w:rsid w:val="003C3526"/>
    <w:rsid w:val="003C377A"/>
    <w:rsid w:val="003C40C4"/>
    <w:rsid w:val="003C4DF5"/>
    <w:rsid w:val="003C5543"/>
    <w:rsid w:val="003D1A08"/>
    <w:rsid w:val="003D1AA7"/>
    <w:rsid w:val="003D50C7"/>
    <w:rsid w:val="003E4838"/>
    <w:rsid w:val="003E791B"/>
    <w:rsid w:val="003E7E5E"/>
    <w:rsid w:val="003F01A8"/>
    <w:rsid w:val="003F17F5"/>
    <w:rsid w:val="003F3DA5"/>
    <w:rsid w:val="004001D8"/>
    <w:rsid w:val="00400536"/>
    <w:rsid w:val="004021CB"/>
    <w:rsid w:val="0040574D"/>
    <w:rsid w:val="00405A7B"/>
    <w:rsid w:val="004063F0"/>
    <w:rsid w:val="00406858"/>
    <w:rsid w:val="0041184E"/>
    <w:rsid w:val="0041187C"/>
    <w:rsid w:val="004154D6"/>
    <w:rsid w:val="00415EFE"/>
    <w:rsid w:val="0041617A"/>
    <w:rsid w:val="0042137C"/>
    <w:rsid w:val="00421A64"/>
    <w:rsid w:val="00425304"/>
    <w:rsid w:val="00425664"/>
    <w:rsid w:val="004259C7"/>
    <w:rsid w:val="00433561"/>
    <w:rsid w:val="00435D0C"/>
    <w:rsid w:val="00436830"/>
    <w:rsid w:val="00437CA3"/>
    <w:rsid w:val="00440713"/>
    <w:rsid w:val="00442507"/>
    <w:rsid w:val="00443DB4"/>
    <w:rsid w:val="00444BCB"/>
    <w:rsid w:val="0044507A"/>
    <w:rsid w:val="00445B9D"/>
    <w:rsid w:val="00450B6E"/>
    <w:rsid w:val="00450BB2"/>
    <w:rsid w:val="00450F6C"/>
    <w:rsid w:val="00451B93"/>
    <w:rsid w:val="004603C1"/>
    <w:rsid w:val="00461426"/>
    <w:rsid w:val="00461D96"/>
    <w:rsid w:val="00462138"/>
    <w:rsid w:val="00463240"/>
    <w:rsid w:val="004638D6"/>
    <w:rsid w:val="00463A57"/>
    <w:rsid w:val="00465A60"/>
    <w:rsid w:val="00465F7A"/>
    <w:rsid w:val="004677BE"/>
    <w:rsid w:val="0047050A"/>
    <w:rsid w:val="00471A2D"/>
    <w:rsid w:val="0047349D"/>
    <w:rsid w:val="00473B43"/>
    <w:rsid w:val="004748F0"/>
    <w:rsid w:val="00474A01"/>
    <w:rsid w:val="00474E09"/>
    <w:rsid w:val="00475EC5"/>
    <w:rsid w:val="00476137"/>
    <w:rsid w:val="004801A7"/>
    <w:rsid w:val="004855DB"/>
    <w:rsid w:val="0048739A"/>
    <w:rsid w:val="0049081F"/>
    <w:rsid w:val="004925FD"/>
    <w:rsid w:val="004954F9"/>
    <w:rsid w:val="004958E3"/>
    <w:rsid w:val="004A44E3"/>
    <w:rsid w:val="004A5EDB"/>
    <w:rsid w:val="004A760C"/>
    <w:rsid w:val="004A798C"/>
    <w:rsid w:val="004B68F6"/>
    <w:rsid w:val="004B708D"/>
    <w:rsid w:val="004B72C8"/>
    <w:rsid w:val="004B7EBF"/>
    <w:rsid w:val="004C210D"/>
    <w:rsid w:val="004C3706"/>
    <w:rsid w:val="004C68EB"/>
    <w:rsid w:val="004D18B1"/>
    <w:rsid w:val="004D445C"/>
    <w:rsid w:val="004D4C2B"/>
    <w:rsid w:val="004D5E5E"/>
    <w:rsid w:val="004E033B"/>
    <w:rsid w:val="004E3C1D"/>
    <w:rsid w:val="004E4157"/>
    <w:rsid w:val="004E6DDD"/>
    <w:rsid w:val="004F41DA"/>
    <w:rsid w:val="004F42A0"/>
    <w:rsid w:val="004F4458"/>
    <w:rsid w:val="004F5437"/>
    <w:rsid w:val="004F5C76"/>
    <w:rsid w:val="004F6F83"/>
    <w:rsid w:val="004F7992"/>
    <w:rsid w:val="00500C18"/>
    <w:rsid w:val="00500C8A"/>
    <w:rsid w:val="005039F1"/>
    <w:rsid w:val="00506BB3"/>
    <w:rsid w:val="005070D8"/>
    <w:rsid w:val="0051171E"/>
    <w:rsid w:val="00511ABB"/>
    <w:rsid w:val="00511EF1"/>
    <w:rsid w:val="005161F9"/>
    <w:rsid w:val="00517BFC"/>
    <w:rsid w:val="005206D6"/>
    <w:rsid w:val="00522578"/>
    <w:rsid w:val="00522C61"/>
    <w:rsid w:val="0052365C"/>
    <w:rsid w:val="00523E7A"/>
    <w:rsid w:val="00526AC9"/>
    <w:rsid w:val="00527264"/>
    <w:rsid w:val="00527731"/>
    <w:rsid w:val="0053054F"/>
    <w:rsid w:val="00530B10"/>
    <w:rsid w:val="005327CC"/>
    <w:rsid w:val="00532CBB"/>
    <w:rsid w:val="00535E01"/>
    <w:rsid w:val="00537241"/>
    <w:rsid w:val="00537D9F"/>
    <w:rsid w:val="00542C5C"/>
    <w:rsid w:val="005440CA"/>
    <w:rsid w:val="005501B5"/>
    <w:rsid w:val="005511BA"/>
    <w:rsid w:val="00553721"/>
    <w:rsid w:val="005562ED"/>
    <w:rsid w:val="00557073"/>
    <w:rsid w:val="0056097D"/>
    <w:rsid w:val="005642EE"/>
    <w:rsid w:val="0056460A"/>
    <w:rsid w:val="00565422"/>
    <w:rsid w:val="00566EDF"/>
    <w:rsid w:val="005675A0"/>
    <w:rsid w:val="00567F17"/>
    <w:rsid w:val="0057171C"/>
    <w:rsid w:val="00573D5E"/>
    <w:rsid w:val="0057747B"/>
    <w:rsid w:val="00580626"/>
    <w:rsid w:val="0058079E"/>
    <w:rsid w:val="005809F9"/>
    <w:rsid w:val="00580D38"/>
    <w:rsid w:val="00582B7A"/>
    <w:rsid w:val="00585B55"/>
    <w:rsid w:val="00587925"/>
    <w:rsid w:val="005901F5"/>
    <w:rsid w:val="005951FB"/>
    <w:rsid w:val="00595EB4"/>
    <w:rsid w:val="00596F21"/>
    <w:rsid w:val="005A085D"/>
    <w:rsid w:val="005A110A"/>
    <w:rsid w:val="005A2963"/>
    <w:rsid w:val="005A3D08"/>
    <w:rsid w:val="005A4AE8"/>
    <w:rsid w:val="005A4E98"/>
    <w:rsid w:val="005A55C8"/>
    <w:rsid w:val="005A7566"/>
    <w:rsid w:val="005B053A"/>
    <w:rsid w:val="005B2CC8"/>
    <w:rsid w:val="005B7EEA"/>
    <w:rsid w:val="005C00DE"/>
    <w:rsid w:val="005C37E3"/>
    <w:rsid w:val="005C49FB"/>
    <w:rsid w:val="005C661D"/>
    <w:rsid w:val="005C7355"/>
    <w:rsid w:val="005C73A2"/>
    <w:rsid w:val="005C7AFA"/>
    <w:rsid w:val="005C7D24"/>
    <w:rsid w:val="005D003B"/>
    <w:rsid w:val="005D110C"/>
    <w:rsid w:val="005D2620"/>
    <w:rsid w:val="005D42D6"/>
    <w:rsid w:val="005D6AF3"/>
    <w:rsid w:val="005D6E70"/>
    <w:rsid w:val="005E1A95"/>
    <w:rsid w:val="005E2839"/>
    <w:rsid w:val="005E7678"/>
    <w:rsid w:val="005E7908"/>
    <w:rsid w:val="005F1A40"/>
    <w:rsid w:val="005F26F8"/>
    <w:rsid w:val="005F43B8"/>
    <w:rsid w:val="005F46EB"/>
    <w:rsid w:val="005F5182"/>
    <w:rsid w:val="005F52EC"/>
    <w:rsid w:val="00601040"/>
    <w:rsid w:val="00601804"/>
    <w:rsid w:val="0060279C"/>
    <w:rsid w:val="00603A46"/>
    <w:rsid w:val="00607912"/>
    <w:rsid w:val="0061117C"/>
    <w:rsid w:val="00611BD1"/>
    <w:rsid w:val="00611DE4"/>
    <w:rsid w:val="006132F7"/>
    <w:rsid w:val="00613450"/>
    <w:rsid w:val="006149E7"/>
    <w:rsid w:val="00616DE0"/>
    <w:rsid w:val="006209F1"/>
    <w:rsid w:val="00621CBC"/>
    <w:rsid w:val="00622157"/>
    <w:rsid w:val="00622814"/>
    <w:rsid w:val="00623F06"/>
    <w:rsid w:val="00625E7A"/>
    <w:rsid w:val="00627724"/>
    <w:rsid w:val="00627A59"/>
    <w:rsid w:val="006329C7"/>
    <w:rsid w:val="00637CE9"/>
    <w:rsid w:val="006400E3"/>
    <w:rsid w:val="006417AF"/>
    <w:rsid w:val="00642A3E"/>
    <w:rsid w:val="00643882"/>
    <w:rsid w:val="00643DBE"/>
    <w:rsid w:val="00645321"/>
    <w:rsid w:val="0065640A"/>
    <w:rsid w:val="00656AC7"/>
    <w:rsid w:val="006573F7"/>
    <w:rsid w:val="00660B6C"/>
    <w:rsid w:val="0066211F"/>
    <w:rsid w:val="00663FC1"/>
    <w:rsid w:val="00667123"/>
    <w:rsid w:val="00667365"/>
    <w:rsid w:val="00673BC8"/>
    <w:rsid w:val="00676026"/>
    <w:rsid w:val="00677142"/>
    <w:rsid w:val="00677D6C"/>
    <w:rsid w:val="00680CD8"/>
    <w:rsid w:val="0068295C"/>
    <w:rsid w:val="00682A5E"/>
    <w:rsid w:val="00686E13"/>
    <w:rsid w:val="006908A9"/>
    <w:rsid w:val="00690D2A"/>
    <w:rsid w:val="00690DE0"/>
    <w:rsid w:val="00691A52"/>
    <w:rsid w:val="006942CF"/>
    <w:rsid w:val="006944F3"/>
    <w:rsid w:val="00694A8D"/>
    <w:rsid w:val="006954A1"/>
    <w:rsid w:val="006A1C9C"/>
    <w:rsid w:val="006A259B"/>
    <w:rsid w:val="006A599A"/>
    <w:rsid w:val="006A61FF"/>
    <w:rsid w:val="006B2089"/>
    <w:rsid w:val="006B2124"/>
    <w:rsid w:val="006B2368"/>
    <w:rsid w:val="006B301D"/>
    <w:rsid w:val="006B3AC1"/>
    <w:rsid w:val="006B4A98"/>
    <w:rsid w:val="006B5076"/>
    <w:rsid w:val="006B5D15"/>
    <w:rsid w:val="006C1F0A"/>
    <w:rsid w:val="006C299A"/>
    <w:rsid w:val="006C319D"/>
    <w:rsid w:val="006C3F9B"/>
    <w:rsid w:val="006C59A7"/>
    <w:rsid w:val="006C7598"/>
    <w:rsid w:val="006C7E2F"/>
    <w:rsid w:val="006D13E5"/>
    <w:rsid w:val="006D25F3"/>
    <w:rsid w:val="006D35F0"/>
    <w:rsid w:val="006D3909"/>
    <w:rsid w:val="006D73C0"/>
    <w:rsid w:val="006E014B"/>
    <w:rsid w:val="006E1149"/>
    <w:rsid w:val="006E1D9C"/>
    <w:rsid w:val="006E3923"/>
    <w:rsid w:val="006E4B4B"/>
    <w:rsid w:val="006E5206"/>
    <w:rsid w:val="006E553E"/>
    <w:rsid w:val="006E7EC7"/>
    <w:rsid w:val="006F2564"/>
    <w:rsid w:val="006F262D"/>
    <w:rsid w:val="006F351D"/>
    <w:rsid w:val="006F626D"/>
    <w:rsid w:val="006F793C"/>
    <w:rsid w:val="006F7F13"/>
    <w:rsid w:val="00700EBF"/>
    <w:rsid w:val="007024F9"/>
    <w:rsid w:val="00702CEF"/>
    <w:rsid w:val="0070326C"/>
    <w:rsid w:val="00705F4F"/>
    <w:rsid w:val="0071087B"/>
    <w:rsid w:val="0071258C"/>
    <w:rsid w:val="007140CB"/>
    <w:rsid w:val="00716A5B"/>
    <w:rsid w:val="00716F13"/>
    <w:rsid w:val="007244B1"/>
    <w:rsid w:val="0072545E"/>
    <w:rsid w:val="00730F04"/>
    <w:rsid w:val="0073108D"/>
    <w:rsid w:val="00731564"/>
    <w:rsid w:val="0073224A"/>
    <w:rsid w:val="007335B1"/>
    <w:rsid w:val="00737024"/>
    <w:rsid w:val="007416DD"/>
    <w:rsid w:val="00741F65"/>
    <w:rsid w:val="00742904"/>
    <w:rsid w:val="00744768"/>
    <w:rsid w:val="00745FC8"/>
    <w:rsid w:val="007461D0"/>
    <w:rsid w:val="0074677C"/>
    <w:rsid w:val="00746852"/>
    <w:rsid w:val="00750CAC"/>
    <w:rsid w:val="00752660"/>
    <w:rsid w:val="00753C6A"/>
    <w:rsid w:val="0075558F"/>
    <w:rsid w:val="00755737"/>
    <w:rsid w:val="00756D2F"/>
    <w:rsid w:val="00756D7C"/>
    <w:rsid w:val="00760368"/>
    <w:rsid w:val="00760D83"/>
    <w:rsid w:val="00761EDA"/>
    <w:rsid w:val="00764328"/>
    <w:rsid w:val="00764709"/>
    <w:rsid w:val="00766CF9"/>
    <w:rsid w:val="00767DA5"/>
    <w:rsid w:val="00770115"/>
    <w:rsid w:val="00770526"/>
    <w:rsid w:val="007706C5"/>
    <w:rsid w:val="00771E3E"/>
    <w:rsid w:val="00777DAD"/>
    <w:rsid w:val="007817A1"/>
    <w:rsid w:val="0078215C"/>
    <w:rsid w:val="0078453A"/>
    <w:rsid w:val="00784BB6"/>
    <w:rsid w:val="00784F14"/>
    <w:rsid w:val="00785B5F"/>
    <w:rsid w:val="00785C6C"/>
    <w:rsid w:val="00785CD3"/>
    <w:rsid w:val="00787D3C"/>
    <w:rsid w:val="00787D76"/>
    <w:rsid w:val="0079034F"/>
    <w:rsid w:val="0079095F"/>
    <w:rsid w:val="00791B47"/>
    <w:rsid w:val="00793A5E"/>
    <w:rsid w:val="00796535"/>
    <w:rsid w:val="007A1461"/>
    <w:rsid w:val="007A43DF"/>
    <w:rsid w:val="007A4F00"/>
    <w:rsid w:val="007B051D"/>
    <w:rsid w:val="007B1131"/>
    <w:rsid w:val="007B2313"/>
    <w:rsid w:val="007B3555"/>
    <w:rsid w:val="007B391D"/>
    <w:rsid w:val="007B3CA7"/>
    <w:rsid w:val="007B635C"/>
    <w:rsid w:val="007C3D5B"/>
    <w:rsid w:val="007D3C16"/>
    <w:rsid w:val="007D43C7"/>
    <w:rsid w:val="007D4575"/>
    <w:rsid w:val="007E04CD"/>
    <w:rsid w:val="007E1A2C"/>
    <w:rsid w:val="007E247B"/>
    <w:rsid w:val="007E2663"/>
    <w:rsid w:val="007E2D5C"/>
    <w:rsid w:val="007E62A4"/>
    <w:rsid w:val="007E6CA7"/>
    <w:rsid w:val="007F0357"/>
    <w:rsid w:val="007F15B7"/>
    <w:rsid w:val="007F1ED2"/>
    <w:rsid w:val="007F2932"/>
    <w:rsid w:val="007F2C10"/>
    <w:rsid w:val="007F2F42"/>
    <w:rsid w:val="007F4334"/>
    <w:rsid w:val="007F4F3B"/>
    <w:rsid w:val="007F4FE9"/>
    <w:rsid w:val="007F517F"/>
    <w:rsid w:val="007F5BFE"/>
    <w:rsid w:val="007F63E3"/>
    <w:rsid w:val="00802856"/>
    <w:rsid w:val="00802E6F"/>
    <w:rsid w:val="00803746"/>
    <w:rsid w:val="008041E4"/>
    <w:rsid w:val="00806D23"/>
    <w:rsid w:val="0081222C"/>
    <w:rsid w:val="0081739C"/>
    <w:rsid w:val="00820564"/>
    <w:rsid w:val="00820A57"/>
    <w:rsid w:val="00823C02"/>
    <w:rsid w:val="00823CA4"/>
    <w:rsid w:val="00827568"/>
    <w:rsid w:val="00827FA1"/>
    <w:rsid w:val="008301FA"/>
    <w:rsid w:val="00830E72"/>
    <w:rsid w:val="00833289"/>
    <w:rsid w:val="00833C9B"/>
    <w:rsid w:val="008541D9"/>
    <w:rsid w:val="00860750"/>
    <w:rsid w:val="0086516A"/>
    <w:rsid w:val="008671CB"/>
    <w:rsid w:val="008671F8"/>
    <w:rsid w:val="00867CF3"/>
    <w:rsid w:val="0087190C"/>
    <w:rsid w:val="008728B9"/>
    <w:rsid w:val="008735CC"/>
    <w:rsid w:val="00873FA0"/>
    <w:rsid w:val="008740B7"/>
    <w:rsid w:val="00880C23"/>
    <w:rsid w:val="00881E8E"/>
    <w:rsid w:val="00883394"/>
    <w:rsid w:val="008836A5"/>
    <w:rsid w:val="008836CD"/>
    <w:rsid w:val="0088420F"/>
    <w:rsid w:val="008844F4"/>
    <w:rsid w:val="00890EED"/>
    <w:rsid w:val="00891165"/>
    <w:rsid w:val="00895424"/>
    <w:rsid w:val="00896457"/>
    <w:rsid w:val="00896D16"/>
    <w:rsid w:val="00897798"/>
    <w:rsid w:val="008A19C0"/>
    <w:rsid w:val="008A66FC"/>
    <w:rsid w:val="008A6D10"/>
    <w:rsid w:val="008A6E9C"/>
    <w:rsid w:val="008B0AEB"/>
    <w:rsid w:val="008B3F01"/>
    <w:rsid w:val="008B4A4C"/>
    <w:rsid w:val="008B5E07"/>
    <w:rsid w:val="008C0690"/>
    <w:rsid w:val="008C2B2E"/>
    <w:rsid w:val="008C320C"/>
    <w:rsid w:val="008C4D11"/>
    <w:rsid w:val="008C5C72"/>
    <w:rsid w:val="008C6B02"/>
    <w:rsid w:val="008C6B32"/>
    <w:rsid w:val="008C78DC"/>
    <w:rsid w:val="008D082E"/>
    <w:rsid w:val="008D0F26"/>
    <w:rsid w:val="008D13D5"/>
    <w:rsid w:val="008D155A"/>
    <w:rsid w:val="008D1AA6"/>
    <w:rsid w:val="008D4411"/>
    <w:rsid w:val="008D71B6"/>
    <w:rsid w:val="008E0A5E"/>
    <w:rsid w:val="008E1419"/>
    <w:rsid w:val="008E1F81"/>
    <w:rsid w:val="008E4764"/>
    <w:rsid w:val="008E4C0F"/>
    <w:rsid w:val="008E5CC1"/>
    <w:rsid w:val="008E6CF2"/>
    <w:rsid w:val="008E7654"/>
    <w:rsid w:val="008E7DB9"/>
    <w:rsid w:val="008F25E8"/>
    <w:rsid w:val="008F3022"/>
    <w:rsid w:val="008F4692"/>
    <w:rsid w:val="008F4B71"/>
    <w:rsid w:val="008F5157"/>
    <w:rsid w:val="008F67C2"/>
    <w:rsid w:val="008F6FE5"/>
    <w:rsid w:val="008F7FBA"/>
    <w:rsid w:val="0090085F"/>
    <w:rsid w:val="00900CF7"/>
    <w:rsid w:val="00902AD2"/>
    <w:rsid w:val="00903917"/>
    <w:rsid w:val="00904594"/>
    <w:rsid w:val="0091170F"/>
    <w:rsid w:val="009122D6"/>
    <w:rsid w:val="00913321"/>
    <w:rsid w:val="00917FB2"/>
    <w:rsid w:val="00920048"/>
    <w:rsid w:val="00923401"/>
    <w:rsid w:val="009239B2"/>
    <w:rsid w:val="00924095"/>
    <w:rsid w:val="00927152"/>
    <w:rsid w:val="0092773D"/>
    <w:rsid w:val="00930386"/>
    <w:rsid w:val="009323FE"/>
    <w:rsid w:val="009343F1"/>
    <w:rsid w:val="00934E2F"/>
    <w:rsid w:val="009401FB"/>
    <w:rsid w:val="009407A9"/>
    <w:rsid w:val="0094204B"/>
    <w:rsid w:val="0094231F"/>
    <w:rsid w:val="00943B2D"/>
    <w:rsid w:val="00945DBC"/>
    <w:rsid w:val="00945E8E"/>
    <w:rsid w:val="00946194"/>
    <w:rsid w:val="009471BC"/>
    <w:rsid w:val="009474A4"/>
    <w:rsid w:val="009500CF"/>
    <w:rsid w:val="00950F75"/>
    <w:rsid w:val="00956408"/>
    <w:rsid w:val="00957239"/>
    <w:rsid w:val="00960C89"/>
    <w:rsid w:val="00960ECC"/>
    <w:rsid w:val="00964057"/>
    <w:rsid w:val="009666E0"/>
    <w:rsid w:val="00966E88"/>
    <w:rsid w:val="0097055D"/>
    <w:rsid w:val="0097355D"/>
    <w:rsid w:val="00973C48"/>
    <w:rsid w:val="00975D04"/>
    <w:rsid w:val="00980921"/>
    <w:rsid w:val="00982199"/>
    <w:rsid w:val="00982BA9"/>
    <w:rsid w:val="009831F3"/>
    <w:rsid w:val="00983F69"/>
    <w:rsid w:val="009871FA"/>
    <w:rsid w:val="009902EB"/>
    <w:rsid w:val="00991457"/>
    <w:rsid w:val="0099240B"/>
    <w:rsid w:val="00995459"/>
    <w:rsid w:val="009970C2"/>
    <w:rsid w:val="009A0711"/>
    <w:rsid w:val="009A1749"/>
    <w:rsid w:val="009A208D"/>
    <w:rsid w:val="009A2495"/>
    <w:rsid w:val="009A4A08"/>
    <w:rsid w:val="009A6009"/>
    <w:rsid w:val="009A6AD2"/>
    <w:rsid w:val="009A7264"/>
    <w:rsid w:val="009A7BCC"/>
    <w:rsid w:val="009B1FA8"/>
    <w:rsid w:val="009B244B"/>
    <w:rsid w:val="009B4FC4"/>
    <w:rsid w:val="009B5AB0"/>
    <w:rsid w:val="009C1AF6"/>
    <w:rsid w:val="009C3829"/>
    <w:rsid w:val="009C66AE"/>
    <w:rsid w:val="009D13ED"/>
    <w:rsid w:val="009D140E"/>
    <w:rsid w:val="009D14FE"/>
    <w:rsid w:val="009D64E0"/>
    <w:rsid w:val="009D65E9"/>
    <w:rsid w:val="009D7AD5"/>
    <w:rsid w:val="009E1227"/>
    <w:rsid w:val="009E38C8"/>
    <w:rsid w:val="009E56DE"/>
    <w:rsid w:val="009E5F65"/>
    <w:rsid w:val="009E6439"/>
    <w:rsid w:val="009F0768"/>
    <w:rsid w:val="009F32D8"/>
    <w:rsid w:val="009F3E8C"/>
    <w:rsid w:val="009F418C"/>
    <w:rsid w:val="009F7EA1"/>
    <w:rsid w:val="00A05311"/>
    <w:rsid w:val="00A06CA8"/>
    <w:rsid w:val="00A10D82"/>
    <w:rsid w:val="00A13E6B"/>
    <w:rsid w:val="00A17619"/>
    <w:rsid w:val="00A2353B"/>
    <w:rsid w:val="00A23A5A"/>
    <w:rsid w:val="00A24EBB"/>
    <w:rsid w:val="00A2645A"/>
    <w:rsid w:val="00A27755"/>
    <w:rsid w:val="00A27CB9"/>
    <w:rsid w:val="00A3088C"/>
    <w:rsid w:val="00A31D45"/>
    <w:rsid w:val="00A342B9"/>
    <w:rsid w:val="00A34445"/>
    <w:rsid w:val="00A352D9"/>
    <w:rsid w:val="00A36FBE"/>
    <w:rsid w:val="00A37A88"/>
    <w:rsid w:val="00A42965"/>
    <w:rsid w:val="00A4631F"/>
    <w:rsid w:val="00A47AD1"/>
    <w:rsid w:val="00A51D26"/>
    <w:rsid w:val="00A530F0"/>
    <w:rsid w:val="00A54FBF"/>
    <w:rsid w:val="00A61201"/>
    <w:rsid w:val="00A622AB"/>
    <w:rsid w:val="00A62418"/>
    <w:rsid w:val="00A63BA0"/>
    <w:rsid w:val="00A64338"/>
    <w:rsid w:val="00A65A61"/>
    <w:rsid w:val="00A66C48"/>
    <w:rsid w:val="00A67C1A"/>
    <w:rsid w:val="00A7117E"/>
    <w:rsid w:val="00A71221"/>
    <w:rsid w:val="00A7134A"/>
    <w:rsid w:val="00A730B6"/>
    <w:rsid w:val="00A735A5"/>
    <w:rsid w:val="00A81DEF"/>
    <w:rsid w:val="00A81F66"/>
    <w:rsid w:val="00A831D6"/>
    <w:rsid w:val="00A83E99"/>
    <w:rsid w:val="00A8480A"/>
    <w:rsid w:val="00A848CE"/>
    <w:rsid w:val="00A84AA1"/>
    <w:rsid w:val="00A862DB"/>
    <w:rsid w:val="00A866E9"/>
    <w:rsid w:val="00A86967"/>
    <w:rsid w:val="00A875A2"/>
    <w:rsid w:val="00A9263B"/>
    <w:rsid w:val="00A93624"/>
    <w:rsid w:val="00A979CA"/>
    <w:rsid w:val="00A97D61"/>
    <w:rsid w:val="00AA0EA3"/>
    <w:rsid w:val="00AA0EA4"/>
    <w:rsid w:val="00AA137D"/>
    <w:rsid w:val="00AA1F14"/>
    <w:rsid w:val="00AA2B6B"/>
    <w:rsid w:val="00AA42F7"/>
    <w:rsid w:val="00AA5460"/>
    <w:rsid w:val="00AA5B94"/>
    <w:rsid w:val="00AA5E24"/>
    <w:rsid w:val="00AA6398"/>
    <w:rsid w:val="00AA6817"/>
    <w:rsid w:val="00AA7090"/>
    <w:rsid w:val="00AA7BA6"/>
    <w:rsid w:val="00AB1F97"/>
    <w:rsid w:val="00AB3457"/>
    <w:rsid w:val="00AB6227"/>
    <w:rsid w:val="00AB7CFA"/>
    <w:rsid w:val="00AC0261"/>
    <w:rsid w:val="00AC1523"/>
    <w:rsid w:val="00AC165B"/>
    <w:rsid w:val="00AC2685"/>
    <w:rsid w:val="00AC344F"/>
    <w:rsid w:val="00AC45E9"/>
    <w:rsid w:val="00AC4B9A"/>
    <w:rsid w:val="00AC62AE"/>
    <w:rsid w:val="00AC656D"/>
    <w:rsid w:val="00AC6FB8"/>
    <w:rsid w:val="00AD0CEA"/>
    <w:rsid w:val="00AD17CB"/>
    <w:rsid w:val="00AD6103"/>
    <w:rsid w:val="00AD6515"/>
    <w:rsid w:val="00AE1932"/>
    <w:rsid w:val="00AE6D6C"/>
    <w:rsid w:val="00AE7C50"/>
    <w:rsid w:val="00AF16E1"/>
    <w:rsid w:val="00AF2097"/>
    <w:rsid w:val="00AF26BE"/>
    <w:rsid w:val="00AF26DE"/>
    <w:rsid w:val="00AF26E4"/>
    <w:rsid w:val="00AF4C40"/>
    <w:rsid w:val="00AF711A"/>
    <w:rsid w:val="00B00C80"/>
    <w:rsid w:val="00B01031"/>
    <w:rsid w:val="00B0515E"/>
    <w:rsid w:val="00B05DCC"/>
    <w:rsid w:val="00B064A6"/>
    <w:rsid w:val="00B1096B"/>
    <w:rsid w:val="00B13496"/>
    <w:rsid w:val="00B16FBD"/>
    <w:rsid w:val="00B173A1"/>
    <w:rsid w:val="00B1793B"/>
    <w:rsid w:val="00B201C0"/>
    <w:rsid w:val="00B218D9"/>
    <w:rsid w:val="00B22C27"/>
    <w:rsid w:val="00B22E49"/>
    <w:rsid w:val="00B233D6"/>
    <w:rsid w:val="00B235FF"/>
    <w:rsid w:val="00B23DA9"/>
    <w:rsid w:val="00B2523F"/>
    <w:rsid w:val="00B276DC"/>
    <w:rsid w:val="00B27E9B"/>
    <w:rsid w:val="00B30DF2"/>
    <w:rsid w:val="00B33934"/>
    <w:rsid w:val="00B41DFE"/>
    <w:rsid w:val="00B459BE"/>
    <w:rsid w:val="00B46A7B"/>
    <w:rsid w:val="00B5121A"/>
    <w:rsid w:val="00B515EC"/>
    <w:rsid w:val="00B51784"/>
    <w:rsid w:val="00B560EA"/>
    <w:rsid w:val="00B56FC4"/>
    <w:rsid w:val="00B57829"/>
    <w:rsid w:val="00B60E20"/>
    <w:rsid w:val="00B62EB9"/>
    <w:rsid w:val="00B65841"/>
    <w:rsid w:val="00B65A82"/>
    <w:rsid w:val="00B66207"/>
    <w:rsid w:val="00B66979"/>
    <w:rsid w:val="00B66DD3"/>
    <w:rsid w:val="00B67B28"/>
    <w:rsid w:val="00B70A46"/>
    <w:rsid w:val="00B756AB"/>
    <w:rsid w:val="00B75B82"/>
    <w:rsid w:val="00B81307"/>
    <w:rsid w:val="00B81CF0"/>
    <w:rsid w:val="00B82901"/>
    <w:rsid w:val="00B8292A"/>
    <w:rsid w:val="00B83B3D"/>
    <w:rsid w:val="00B854BC"/>
    <w:rsid w:val="00B87E11"/>
    <w:rsid w:val="00B901A1"/>
    <w:rsid w:val="00B9025B"/>
    <w:rsid w:val="00B9187E"/>
    <w:rsid w:val="00B9613A"/>
    <w:rsid w:val="00BA14FE"/>
    <w:rsid w:val="00BA3313"/>
    <w:rsid w:val="00BA382F"/>
    <w:rsid w:val="00BA6E35"/>
    <w:rsid w:val="00BB251D"/>
    <w:rsid w:val="00BB3035"/>
    <w:rsid w:val="00BB34FA"/>
    <w:rsid w:val="00BB56A2"/>
    <w:rsid w:val="00BC03BA"/>
    <w:rsid w:val="00BC20CB"/>
    <w:rsid w:val="00BC69E4"/>
    <w:rsid w:val="00BD0E0C"/>
    <w:rsid w:val="00BD2621"/>
    <w:rsid w:val="00BD643A"/>
    <w:rsid w:val="00BD77C2"/>
    <w:rsid w:val="00BE0155"/>
    <w:rsid w:val="00BE7463"/>
    <w:rsid w:val="00BF2E12"/>
    <w:rsid w:val="00BF5C4A"/>
    <w:rsid w:val="00C0022F"/>
    <w:rsid w:val="00C002C1"/>
    <w:rsid w:val="00C07552"/>
    <w:rsid w:val="00C10BD7"/>
    <w:rsid w:val="00C11431"/>
    <w:rsid w:val="00C13380"/>
    <w:rsid w:val="00C1386E"/>
    <w:rsid w:val="00C149A1"/>
    <w:rsid w:val="00C15843"/>
    <w:rsid w:val="00C17453"/>
    <w:rsid w:val="00C20FD2"/>
    <w:rsid w:val="00C220C7"/>
    <w:rsid w:val="00C23239"/>
    <w:rsid w:val="00C250A8"/>
    <w:rsid w:val="00C252BB"/>
    <w:rsid w:val="00C2550D"/>
    <w:rsid w:val="00C25A58"/>
    <w:rsid w:val="00C27397"/>
    <w:rsid w:val="00C27EF3"/>
    <w:rsid w:val="00C304A0"/>
    <w:rsid w:val="00C30E7F"/>
    <w:rsid w:val="00C32220"/>
    <w:rsid w:val="00C35FEA"/>
    <w:rsid w:val="00C36738"/>
    <w:rsid w:val="00C36A08"/>
    <w:rsid w:val="00C37A84"/>
    <w:rsid w:val="00C37F0F"/>
    <w:rsid w:val="00C40DDE"/>
    <w:rsid w:val="00C412C4"/>
    <w:rsid w:val="00C41FE1"/>
    <w:rsid w:val="00C420CD"/>
    <w:rsid w:val="00C421E4"/>
    <w:rsid w:val="00C43AA1"/>
    <w:rsid w:val="00C45BDD"/>
    <w:rsid w:val="00C46CDB"/>
    <w:rsid w:val="00C47534"/>
    <w:rsid w:val="00C4759A"/>
    <w:rsid w:val="00C47B25"/>
    <w:rsid w:val="00C50326"/>
    <w:rsid w:val="00C510EC"/>
    <w:rsid w:val="00C51D09"/>
    <w:rsid w:val="00C5282F"/>
    <w:rsid w:val="00C529E6"/>
    <w:rsid w:val="00C55B19"/>
    <w:rsid w:val="00C601CB"/>
    <w:rsid w:val="00C60E63"/>
    <w:rsid w:val="00C61E4A"/>
    <w:rsid w:val="00C6579B"/>
    <w:rsid w:val="00C658E9"/>
    <w:rsid w:val="00C664AD"/>
    <w:rsid w:val="00C74F38"/>
    <w:rsid w:val="00C75636"/>
    <w:rsid w:val="00C75C04"/>
    <w:rsid w:val="00C76E94"/>
    <w:rsid w:val="00C777C6"/>
    <w:rsid w:val="00C80F34"/>
    <w:rsid w:val="00C81E96"/>
    <w:rsid w:val="00C82844"/>
    <w:rsid w:val="00C82F58"/>
    <w:rsid w:val="00C83328"/>
    <w:rsid w:val="00C835B3"/>
    <w:rsid w:val="00C8565B"/>
    <w:rsid w:val="00C91AD3"/>
    <w:rsid w:val="00C94DCE"/>
    <w:rsid w:val="00C95957"/>
    <w:rsid w:val="00CA0322"/>
    <w:rsid w:val="00CA18F6"/>
    <w:rsid w:val="00CA1AE6"/>
    <w:rsid w:val="00CA4FCE"/>
    <w:rsid w:val="00CA557C"/>
    <w:rsid w:val="00CA5E13"/>
    <w:rsid w:val="00CA62E4"/>
    <w:rsid w:val="00CB13ED"/>
    <w:rsid w:val="00CB1A69"/>
    <w:rsid w:val="00CB2032"/>
    <w:rsid w:val="00CB491A"/>
    <w:rsid w:val="00CB491D"/>
    <w:rsid w:val="00CB5631"/>
    <w:rsid w:val="00CB5F92"/>
    <w:rsid w:val="00CB637A"/>
    <w:rsid w:val="00CC0FDE"/>
    <w:rsid w:val="00CC4671"/>
    <w:rsid w:val="00CC5677"/>
    <w:rsid w:val="00CC7815"/>
    <w:rsid w:val="00CD0722"/>
    <w:rsid w:val="00CD13D1"/>
    <w:rsid w:val="00CD31C0"/>
    <w:rsid w:val="00CD5D5D"/>
    <w:rsid w:val="00CD67A6"/>
    <w:rsid w:val="00CD788A"/>
    <w:rsid w:val="00CE132F"/>
    <w:rsid w:val="00CE1D08"/>
    <w:rsid w:val="00CE3F19"/>
    <w:rsid w:val="00CE5026"/>
    <w:rsid w:val="00CE53C8"/>
    <w:rsid w:val="00CE5424"/>
    <w:rsid w:val="00CF046E"/>
    <w:rsid w:val="00CF0C6C"/>
    <w:rsid w:val="00CF14E6"/>
    <w:rsid w:val="00CF423C"/>
    <w:rsid w:val="00CF4C3A"/>
    <w:rsid w:val="00CF57E3"/>
    <w:rsid w:val="00CF7162"/>
    <w:rsid w:val="00CF7795"/>
    <w:rsid w:val="00D05D28"/>
    <w:rsid w:val="00D06D29"/>
    <w:rsid w:val="00D201C8"/>
    <w:rsid w:val="00D21953"/>
    <w:rsid w:val="00D2249A"/>
    <w:rsid w:val="00D22A18"/>
    <w:rsid w:val="00D2382D"/>
    <w:rsid w:val="00D33FC5"/>
    <w:rsid w:val="00D35637"/>
    <w:rsid w:val="00D357E5"/>
    <w:rsid w:val="00D36EED"/>
    <w:rsid w:val="00D43678"/>
    <w:rsid w:val="00D50023"/>
    <w:rsid w:val="00D505AF"/>
    <w:rsid w:val="00D56077"/>
    <w:rsid w:val="00D577A0"/>
    <w:rsid w:val="00D60B18"/>
    <w:rsid w:val="00D6336D"/>
    <w:rsid w:val="00D64E7F"/>
    <w:rsid w:val="00D65CCB"/>
    <w:rsid w:val="00D66347"/>
    <w:rsid w:val="00D710D2"/>
    <w:rsid w:val="00D73C2A"/>
    <w:rsid w:val="00D7514F"/>
    <w:rsid w:val="00D772A9"/>
    <w:rsid w:val="00D8277F"/>
    <w:rsid w:val="00D83375"/>
    <w:rsid w:val="00D872F5"/>
    <w:rsid w:val="00D93A5D"/>
    <w:rsid w:val="00D944DE"/>
    <w:rsid w:val="00D94BE4"/>
    <w:rsid w:val="00D95F9A"/>
    <w:rsid w:val="00D9618A"/>
    <w:rsid w:val="00D9641B"/>
    <w:rsid w:val="00D97C26"/>
    <w:rsid w:val="00D97D8B"/>
    <w:rsid w:val="00DA2B5B"/>
    <w:rsid w:val="00DA3D4A"/>
    <w:rsid w:val="00DA4046"/>
    <w:rsid w:val="00DA4844"/>
    <w:rsid w:val="00DA4FDD"/>
    <w:rsid w:val="00DA775E"/>
    <w:rsid w:val="00DB74B8"/>
    <w:rsid w:val="00DC01DA"/>
    <w:rsid w:val="00DC2949"/>
    <w:rsid w:val="00DC4B6B"/>
    <w:rsid w:val="00DC4E20"/>
    <w:rsid w:val="00DC5C44"/>
    <w:rsid w:val="00DD5414"/>
    <w:rsid w:val="00DE0446"/>
    <w:rsid w:val="00DE1133"/>
    <w:rsid w:val="00DE16C5"/>
    <w:rsid w:val="00DE3246"/>
    <w:rsid w:val="00DE34D4"/>
    <w:rsid w:val="00DE5B3E"/>
    <w:rsid w:val="00DE62A4"/>
    <w:rsid w:val="00DE709A"/>
    <w:rsid w:val="00DF01D0"/>
    <w:rsid w:val="00DF0872"/>
    <w:rsid w:val="00DF306C"/>
    <w:rsid w:val="00DF31D1"/>
    <w:rsid w:val="00DF3A59"/>
    <w:rsid w:val="00DF404C"/>
    <w:rsid w:val="00DF410C"/>
    <w:rsid w:val="00DF6AF0"/>
    <w:rsid w:val="00DF6EB6"/>
    <w:rsid w:val="00DF749D"/>
    <w:rsid w:val="00DF7969"/>
    <w:rsid w:val="00E01F94"/>
    <w:rsid w:val="00E020E6"/>
    <w:rsid w:val="00E02A2F"/>
    <w:rsid w:val="00E05225"/>
    <w:rsid w:val="00E06B10"/>
    <w:rsid w:val="00E10553"/>
    <w:rsid w:val="00E2120D"/>
    <w:rsid w:val="00E2128C"/>
    <w:rsid w:val="00E250F7"/>
    <w:rsid w:val="00E2586E"/>
    <w:rsid w:val="00E25A69"/>
    <w:rsid w:val="00E25DC9"/>
    <w:rsid w:val="00E260A8"/>
    <w:rsid w:val="00E260DA"/>
    <w:rsid w:val="00E26B20"/>
    <w:rsid w:val="00E27CFE"/>
    <w:rsid w:val="00E3324E"/>
    <w:rsid w:val="00E3344A"/>
    <w:rsid w:val="00E34B91"/>
    <w:rsid w:val="00E35ED8"/>
    <w:rsid w:val="00E43B35"/>
    <w:rsid w:val="00E43E1F"/>
    <w:rsid w:val="00E44F5D"/>
    <w:rsid w:val="00E452D4"/>
    <w:rsid w:val="00E50723"/>
    <w:rsid w:val="00E523FE"/>
    <w:rsid w:val="00E536D6"/>
    <w:rsid w:val="00E539CB"/>
    <w:rsid w:val="00E61876"/>
    <w:rsid w:val="00E62BD4"/>
    <w:rsid w:val="00E630B6"/>
    <w:rsid w:val="00E65A29"/>
    <w:rsid w:val="00E671FF"/>
    <w:rsid w:val="00E67AFE"/>
    <w:rsid w:val="00E71738"/>
    <w:rsid w:val="00E7462A"/>
    <w:rsid w:val="00E752F7"/>
    <w:rsid w:val="00E80E03"/>
    <w:rsid w:val="00E80FD4"/>
    <w:rsid w:val="00E87F26"/>
    <w:rsid w:val="00E91FBF"/>
    <w:rsid w:val="00E9243C"/>
    <w:rsid w:val="00E92C65"/>
    <w:rsid w:val="00E93327"/>
    <w:rsid w:val="00E94C0F"/>
    <w:rsid w:val="00E97538"/>
    <w:rsid w:val="00E975ED"/>
    <w:rsid w:val="00EA11C4"/>
    <w:rsid w:val="00EA1E5D"/>
    <w:rsid w:val="00EB0E59"/>
    <w:rsid w:val="00EB2369"/>
    <w:rsid w:val="00EB2DE9"/>
    <w:rsid w:val="00EB399B"/>
    <w:rsid w:val="00EB42CD"/>
    <w:rsid w:val="00ED0039"/>
    <w:rsid w:val="00ED0CEC"/>
    <w:rsid w:val="00ED4898"/>
    <w:rsid w:val="00ED62A1"/>
    <w:rsid w:val="00ED6697"/>
    <w:rsid w:val="00ED765A"/>
    <w:rsid w:val="00EE165E"/>
    <w:rsid w:val="00EE23AC"/>
    <w:rsid w:val="00EE408C"/>
    <w:rsid w:val="00EE6554"/>
    <w:rsid w:val="00EE6724"/>
    <w:rsid w:val="00EE69C4"/>
    <w:rsid w:val="00EF01C0"/>
    <w:rsid w:val="00EF0D04"/>
    <w:rsid w:val="00EF2232"/>
    <w:rsid w:val="00EF46C5"/>
    <w:rsid w:val="00EF6332"/>
    <w:rsid w:val="00F10751"/>
    <w:rsid w:val="00F10B3C"/>
    <w:rsid w:val="00F10FB2"/>
    <w:rsid w:val="00F12205"/>
    <w:rsid w:val="00F12830"/>
    <w:rsid w:val="00F12AFD"/>
    <w:rsid w:val="00F146CD"/>
    <w:rsid w:val="00F14BCA"/>
    <w:rsid w:val="00F17308"/>
    <w:rsid w:val="00F17F99"/>
    <w:rsid w:val="00F20076"/>
    <w:rsid w:val="00F20FBD"/>
    <w:rsid w:val="00F2216A"/>
    <w:rsid w:val="00F22783"/>
    <w:rsid w:val="00F24CEE"/>
    <w:rsid w:val="00F25876"/>
    <w:rsid w:val="00F3284D"/>
    <w:rsid w:val="00F32B63"/>
    <w:rsid w:val="00F34CDF"/>
    <w:rsid w:val="00F34E56"/>
    <w:rsid w:val="00F37E13"/>
    <w:rsid w:val="00F42EE7"/>
    <w:rsid w:val="00F43423"/>
    <w:rsid w:val="00F4723A"/>
    <w:rsid w:val="00F477B0"/>
    <w:rsid w:val="00F502AD"/>
    <w:rsid w:val="00F512CF"/>
    <w:rsid w:val="00F565B9"/>
    <w:rsid w:val="00F57D8C"/>
    <w:rsid w:val="00F6198B"/>
    <w:rsid w:val="00F7321F"/>
    <w:rsid w:val="00F7429A"/>
    <w:rsid w:val="00F74BA5"/>
    <w:rsid w:val="00F76F16"/>
    <w:rsid w:val="00F80466"/>
    <w:rsid w:val="00F80DE8"/>
    <w:rsid w:val="00F832BF"/>
    <w:rsid w:val="00F8396F"/>
    <w:rsid w:val="00F844A6"/>
    <w:rsid w:val="00F86340"/>
    <w:rsid w:val="00F86BCF"/>
    <w:rsid w:val="00F90734"/>
    <w:rsid w:val="00F90A92"/>
    <w:rsid w:val="00F9520E"/>
    <w:rsid w:val="00F95A45"/>
    <w:rsid w:val="00F95F7A"/>
    <w:rsid w:val="00F960A2"/>
    <w:rsid w:val="00FA2501"/>
    <w:rsid w:val="00FA299A"/>
    <w:rsid w:val="00FA3EAC"/>
    <w:rsid w:val="00FA44BB"/>
    <w:rsid w:val="00FA45F3"/>
    <w:rsid w:val="00FA78C0"/>
    <w:rsid w:val="00FA7B6B"/>
    <w:rsid w:val="00FB07A7"/>
    <w:rsid w:val="00FB4A3A"/>
    <w:rsid w:val="00FB5633"/>
    <w:rsid w:val="00FB5FE3"/>
    <w:rsid w:val="00FB7D2F"/>
    <w:rsid w:val="00FC0747"/>
    <w:rsid w:val="00FC0976"/>
    <w:rsid w:val="00FC3721"/>
    <w:rsid w:val="00FC3905"/>
    <w:rsid w:val="00FC7579"/>
    <w:rsid w:val="00FD06AF"/>
    <w:rsid w:val="00FD351A"/>
    <w:rsid w:val="00FD4016"/>
    <w:rsid w:val="00FD6533"/>
    <w:rsid w:val="00FE15B0"/>
    <w:rsid w:val="00FE6E13"/>
    <w:rsid w:val="00FF0E0A"/>
    <w:rsid w:val="00FF1974"/>
    <w:rsid w:val="00FF19B5"/>
    <w:rsid w:val="00FF21F6"/>
    <w:rsid w:val="00FF434A"/>
    <w:rsid w:val="00FF4565"/>
    <w:rsid w:val="00FF4945"/>
    <w:rsid w:val="00FF52FA"/>
    <w:rsid w:val="00FF5D2F"/>
    <w:rsid w:val="00FF66AE"/>
    <w:rsid w:val="00FF6D08"/>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DB"/>
    <w:rPr>
      <w:sz w:val="24"/>
      <w:szCs w:val="24"/>
      <w:lang w:val="fr-FR" w:eastAsia="fr-FR"/>
    </w:rPr>
  </w:style>
  <w:style w:type="paragraph" w:styleId="Heading1">
    <w:name w:val="heading 1"/>
    <w:basedOn w:val="Normal"/>
    <w:next w:val="Normal"/>
    <w:link w:val="Heading1Char"/>
    <w:uiPriority w:val="99"/>
    <w:qFormat/>
    <w:rsid w:val="004D18B1"/>
    <w:pPr>
      <w:keepNext/>
      <w:ind w:left="4320"/>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8B1"/>
    <w:rPr>
      <w:rFonts w:ascii="Arial" w:hAnsi="Arial"/>
      <w:b/>
      <w:sz w:val="24"/>
      <w:lang w:val="fr-FR" w:eastAsia="fr-FR"/>
    </w:rPr>
  </w:style>
  <w:style w:type="paragraph" w:styleId="Header">
    <w:name w:val="header"/>
    <w:basedOn w:val="Normal"/>
    <w:link w:val="HeaderChar"/>
    <w:uiPriority w:val="99"/>
    <w:rsid w:val="004D18B1"/>
    <w:pPr>
      <w:tabs>
        <w:tab w:val="center" w:pos="4536"/>
        <w:tab w:val="right" w:pos="9072"/>
      </w:tabs>
    </w:pPr>
  </w:style>
  <w:style w:type="character" w:customStyle="1" w:styleId="HeaderChar">
    <w:name w:val="Header Char"/>
    <w:basedOn w:val="DefaultParagraphFont"/>
    <w:link w:val="Header"/>
    <w:uiPriority w:val="99"/>
    <w:semiHidden/>
    <w:rsid w:val="00A76B56"/>
    <w:rPr>
      <w:sz w:val="24"/>
      <w:szCs w:val="24"/>
      <w:lang w:val="fr-FR" w:eastAsia="fr-FR"/>
    </w:rPr>
  </w:style>
  <w:style w:type="character" w:styleId="PageNumber">
    <w:name w:val="page number"/>
    <w:basedOn w:val="DefaultParagraphFont"/>
    <w:uiPriority w:val="99"/>
    <w:rsid w:val="004D18B1"/>
    <w:rPr>
      <w:rFonts w:cs="Times New Roman"/>
    </w:rPr>
  </w:style>
  <w:style w:type="character" w:styleId="Hyperlink">
    <w:name w:val="Hyperlink"/>
    <w:basedOn w:val="DefaultParagraphFont"/>
    <w:uiPriority w:val="99"/>
    <w:rsid w:val="004D18B1"/>
    <w:rPr>
      <w:rFonts w:cs="Times New Roman"/>
      <w:color w:val="0000FF"/>
      <w:u w:val="single"/>
    </w:rPr>
  </w:style>
  <w:style w:type="paragraph" w:styleId="BodyText">
    <w:name w:val="Body Text"/>
    <w:basedOn w:val="Normal"/>
    <w:link w:val="BodyTextChar"/>
    <w:uiPriority w:val="99"/>
    <w:rsid w:val="004D18B1"/>
    <w:rPr>
      <w:rFonts w:ascii="Arial" w:hAnsi="Arial" w:cs="Arial"/>
      <w:sz w:val="20"/>
      <w:szCs w:val="20"/>
      <w:lang w:val="en-US" w:eastAsia="en-US"/>
    </w:rPr>
  </w:style>
  <w:style w:type="character" w:customStyle="1" w:styleId="BodyTextChar">
    <w:name w:val="Body Text Char"/>
    <w:basedOn w:val="DefaultParagraphFont"/>
    <w:link w:val="BodyText"/>
    <w:uiPriority w:val="99"/>
    <w:rsid w:val="00A76B56"/>
    <w:rPr>
      <w:sz w:val="24"/>
      <w:szCs w:val="24"/>
      <w:lang w:val="fr-FR" w:eastAsia="fr-FR"/>
    </w:rPr>
  </w:style>
  <w:style w:type="paragraph" w:styleId="Footer">
    <w:name w:val="footer"/>
    <w:basedOn w:val="Normal"/>
    <w:link w:val="FooterChar"/>
    <w:uiPriority w:val="99"/>
    <w:rsid w:val="004D18B1"/>
    <w:pPr>
      <w:tabs>
        <w:tab w:val="center" w:pos="4320"/>
        <w:tab w:val="right" w:pos="8640"/>
      </w:tabs>
    </w:pPr>
  </w:style>
  <w:style w:type="character" w:customStyle="1" w:styleId="FooterChar">
    <w:name w:val="Footer Char"/>
    <w:basedOn w:val="DefaultParagraphFont"/>
    <w:link w:val="Footer"/>
    <w:uiPriority w:val="99"/>
    <w:locked/>
    <w:rsid w:val="004D18B1"/>
    <w:rPr>
      <w:sz w:val="24"/>
      <w:lang w:val="fr-FR" w:eastAsia="fr-FR"/>
    </w:rPr>
  </w:style>
  <w:style w:type="paragraph" w:customStyle="1" w:styleId="Paragrafoelenco1">
    <w:name w:val="Paragrafo elenco1"/>
    <w:basedOn w:val="Normal"/>
    <w:uiPriority w:val="99"/>
    <w:rsid w:val="004D18B1"/>
    <w:pPr>
      <w:ind w:left="720"/>
      <w:contextualSpacing/>
    </w:pPr>
    <w:rPr>
      <w:lang w:val="en-US" w:eastAsia="en-US"/>
    </w:rPr>
  </w:style>
  <w:style w:type="paragraph" w:styleId="FootnoteText">
    <w:name w:val="footnote text"/>
    <w:basedOn w:val="Normal"/>
    <w:link w:val="FootnoteTextChar"/>
    <w:rsid w:val="004D18B1"/>
    <w:rPr>
      <w:sz w:val="20"/>
      <w:szCs w:val="20"/>
      <w:lang w:val="en-US" w:eastAsia="en-US"/>
    </w:rPr>
  </w:style>
  <w:style w:type="character" w:customStyle="1" w:styleId="FootnoteTextChar">
    <w:name w:val="Footnote Text Char"/>
    <w:basedOn w:val="DefaultParagraphFont"/>
    <w:link w:val="FootnoteText"/>
    <w:locked/>
    <w:rsid w:val="004D18B1"/>
    <w:rPr>
      <w:rFonts w:cs="Times New Roman"/>
      <w:lang w:val="en-US" w:eastAsia="en-US" w:bidi="ar-SA"/>
    </w:rPr>
  </w:style>
  <w:style w:type="character" w:styleId="FootnoteReference">
    <w:name w:val="footnote reference"/>
    <w:basedOn w:val="DefaultParagraphFont"/>
    <w:rsid w:val="004D18B1"/>
    <w:rPr>
      <w:rFonts w:cs="Times New Roman"/>
      <w:vertAlign w:val="superscript"/>
    </w:rPr>
  </w:style>
  <w:style w:type="paragraph" w:customStyle="1" w:styleId="H1">
    <w:name w:val="H1"/>
    <w:uiPriority w:val="99"/>
    <w:rsid w:val="004D18B1"/>
    <w:pPr>
      <w:spacing w:before="60" w:after="60"/>
    </w:pPr>
    <w:rPr>
      <w:rFonts w:cs="Arial"/>
      <w:b/>
      <w:bCs/>
      <w:kern w:val="32"/>
      <w:sz w:val="24"/>
      <w:szCs w:val="32"/>
      <w:lang w:val="en-GB"/>
    </w:rPr>
  </w:style>
  <w:style w:type="paragraph" w:customStyle="1" w:styleId="H2">
    <w:name w:val="H2"/>
    <w:rsid w:val="004D18B1"/>
    <w:rPr>
      <w:rFonts w:cs="Arial"/>
      <w:b/>
      <w:bCs/>
      <w:iCs/>
      <w:szCs w:val="28"/>
      <w:lang w:val="en-GB"/>
    </w:rPr>
  </w:style>
  <w:style w:type="paragraph" w:styleId="BalloonText">
    <w:name w:val="Balloon Text"/>
    <w:basedOn w:val="Normal"/>
    <w:link w:val="BalloonTextChar"/>
    <w:semiHidden/>
    <w:unhideWhenUsed/>
    <w:rsid w:val="00E97538"/>
    <w:rPr>
      <w:rFonts w:ascii="Tahoma" w:hAnsi="Tahoma" w:cs="Tahoma"/>
      <w:sz w:val="16"/>
      <w:szCs w:val="16"/>
    </w:rPr>
  </w:style>
  <w:style w:type="character" w:customStyle="1" w:styleId="BalloonTextChar">
    <w:name w:val="Balloon Text Char"/>
    <w:basedOn w:val="DefaultParagraphFont"/>
    <w:link w:val="BalloonText"/>
    <w:semiHidden/>
    <w:rsid w:val="00E97538"/>
    <w:rPr>
      <w:rFonts w:ascii="Tahoma" w:hAnsi="Tahoma" w:cs="Tahoma"/>
      <w:sz w:val="16"/>
      <w:szCs w:val="16"/>
      <w:lang w:val="fr-FR" w:eastAsia="fr-FR"/>
    </w:rPr>
  </w:style>
  <w:style w:type="character" w:styleId="CommentReference">
    <w:name w:val="annotation reference"/>
    <w:basedOn w:val="DefaultParagraphFont"/>
    <w:uiPriority w:val="99"/>
    <w:semiHidden/>
    <w:unhideWhenUsed/>
    <w:rsid w:val="00E97538"/>
    <w:rPr>
      <w:sz w:val="16"/>
      <w:szCs w:val="16"/>
    </w:rPr>
  </w:style>
  <w:style w:type="paragraph" w:styleId="CommentText">
    <w:name w:val="annotation text"/>
    <w:basedOn w:val="Normal"/>
    <w:link w:val="CommentTextChar"/>
    <w:uiPriority w:val="99"/>
    <w:semiHidden/>
    <w:unhideWhenUsed/>
    <w:rsid w:val="00E97538"/>
    <w:rPr>
      <w:sz w:val="20"/>
      <w:szCs w:val="20"/>
    </w:rPr>
  </w:style>
  <w:style w:type="character" w:customStyle="1" w:styleId="CommentTextChar">
    <w:name w:val="Comment Text Char"/>
    <w:basedOn w:val="DefaultParagraphFont"/>
    <w:link w:val="CommentText"/>
    <w:uiPriority w:val="99"/>
    <w:semiHidden/>
    <w:rsid w:val="00E97538"/>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E97538"/>
    <w:rPr>
      <w:b/>
      <w:bCs/>
    </w:rPr>
  </w:style>
  <w:style w:type="character" w:customStyle="1" w:styleId="CommentSubjectChar">
    <w:name w:val="Comment Subject Char"/>
    <w:basedOn w:val="CommentTextChar"/>
    <w:link w:val="CommentSubject"/>
    <w:uiPriority w:val="99"/>
    <w:semiHidden/>
    <w:rsid w:val="00E97538"/>
    <w:rPr>
      <w:b/>
      <w:bCs/>
      <w:sz w:val="20"/>
      <w:szCs w:val="20"/>
      <w:lang w:val="fr-FR" w:eastAsia="fr-FR"/>
    </w:rPr>
  </w:style>
  <w:style w:type="paragraph" w:styleId="NormalWeb">
    <w:name w:val="Normal (Web)"/>
    <w:basedOn w:val="Normal"/>
    <w:semiHidden/>
    <w:unhideWhenUsed/>
    <w:rsid w:val="004954F9"/>
    <w:pPr>
      <w:spacing w:before="120" w:after="120" w:line="312" w:lineRule="auto"/>
    </w:pPr>
    <w:rPr>
      <w:lang w:val="en-US" w:eastAsia="en-US"/>
    </w:rPr>
  </w:style>
  <w:style w:type="paragraph" w:styleId="BodyText2">
    <w:name w:val="Body Text 2"/>
    <w:basedOn w:val="Normal"/>
    <w:link w:val="BodyText2Char"/>
    <w:rsid w:val="00DF410C"/>
    <w:pPr>
      <w:spacing w:after="120" w:line="480" w:lineRule="auto"/>
    </w:pPr>
  </w:style>
  <w:style w:type="character" w:customStyle="1" w:styleId="BodyText2Char">
    <w:name w:val="Body Text 2 Char"/>
    <w:basedOn w:val="DefaultParagraphFont"/>
    <w:link w:val="BodyText2"/>
    <w:rsid w:val="00DF410C"/>
    <w:rPr>
      <w:sz w:val="24"/>
      <w:szCs w:val="24"/>
    </w:rPr>
  </w:style>
  <w:style w:type="paragraph" w:styleId="ListParagraph">
    <w:name w:val="List Paragraph"/>
    <w:basedOn w:val="Normal"/>
    <w:link w:val="ListParagraphChar"/>
    <w:uiPriority w:val="34"/>
    <w:qFormat/>
    <w:rsid w:val="00DF410C"/>
    <w:pPr>
      <w:ind w:left="720"/>
      <w:contextualSpacing/>
    </w:pPr>
  </w:style>
  <w:style w:type="character" w:customStyle="1" w:styleId="ListParagraphChar">
    <w:name w:val="List Paragraph Char"/>
    <w:link w:val="ListParagraph"/>
    <w:uiPriority w:val="34"/>
    <w:locked/>
    <w:rsid w:val="000E4090"/>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DB"/>
    <w:rPr>
      <w:sz w:val="24"/>
      <w:szCs w:val="24"/>
      <w:lang w:val="fr-FR" w:eastAsia="fr-FR"/>
    </w:rPr>
  </w:style>
  <w:style w:type="paragraph" w:styleId="Heading1">
    <w:name w:val="heading 1"/>
    <w:basedOn w:val="Normal"/>
    <w:next w:val="Normal"/>
    <w:link w:val="Heading1Char"/>
    <w:uiPriority w:val="99"/>
    <w:qFormat/>
    <w:rsid w:val="004D18B1"/>
    <w:pPr>
      <w:keepNext/>
      <w:ind w:left="4320"/>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8B1"/>
    <w:rPr>
      <w:rFonts w:ascii="Arial" w:hAnsi="Arial"/>
      <w:b/>
      <w:sz w:val="24"/>
      <w:lang w:val="fr-FR" w:eastAsia="fr-FR"/>
    </w:rPr>
  </w:style>
  <w:style w:type="paragraph" w:styleId="Header">
    <w:name w:val="header"/>
    <w:basedOn w:val="Normal"/>
    <w:link w:val="HeaderChar"/>
    <w:uiPriority w:val="99"/>
    <w:rsid w:val="004D18B1"/>
    <w:pPr>
      <w:tabs>
        <w:tab w:val="center" w:pos="4536"/>
        <w:tab w:val="right" w:pos="9072"/>
      </w:tabs>
    </w:pPr>
  </w:style>
  <w:style w:type="character" w:customStyle="1" w:styleId="HeaderChar">
    <w:name w:val="Header Char"/>
    <w:basedOn w:val="DefaultParagraphFont"/>
    <w:link w:val="Header"/>
    <w:uiPriority w:val="99"/>
    <w:semiHidden/>
    <w:rsid w:val="00A76B56"/>
    <w:rPr>
      <w:sz w:val="24"/>
      <w:szCs w:val="24"/>
      <w:lang w:val="fr-FR" w:eastAsia="fr-FR"/>
    </w:rPr>
  </w:style>
  <w:style w:type="character" w:styleId="PageNumber">
    <w:name w:val="page number"/>
    <w:basedOn w:val="DefaultParagraphFont"/>
    <w:uiPriority w:val="99"/>
    <w:rsid w:val="004D18B1"/>
    <w:rPr>
      <w:rFonts w:cs="Times New Roman"/>
    </w:rPr>
  </w:style>
  <w:style w:type="character" w:styleId="Hyperlink">
    <w:name w:val="Hyperlink"/>
    <w:basedOn w:val="DefaultParagraphFont"/>
    <w:uiPriority w:val="99"/>
    <w:rsid w:val="004D18B1"/>
    <w:rPr>
      <w:rFonts w:cs="Times New Roman"/>
      <w:color w:val="0000FF"/>
      <w:u w:val="single"/>
    </w:rPr>
  </w:style>
  <w:style w:type="paragraph" w:styleId="BodyText">
    <w:name w:val="Body Text"/>
    <w:basedOn w:val="Normal"/>
    <w:link w:val="BodyTextChar"/>
    <w:uiPriority w:val="99"/>
    <w:rsid w:val="004D18B1"/>
    <w:rPr>
      <w:rFonts w:ascii="Arial" w:hAnsi="Arial" w:cs="Arial"/>
      <w:sz w:val="20"/>
      <w:szCs w:val="20"/>
      <w:lang w:val="en-US" w:eastAsia="en-US"/>
    </w:rPr>
  </w:style>
  <w:style w:type="character" w:customStyle="1" w:styleId="BodyTextChar">
    <w:name w:val="Body Text Char"/>
    <w:basedOn w:val="DefaultParagraphFont"/>
    <w:link w:val="BodyText"/>
    <w:uiPriority w:val="99"/>
    <w:rsid w:val="00A76B56"/>
    <w:rPr>
      <w:sz w:val="24"/>
      <w:szCs w:val="24"/>
      <w:lang w:val="fr-FR" w:eastAsia="fr-FR"/>
    </w:rPr>
  </w:style>
  <w:style w:type="paragraph" w:styleId="Footer">
    <w:name w:val="footer"/>
    <w:basedOn w:val="Normal"/>
    <w:link w:val="FooterChar"/>
    <w:uiPriority w:val="99"/>
    <w:rsid w:val="004D18B1"/>
    <w:pPr>
      <w:tabs>
        <w:tab w:val="center" w:pos="4320"/>
        <w:tab w:val="right" w:pos="8640"/>
      </w:tabs>
    </w:pPr>
  </w:style>
  <w:style w:type="character" w:customStyle="1" w:styleId="FooterChar">
    <w:name w:val="Footer Char"/>
    <w:basedOn w:val="DefaultParagraphFont"/>
    <w:link w:val="Footer"/>
    <w:uiPriority w:val="99"/>
    <w:locked/>
    <w:rsid w:val="004D18B1"/>
    <w:rPr>
      <w:sz w:val="24"/>
      <w:lang w:val="fr-FR" w:eastAsia="fr-FR"/>
    </w:rPr>
  </w:style>
  <w:style w:type="paragraph" w:customStyle="1" w:styleId="Paragrafoelenco1">
    <w:name w:val="Paragrafo elenco1"/>
    <w:basedOn w:val="Normal"/>
    <w:uiPriority w:val="99"/>
    <w:rsid w:val="004D18B1"/>
    <w:pPr>
      <w:ind w:left="720"/>
      <w:contextualSpacing/>
    </w:pPr>
    <w:rPr>
      <w:lang w:val="en-US" w:eastAsia="en-US"/>
    </w:rPr>
  </w:style>
  <w:style w:type="paragraph" w:styleId="FootnoteText">
    <w:name w:val="footnote text"/>
    <w:basedOn w:val="Normal"/>
    <w:link w:val="FootnoteTextChar"/>
    <w:rsid w:val="004D18B1"/>
    <w:rPr>
      <w:sz w:val="20"/>
      <w:szCs w:val="20"/>
      <w:lang w:val="en-US" w:eastAsia="en-US"/>
    </w:rPr>
  </w:style>
  <w:style w:type="character" w:customStyle="1" w:styleId="FootnoteTextChar">
    <w:name w:val="Footnote Text Char"/>
    <w:basedOn w:val="DefaultParagraphFont"/>
    <w:link w:val="FootnoteText"/>
    <w:locked/>
    <w:rsid w:val="004D18B1"/>
    <w:rPr>
      <w:rFonts w:cs="Times New Roman"/>
      <w:lang w:val="en-US" w:eastAsia="en-US" w:bidi="ar-SA"/>
    </w:rPr>
  </w:style>
  <w:style w:type="character" w:styleId="FootnoteReference">
    <w:name w:val="footnote reference"/>
    <w:basedOn w:val="DefaultParagraphFont"/>
    <w:rsid w:val="004D18B1"/>
    <w:rPr>
      <w:rFonts w:cs="Times New Roman"/>
      <w:vertAlign w:val="superscript"/>
    </w:rPr>
  </w:style>
  <w:style w:type="paragraph" w:customStyle="1" w:styleId="H1">
    <w:name w:val="H1"/>
    <w:uiPriority w:val="99"/>
    <w:rsid w:val="004D18B1"/>
    <w:pPr>
      <w:spacing w:before="60" w:after="60"/>
    </w:pPr>
    <w:rPr>
      <w:rFonts w:cs="Arial"/>
      <w:b/>
      <w:bCs/>
      <w:kern w:val="32"/>
      <w:sz w:val="24"/>
      <w:szCs w:val="32"/>
      <w:lang w:val="en-GB"/>
    </w:rPr>
  </w:style>
  <w:style w:type="paragraph" w:customStyle="1" w:styleId="H2">
    <w:name w:val="H2"/>
    <w:rsid w:val="004D18B1"/>
    <w:rPr>
      <w:rFonts w:cs="Arial"/>
      <w:b/>
      <w:bCs/>
      <w:iCs/>
      <w:szCs w:val="28"/>
      <w:lang w:val="en-GB"/>
    </w:rPr>
  </w:style>
  <w:style w:type="paragraph" w:styleId="BalloonText">
    <w:name w:val="Balloon Text"/>
    <w:basedOn w:val="Normal"/>
    <w:link w:val="BalloonTextChar"/>
    <w:semiHidden/>
    <w:unhideWhenUsed/>
    <w:rsid w:val="00E97538"/>
    <w:rPr>
      <w:rFonts w:ascii="Tahoma" w:hAnsi="Tahoma" w:cs="Tahoma"/>
      <w:sz w:val="16"/>
      <w:szCs w:val="16"/>
    </w:rPr>
  </w:style>
  <w:style w:type="character" w:customStyle="1" w:styleId="BalloonTextChar">
    <w:name w:val="Balloon Text Char"/>
    <w:basedOn w:val="DefaultParagraphFont"/>
    <w:link w:val="BalloonText"/>
    <w:semiHidden/>
    <w:rsid w:val="00E97538"/>
    <w:rPr>
      <w:rFonts w:ascii="Tahoma" w:hAnsi="Tahoma" w:cs="Tahoma"/>
      <w:sz w:val="16"/>
      <w:szCs w:val="16"/>
      <w:lang w:val="fr-FR" w:eastAsia="fr-FR"/>
    </w:rPr>
  </w:style>
  <w:style w:type="character" w:styleId="CommentReference">
    <w:name w:val="annotation reference"/>
    <w:basedOn w:val="DefaultParagraphFont"/>
    <w:uiPriority w:val="99"/>
    <w:semiHidden/>
    <w:unhideWhenUsed/>
    <w:rsid w:val="00E97538"/>
    <w:rPr>
      <w:sz w:val="16"/>
      <w:szCs w:val="16"/>
    </w:rPr>
  </w:style>
  <w:style w:type="paragraph" w:styleId="CommentText">
    <w:name w:val="annotation text"/>
    <w:basedOn w:val="Normal"/>
    <w:link w:val="CommentTextChar"/>
    <w:uiPriority w:val="99"/>
    <w:semiHidden/>
    <w:unhideWhenUsed/>
    <w:rsid w:val="00E97538"/>
    <w:rPr>
      <w:sz w:val="20"/>
      <w:szCs w:val="20"/>
    </w:rPr>
  </w:style>
  <w:style w:type="character" w:customStyle="1" w:styleId="CommentTextChar">
    <w:name w:val="Comment Text Char"/>
    <w:basedOn w:val="DefaultParagraphFont"/>
    <w:link w:val="CommentText"/>
    <w:uiPriority w:val="99"/>
    <w:semiHidden/>
    <w:rsid w:val="00E97538"/>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E97538"/>
    <w:rPr>
      <w:b/>
      <w:bCs/>
    </w:rPr>
  </w:style>
  <w:style w:type="character" w:customStyle="1" w:styleId="CommentSubjectChar">
    <w:name w:val="Comment Subject Char"/>
    <w:basedOn w:val="CommentTextChar"/>
    <w:link w:val="CommentSubject"/>
    <w:uiPriority w:val="99"/>
    <w:semiHidden/>
    <w:rsid w:val="00E97538"/>
    <w:rPr>
      <w:b/>
      <w:bCs/>
      <w:sz w:val="20"/>
      <w:szCs w:val="20"/>
      <w:lang w:val="fr-FR" w:eastAsia="fr-FR"/>
    </w:rPr>
  </w:style>
  <w:style w:type="paragraph" w:styleId="NormalWeb">
    <w:name w:val="Normal (Web)"/>
    <w:basedOn w:val="Normal"/>
    <w:semiHidden/>
    <w:unhideWhenUsed/>
    <w:rsid w:val="004954F9"/>
    <w:pPr>
      <w:spacing w:before="120" w:after="120" w:line="312" w:lineRule="auto"/>
    </w:pPr>
    <w:rPr>
      <w:lang w:val="en-US" w:eastAsia="en-US"/>
    </w:rPr>
  </w:style>
  <w:style w:type="paragraph" w:styleId="BodyText2">
    <w:name w:val="Body Text 2"/>
    <w:basedOn w:val="Normal"/>
    <w:link w:val="BodyText2Char"/>
    <w:rsid w:val="00DF410C"/>
    <w:pPr>
      <w:spacing w:after="120" w:line="480" w:lineRule="auto"/>
    </w:pPr>
  </w:style>
  <w:style w:type="character" w:customStyle="1" w:styleId="BodyText2Char">
    <w:name w:val="Body Text 2 Char"/>
    <w:basedOn w:val="DefaultParagraphFont"/>
    <w:link w:val="BodyText2"/>
    <w:rsid w:val="00DF410C"/>
    <w:rPr>
      <w:sz w:val="24"/>
      <w:szCs w:val="24"/>
    </w:rPr>
  </w:style>
  <w:style w:type="paragraph" w:styleId="ListParagraph">
    <w:name w:val="List Paragraph"/>
    <w:basedOn w:val="Normal"/>
    <w:link w:val="ListParagraphChar"/>
    <w:uiPriority w:val="34"/>
    <w:qFormat/>
    <w:rsid w:val="00DF410C"/>
    <w:pPr>
      <w:ind w:left="720"/>
      <w:contextualSpacing/>
    </w:pPr>
  </w:style>
  <w:style w:type="character" w:customStyle="1" w:styleId="ListParagraphChar">
    <w:name w:val="List Paragraph Char"/>
    <w:link w:val="ListParagraph"/>
    <w:uiPriority w:val="34"/>
    <w:locked/>
    <w:rsid w:val="000E4090"/>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598">
      <w:bodyDiv w:val="1"/>
      <w:marLeft w:val="0"/>
      <w:marRight w:val="0"/>
      <w:marTop w:val="0"/>
      <w:marBottom w:val="0"/>
      <w:divBdr>
        <w:top w:val="none" w:sz="0" w:space="0" w:color="auto"/>
        <w:left w:val="none" w:sz="0" w:space="0" w:color="auto"/>
        <w:bottom w:val="none" w:sz="0" w:space="0" w:color="auto"/>
        <w:right w:val="none" w:sz="0" w:space="0" w:color="auto"/>
      </w:divBdr>
    </w:div>
    <w:div w:id="356851288">
      <w:bodyDiv w:val="1"/>
      <w:marLeft w:val="0"/>
      <w:marRight w:val="0"/>
      <w:marTop w:val="0"/>
      <w:marBottom w:val="0"/>
      <w:divBdr>
        <w:top w:val="none" w:sz="0" w:space="0" w:color="auto"/>
        <w:left w:val="none" w:sz="0" w:space="0" w:color="auto"/>
        <w:bottom w:val="none" w:sz="0" w:space="0" w:color="auto"/>
        <w:right w:val="none" w:sz="0" w:space="0" w:color="auto"/>
      </w:divBdr>
    </w:div>
    <w:div w:id="443158120">
      <w:bodyDiv w:val="1"/>
      <w:marLeft w:val="0"/>
      <w:marRight w:val="0"/>
      <w:marTop w:val="0"/>
      <w:marBottom w:val="0"/>
      <w:divBdr>
        <w:top w:val="none" w:sz="0" w:space="0" w:color="auto"/>
        <w:left w:val="none" w:sz="0" w:space="0" w:color="auto"/>
        <w:bottom w:val="none" w:sz="0" w:space="0" w:color="auto"/>
        <w:right w:val="none" w:sz="0" w:space="0" w:color="auto"/>
      </w:divBdr>
    </w:div>
    <w:div w:id="466624797">
      <w:bodyDiv w:val="1"/>
      <w:marLeft w:val="0"/>
      <w:marRight w:val="0"/>
      <w:marTop w:val="0"/>
      <w:marBottom w:val="0"/>
      <w:divBdr>
        <w:top w:val="none" w:sz="0" w:space="0" w:color="auto"/>
        <w:left w:val="none" w:sz="0" w:space="0" w:color="auto"/>
        <w:bottom w:val="none" w:sz="0" w:space="0" w:color="auto"/>
        <w:right w:val="none" w:sz="0" w:space="0" w:color="auto"/>
      </w:divBdr>
    </w:div>
    <w:div w:id="626594532">
      <w:bodyDiv w:val="1"/>
      <w:marLeft w:val="0"/>
      <w:marRight w:val="0"/>
      <w:marTop w:val="0"/>
      <w:marBottom w:val="0"/>
      <w:divBdr>
        <w:top w:val="none" w:sz="0" w:space="0" w:color="auto"/>
        <w:left w:val="none" w:sz="0" w:space="0" w:color="auto"/>
        <w:bottom w:val="none" w:sz="0" w:space="0" w:color="auto"/>
        <w:right w:val="none" w:sz="0" w:space="0" w:color="auto"/>
      </w:divBdr>
    </w:div>
    <w:div w:id="635110126">
      <w:bodyDiv w:val="1"/>
      <w:marLeft w:val="0"/>
      <w:marRight w:val="0"/>
      <w:marTop w:val="0"/>
      <w:marBottom w:val="0"/>
      <w:divBdr>
        <w:top w:val="none" w:sz="0" w:space="0" w:color="auto"/>
        <w:left w:val="none" w:sz="0" w:space="0" w:color="auto"/>
        <w:bottom w:val="none" w:sz="0" w:space="0" w:color="auto"/>
        <w:right w:val="none" w:sz="0" w:space="0" w:color="auto"/>
      </w:divBdr>
    </w:div>
    <w:div w:id="680855075">
      <w:bodyDiv w:val="1"/>
      <w:marLeft w:val="0"/>
      <w:marRight w:val="0"/>
      <w:marTop w:val="0"/>
      <w:marBottom w:val="0"/>
      <w:divBdr>
        <w:top w:val="none" w:sz="0" w:space="0" w:color="auto"/>
        <w:left w:val="none" w:sz="0" w:space="0" w:color="auto"/>
        <w:bottom w:val="none" w:sz="0" w:space="0" w:color="auto"/>
        <w:right w:val="none" w:sz="0" w:space="0" w:color="auto"/>
      </w:divBdr>
    </w:div>
    <w:div w:id="783042881">
      <w:bodyDiv w:val="1"/>
      <w:marLeft w:val="0"/>
      <w:marRight w:val="0"/>
      <w:marTop w:val="0"/>
      <w:marBottom w:val="0"/>
      <w:divBdr>
        <w:top w:val="none" w:sz="0" w:space="0" w:color="auto"/>
        <w:left w:val="none" w:sz="0" w:space="0" w:color="auto"/>
        <w:bottom w:val="none" w:sz="0" w:space="0" w:color="auto"/>
        <w:right w:val="none" w:sz="0" w:space="0" w:color="auto"/>
      </w:divBdr>
    </w:div>
    <w:div w:id="875658095">
      <w:bodyDiv w:val="1"/>
      <w:marLeft w:val="0"/>
      <w:marRight w:val="0"/>
      <w:marTop w:val="0"/>
      <w:marBottom w:val="0"/>
      <w:divBdr>
        <w:top w:val="none" w:sz="0" w:space="0" w:color="auto"/>
        <w:left w:val="none" w:sz="0" w:space="0" w:color="auto"/>
        <w:bottom w:val="none" w:sz="0" w:space="0" w:color="auto"/>
        <w:right w:val="none" w:sz="0" w:space="0" w:color="auto"/>
      </w:divBdr>
    </w:div>
    <w:div w:id="877815873">
      <w:bodyDiv w:val="1"/>
      <w:marLeft w:val="0"/>
      <w:marRight w:val="0"/>
      <w:marTop w:val="0"/>
      <w:marBottom w:val="0"/>
      <w:divBdr>
        <w:top w:val="none" w:sz="0" w:space="0" w:color="auto"/>
        <w:left w:val="none" w:sz="0" w:space="0" w:color="auto"/>
        <w:bottom w:val="none" w:sz="0" w:space="0" w:color="auto"/>
        <w:right w:val="none" w:sz="0" w:space="0" w:color="auto"/>
      </w:divBdr>
    </w:div>
    <w:div w:id="920991221">
      <w:bodyDiv w:val="1"/>
      <w:marLeft w:val="0"/>
      <w:marRight w:val="0"/>
      <w:marTop w:val="0"/>
      <w:marBottom w:val="0"/>
      <w:divBdr>
        <w:top w:val="none" w:sz="0" w:space="0" w:color="auto"/>
        <w:left w:val="none" w:sz="0" w:space="0" w:color="auto"/>
        <w:bottom w:val="none" w:sz="0" w:space="0" w:color="auto"/>
        <w:right w:val="none" w:sz="0" w:space="0" w:color="auto"/>
      </w:divBdr>
    </w:div>
    <w:div w:id="1014577446">
      <w:bodyDiv w:val="1"/>
      <w:marLeft w:val="0"/>
      <w:marRight w:val="0"/>
      <w:marTop w:val="0"/>
      <w:marBottom w:val="0"/>
      <w:divBdr>
        <w:top w:val="none" w:sz="0" w:space="0" w:color="auto"/>
        <w:left w:val="none" w:sz="0" w:space="0" w:color="auto"/>
        <w:bottom w:val="none" w:sz="0" w:space="0" w:color="auto"/>
        <w:right w:val="none" w:sz="0" w:space="0" w:color="auto"/>
      </w:divBdr>
    </w:div>
    <w:div w:id="1025792208">
      <w:bodyDiv w:val="1"/>
      <w:marLeft w:val="0"/>
      <w:marRight w:val="0"/>
      <w:marTop w:val="0"/>
      <w:marBottom w:val="0"/>
      <w:divBdr>
        <w:top w:val="none" w:sz="0" w:space="0" w:color="auto"/>
        <w:left w:val="none" w:sz="0" w:space="0" w:color="auto"/>
        <w:bottom w:val="none" w:sz="0" w:space="0" w:color="auto"/>
        <w:right w:val="none" w:sz="0" w:space="0" w:color="auto"/>
      </w:divBdr>
    </w:div>
    <w:div w:id="1027097435">
      <w:bodyDiv w:val="1"/>
      <w:marLeft w:val="0"/>
      <w:marRight w:val="0"/>
      <w:marTop w:val="0"/>
      <w:marBottom w:val="0"/>
      <w:divBdr>
        <w:top w:val="none" w:sz="0" w:space="0" w:color="auto"/>
        <w:left w:val="none" w:sz="0" w:space="0" w:color="auto"/>
        <w:bottom w:val="none" w:sz="0" w:space="0" w:color="auto"/>
        <w:right w:val="none" w:sz="0" w:space="0" w:color="auto"/>
      </w:divBdr>
    </w:div>
    <w:div w:id="1087068807">
      <w:bodyDiv w:val="1"/>
      <w:marLeft w:val="0"/>
      <w:marRight w:val="0"/>
      <w:marTop w:val="0"/>
      <w:marBottom w:val="0"/>
      <w:divBdr>
        <w:top w:val="none" w:sz="0" w:space="0" w:color="auto"/>
        <w:left w:val="none" w:sz="0" w:space="0" w:color="auto"/>
        <w:bottom w:val="none" w:sz="0" w:space="0" w:color="auto"/>
        <w:right w:val="none" w:sz="0" w:space="0" w:color="auto"/>
      </w:divBdr>
    </w:div>
    <w:div w:id="1145897174">
      <w:bodyDiv w:val="1"/>
      <w:marLeft w:val="0"/>
      <w:marRight w:val="0"/>
      <w:marTop w:val="0"/>
      <w:marBottom w:val="0"/>
      <w:divBdr>
        <w:top w:val="none" w:sz="0" w:space="0" w:color="auto"/>
        <w:left w:val="none" w:sz="0" w:space="0" w:color="auto"/>
        <w:bottom w:val="none" w:sz="0" w:space="0" w:color="auto"/>
        <w:right w:val="none" w:sz="0" w:space="0" w:color="auto"/>
      </w:divBdr>
    </w:div>
    <w:div w:id="1178812045">
      <w:bodyDiv w:val="1"/>
      <w:marLeft w:val="0"/>
      <w:marRight w:val="0"/>
      <w:marTop w:val="0"/>
      <w:marBottom w:val="0"/>
      <w:divBdr>
        <w:top w:val="none" w:sz="0" w:space="0" w:color="auto"/>
        <w:left w:val="none" w:sz="0" w:space="0" w:color="auto"/>
        <w:bottom w:val="none" w:sz="0" w:space="0" w:color="auto"/>
        <w:right w:val="none" w:sz="0" w:space="0" w:color="auto"/>
      </w:divBdr>
    </w:div>
    <w:div w:id="1403330060">
      <w:bodyDiv w:val="1"/>
      <w:marLeft w:val="0"/>
      <w:marRight w:val="0"/>
      <w:marTop w:val="0"/>
      <w:marBottom w:val="0"/>
      <w:divBdr>
        <w:top w:val="none" w:sz="0" w:space="0" w:color="auto"/>
        <w:left w:val="none" w:sz="0" w:space="0" w:color="auto"/>
        <w:bottom w:val="none" w:sz="0" w:space="0" w:color="auto"/>
        <w:right w:val="none" w:sz="0" w:space="0" w:color="auto"/>
      </w:divBdr>
    </w:div>
    <w:div w:id="1441606084">
      <w:bodyDiv w:val="1"/>
      <w:marLeft w:val="0"/>
      <w:marRight w:val="0"/>
      <w:marTop w:val="0"/>
      <w:marBottom w:val="0"/>
      <w:divBdr>
        <w:top w:val="none" w:sz="0" w:space="0" w:color="auto"/>
        <w:left w:val="none" w:sz="0" w:space="0" w:color="auto"/>
        <w:bottom w:val="none" w:sz="0" w:space="0" w:color="auto"/>
        <w:right w:val="none" w:sz="0" w:space="0" w:color="auto"/>
      </w:divBdr>
    </w:div>
    <w:div w:id="1560818708">
      <w:bodyDiv w:val="1"/>
      <w:marLeft w:val="0"/>
      <w:marRight w:val="0"/>
      <w:marTop w:val="0"/>
      <w:marBottom w:val="0"/>
      <w:divBdr>
        <w:top w:val="none" w:sz="0" w:space="0" w:color="auto"/>
        <w:left w:val="none" w:sz="0" w:space="0" w:color="auto"/>
        <w:bottom w:val="none" w:sz="0" w:space="0" w:color="auto"/>
        <w:right w:val="none" w:sz="0" w:space="0" w:color="auto"/>
      </w:divBdr>
    </w:div>
    <w:div w:id="1571848036">
      <w:bodyDiv w:val="1"/>
      <w:marLeft w:val="0"/>
      <w:marRight w:val="0"/>
      <w:marTop w:val="0"/>
      <w:marBottom w:val="0"/>
      <w:divBdr>
        <w:top w:val="none" w:sz="0" w:space="0" w:color="auto"/>
        <w:left w:val="none" w:sz="0" w:space="0" w:color="auto"/>
        <w:bottom w:val="none" w:sz="0" w:space="0" w:color="auto"/>
        <w:right w:val="none" w:sz="0" w:space="0" w:color="auto"/>
      </w:divBdr>
    </w:div>
    <w:div w:id="16670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BE5CC-A95E-449E-BCDC-3FD66230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7075</Words>
  <Characters>40331</Characters>
  <Application>Microsoft Office Word</Application>
  <DocSecurity>4</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4.4</vt:lpstr>
      <vt:lpstr>Partie E-TEMPLATE 4.4</vt:lpstr>
    </vt:vector>
  </TitlesOfParts>
  <Company>Microsoft</Company>
  <LinksUpToDate>false</LinksUpToDate>
  <CharactersWithSpaces>47312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4.4</dc:title>
  <dc:creator>Soetkin Meertens</dc:creator>
  <cp:lastModifiedBy>Mitsy Jean-Louis</cp:lastModifiedBy>
  <cp:revision>2</cp:revision>
  <dcterms:created xsi:type="dcterms:W3CDTF">2014-03-28T15:33:00Z</dcterms:created>
  <dcterms:modified xsi:type="dcterms:W3CDTF">2014-03-28T15:33:00Z</dcterms:modified>
</cp:coreProperties>
</file>