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F0" w:rsidRPr="00CC0EED" w:rsidRDefault="009D62F0" w:rsidP="009D62F0">
      <w:pPr>
        <w:pStyle w:val="Heading1"/>
        <w:rPr>
          <w:rFonts w:ascii="Times New Roman" w:hAnsi="Times New Roman"/>
          <w:bCs w:val="0"/>
          <w:kern w:val="0"/>
          <w:sz w:val="22"/>
          <w:szCs w:val="22"/>
        </w:rPr>
      </w:pPr>
      <w:bookmarkStart w:id="0" w:name="_Toc244414388"/>
      <w:bookmarkStart w:id="1" w:name="_GoBack"/>
      <w:bookmarkEnd w:id="1"/>
      <w:r>
        <w:rPr>
          <w:rFonts w:ascii="Times New Roman" w:hAnsi="Times New Roman"/>
          <w:bCs w:val="0"/>
          <w:kern w:val="0"/>
          <w:sz w:val="22"/>
          <w:szCs w:val="22"/>
        </w:rPr>
        <w:t>RUNO Half Yearly Reporting</w:t>
      </w:r>
      <w:r w:rsidRPr="00CC0EED">
        <w:rPr>
          <w:rFonts w:ascii="Times New Roman" w:hAnsi="Times New Roman"/>
          <w:bCs w:val="0"/>
          <w:kern w:val="0"/>
          <w:sz w:val="22"/>
          <w:szCs w:val="22"/>
        </w:rPr>
        <w:t xml:space="preserve"> </w:t>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r>
      <w:r w:rsidRPr="00CC0EED">
        <w:rPr>
          <w:rFonts w:ascii="Times New Roman" w:hAnsi="Times New Roman"/>
          <w:bCs w:val="0"/>
          <w:kern w:val="0"/>
          <w:sz w:val="22"/>
          <w:szCs w:val="22"/>
        </w:rPr>
        <w:tab/>
        <w:t xml:space="preserve">TEMPLATE </w:t>
      </w:r>
      <w:r>
        <w:rPr>
          <w:rFonts w:ascii="Times New Roman" w:hAnsi="Times New Roman"/>
          <w:bCs w:val="0"/>
          <w:kern w:val="0"/>
          <w:sz w:val="22"/>
          <w:szCs w:val="22"/>
        </w:rPr>
        <w:t>4.3</w:t>
      </w:r>
    </w:p>
    <w:bookmarkEnd w:id="0"/>
    <w:p w:rsidR="009D62F0" w:rsidRPr="00481C06" w:rsidRDefault="009D62F0" w:rsidP="009D62F0">
      <w:pPr>
        <w:numPr>
          <w:ilvl w:val="12"/>
          <w:numId w:val="0"/>
        </w:numPr>
        <w:tabs>
          <w:tab w:val="left" w:pos="0"/>
        </w:tabs>
        <w:suppressAutoHyphens/>
        <w:jc w:val="center"/>
        <w:rPr>
          <w:b/>
          <w:bCs/>
          <w:spacing w:val="-3"/>
        </w:rPr>
      </w:pPr>
      <w:r>
        <w:rPr>
          <w:rFonts w:ascii="Arial" w:hAnsi="Arial"/>
          <w:spacing w:val="-3"/>
          <w:sz w:val="20"/>
        </w:rPr>
        <w:tab/>
      </w:r>
      <w:r w:rsidR="003A5D48">
        <w:rPr>
          <w:rFonts w:ascii="Arial" w:hAnsi="Arial"/>
          <w:noProof/>
          <w:spacing w:val="-3"/>
          <w:sz w:val="20"/>
        </w:rPr>
        <w:drawing>
          <wp:inline distT="0" distB="0" distL="0" distR="0">
            <wp:extent cx="1457325" cy="619125"/>
            <wp:effectExtent l="19050" t="0" r="9525" b="0"/>
            <wp:docPr id="1" name="Рисунок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srcRect/>
                    <a:stretch>
                      <a:fillRect/>
                    </a:stretch>
                  </pic:blipFill>
                  <pic:spPr bwMode="auto">
                    <a:xfrm>
                      <a:off x="0" y="0"/>
                      <a:ext cx="1457325" cy="619125"/>
                    </a:xfrm>
                    <a:prstGeom prst="rect">
                      <a:avLst/>
                    </a:prstGeom>
                    <a:noFill/>
                    <a:ln w="9525">
                      <a:noFill/>
                      <a:miter lim="800000"/>
                      <a:headEnd/>
                      <a:tailEnd/>
                    </a:ln>
                  </pic:spPr>
                </pic:pic>
              </a:graphicData>
            </a:graphic>
          </wp:inline>
        </w:drawing>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5E2170">
        <w:rPr>
          <w:rFonts w:ascii="Arial" w:hAnsi="Arial"/>
          <w:spacing w:val="-3"/>
          <w:sz w:val="20"/>
        </w:rPr>
        <w:tab/>
      </w:r>
      <w:r w:rsidR="003A5D48">
        <w:rPr>
          <w:rFonts w:ascii="Arial" w:hAnsi="Arial"/>
          <w:noProof/>
          <w:spacing w:val="-3"/>
          <w:sz w:val="20"/>
        </w:rPr>
        <w:drawing>
          <wp:inline distT="0" distB="0" distL="0" distR="0">
            <wp:extent cx="1438275" cy="1095375"/>
            <wp:effectExtent l="19050" t="0" r="9525" b="0"/>
            <wp:docPr id="2" name="Рисунок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srcRect/>
                    <a:stretch>
                      <a:fillRect/>
                    </a:stretch>
                  </pic:blipFill>
                  <pic:spPr bwMode="auto">
                    <a:xfrm>
                      <a:off x="0" y="0"/>
                      <a:ext cx="1438275" cy="1095375"/>
                    </a:xfrm>
                    <a:prstGeom prst="rect">
                      <a:avLst/>
                    </a:prstGeom>
                    <a:noFill/>
                    <a:ln w="9525">
                      <a:noFill/>
                      <a:miter lim="800000"/>
                      <a:headEnd/>
                      <a:tailEnd/>
                    </a:ln>
                  </pic:spPr>
                </pic:pic>
              </a:graphicData>
            </a:graphic>
          </wp:inline>
        </w:drawing>
      </w:r>
      <w:r w:rsidR="005E2170">
        <w:rPr>
          <w:rFonts w:ascii="Arial" w:hAnsi="Arial"/>
          <w:spacing w:val="-3"/>
          <w:sz w:val="20"/>
        </w:rPr>
        <w:tab/>
      </w:r>
    </w:p>
    <w:p w:rsidR="00FF3594" w:rsidRPr="00FF0380" w:rsidRDefault="00870590" w:rsidP="00FF3594">
      <w:pPr>
        <w:jc w:val="center"/>
        <w:rPr>
          <w:rFonts w:cs="Times New Roman"/>
          <w:b/>
          <w:sz w:val="22"/>
          <w:szCs w:val="22"/>
        </w:rPr>
      </w:pPr>
      <w:r>
        <w:rPr>
          <w:rFonts w:cs="Times New Roman"/>
          <w:b/>
          <w:sz w:val="22"/>
          <w:szCs w:val="22"/>
        </w:rPr>
        <w:t>[</w:t>
      </w:r>
      <w:r w:rsidR="0079057F">
        <w:t>KYRGYZ REPUBLIC</w:t>
      </w:r>
      <w:r>
        <w:rPr>
          <w:rFonts w:cs="Times New Roman"/>
          <w:b/>
          <w:sz w:val="22"/>
          <w:szCs w:val="22"/>
        </w:rPr>
        <w:t>]</w:t>
      </w:r>
    </w:p>
    <w:p w:rsidR="00FF3594" w:rsidRPr="00FF0380" w:rsidRDefault="00FF3594" w:rsidP="00FF3594">
      <w:pPr>
        <w:jc w:val="center"/>
        <w:rPr>
          <w:rFonts w:cs="Times New Roman"/>
          <w:b/>
          <w:sz w:val="22"/>
          <w:szCs w:val="22"/>
        </w:rPr>
      </w:pPr>
    </w:p>
    <w:p w:rsidR="00FF3594" w:rsidRPr="00FF0380" w:rsidRDefault="00FF3594" w:rsidP="00FF3594">
      <w:pPr>
        <w:jc w:val="center"/>
        <w:rPr>
          <w:rFonts w:cs="Times New Roman"/>
          <w:b/>
          <w:sz w:val="22"/>
          <w:szCs w:val="22"/>
        </w:rPr>
      </w:pPr>
      <w:r w:rsidRPr="00FF0380">
        <w:rPr>
          <w:rFonts w:cs="Times New Roman"/>
          <w:b/>
          <w:sz w:val="22"/>
          <w:szCs w:val="22"/>
        </w:rPr>
        <w:t xml:space="preserve">PROJECT </w:t>
      </w:r>
      <w:r w:rsidR="00D45676">
        <w:rPr>
          <w:rFonts w:cs="Times New Roman"/>
          <w:b/>
          <w:sz w:val="22"/>
          <w:szCs w:val="22"/>
        </w:rPr>
        <w:t>HALF YEARLY PROGRESS UPDATE</w:t>
      </w:r>
      <w:r w:rsidRPr="00FF0380">
        <w:rPr>
          <w:rFonts w:cs="Times New Roman"/>
          <w:b/>
          <w:sz w:val="22"/>
          <w:szCs w:val="22"/>
        </w:rPr>
        <w:t xml:space="preserve"> </w:t>
      </w:r>
    </w:p>
    <w:p w:rsidR="00870590" w:rsidRDefault="00870590" w:rsidP="00FF3594">
      <w:pPr>
        <w:jc w:val="center"/>
        <w:rPr>
          <w:rFonts w:cs="Times New Roman"/>
          <w:b/>
          <w:sz w:val="22"/>
          <w:szCs w:val="22"/>
        </w:rPr>
      </w:pPr>
    </w:p>
    <w:p w:rsidR="00BA50CC" w:rsidRDefault="00F05D7B" w:rsidP="00FF3594">
      <w:pPr>
        <w:jc w:val="center"/>
        <w:rPr>
          <w:rFonts w:cs="Times New Roman"/>
          <w:b/>
          <w:sz w:val="22"/>
          <w:szCs w:val="22"/>
        </w:rPr>
      </w:pPr>
      <w:r>
        <w:rPr>
          <w:rFonts w:cs="Times New Roman"/>
          <w:b/>
          <w:sz w:val="22"/>
          <w:szCs w:val="22"/>
        </w:rPr>
        <w:t>PERIOD COVERED:</w:t>
      </w:r>
      <w:r w:rsidR="0079057F">
        <w:t xml:space="preserve"> </w:t>
      </w:r>
      <w:r w:rsidR="00D45676">
        <w:rPr>
          <w:rFonts w:cs="Times New Roman"/>
          <w:b/>
          <w:sz w:val="22"/>
          <w:szCs w:val="22"/>
          <w:u w:val="single"/>
        </w:rPr>
        <w:t>JANUARY – JUNE 20</w:t>
      </w:r>
      <w:r w:rsidR="0079057F">
        <w:t>14</w:t>
      </w:r>
    </w:p>
    <w:p w:rsidR="00870590" w:rsidRPr="00FF0380" w:rsidRDefault="00870590" w:rsidP="00FF3594">
      <w:pPr>
        <w:jc w:val="center"/>
        <w:rPr>
          <w:rFonts w:cs="Times New Roman"/>
          <w:b/>
          <w:sz w:val="22"/>
          <w:szCs w:val="22"/>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2520"/>
        <w:gridCol w:w="2880"/>
        <w:gridCol w:w="2340"/>
      </w:tblGrid>
      <w:tr w:rsidR="004D5527" w:rsidRPr="00FF0380" w:rsidTr="00BB2676">
        <w:trPr>
          <w:trHeight w:val="620"/>
        </w:trPr>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4D5527" w:rsidRPr="00FF0380" w:rsidRDefault="004D5527" w:rsidP="004D5527">
            <w:pPr>
              <w:rPr>
                <w:rFonts w:cs="Times New Roman"/>
                <w:b/>
                <w:sz w:val="22"/>
                <w:szCs w:val="22"/>
              </w:rPr>
            </w:pPr>
            <w:r w:rsidRPr="00FF0380">
              <w:rPr>
                <w:rFonts w:cs="Times New Roman"/>
                <w:b/>
                <w:sz w:val="22"/>
                <w:szCs w:val="22"/>
              </w:rPr>
              <w:t>Project No &amp; Title:</w:t>
            </w:r>
          </w:p>
        </w:tc>
        <w:tc>
          <w:tcPr>
            <w:tcW w:w="7740" w:type="dxa"/>
            <w:gridSpan w:val="3"/>
            <w:tcBorders>
              <w:top w:val="single" w:sz="4" w:space="0" w:color="auto"/>
              <w:left w:val="single" w:sz="4" w:space="0" w:color="auto"/>
              <w:bottom w:val="single" w:sz="4" w:space="0" w:color="auto"/>
              <w:right w:val="single" w:sz="4" w:space="0" w:color="auto"/>
            </w:tcBorders>
            <w:shd w:val="clear" w:color="auto" w:fill="FFFFFF"/>
          </w:tcPr>
          <w:p w:rsidR="004D5527" w:rsidRPr="00870590" w:rsidRDefault="004D5527" w:rsidP="00870590">
            <w:pPr>
              <w:rPr>
                <w:rFonts w:cs="Times New Roman"/>
                <w:sz w:val="22"/>
                <w:szCs w:val="22"/>
              </w:rPr>
            </w:pPr>
          </w:p>
          <w:p w:rsidR="004D5527" w:rsidRPr="00870590" w:rsidRDefault="004D5527" w:rsidP="005203FC">
            <w:pPr>
              <w:rPr>
                <w:rFonts w:cs="Times New Roman"/>
                <w:sz w:val="22"/>
                <w:szCs w:val="22"/>
              </w:rPr>
            </w:pPr>
            <w:r w:rsidRPr="00870590">
              <w:rPr>
                <w:rFonts w:cs="Times New Roman"/>
                <w:sz w:val="22"/>
                <w:szCs w:val="22"/>
              </w:rPr>
              <w:t>PBF/</w:t>
            </w:r>
            <w:r w:rsidR="005203FC">
              <w:t>KGZ</w:t>
            </w:r>
            <w:r w:rsidRPr="00870590">
              <w:rPr>
                <w:rFonts w:cs="Times New Roman"/>
                <w:sz w:val="22"/>
                <w:szCs w:val="22"/>
              </w:rPr>
              <w:t>/</w:t>
            </w:r>
            <w:r w:rsidR="005203FC">
              <w:t xml:space="preserve">B3 - </w:t>
            </w:r>
            <w:r w:rsidR="0079057F">
              <w:t xml:space="preserve">Peace and Trust: </w:t>
            </w:r>
            <w:r w:rsidR="00C85971">
              <w:t>Equal Access to Law Enforcement and Justice</w:t>
            </w:r>
          </w:p>
        </w:tc>
      </w:tr>
      <w:tr w:rsidR="00870590" w:rsidRPr="00FF0380" w:rsidTr="00BB2676">
        <w:trPr>
          <w:trHeight w:val="436"/>
        </w:trPr>
        <w:tc>
          <w:tcPr>
            <w:tcW w:w="2880" w:type="dxa"/>
            <w:tcBorders>
              <w:bottom w:val="single" w:sz="4" w:space="0" w:color="auto"/>
            </w:tcBorders>
            <w:shd w:val="clear" w:color="auto" w:fill="E6E6E6"/>
            <w:vAlign w:val="center"/>
          </w:tcPr>
          <w:p w:rsidR="00870590" w:rsidRPr="00FF0380" w:rsidRDefault="00870590" w:rsidP="00870590">
            <w:pPr>
              <w:rPr>
                <w:rFonts w:cs="Times New Roman"/>
                <w:sz w:val="22"/>
                <w:szCs w:val="22"/>
              </w:rPr>
            </w:pPr>
            <w:r w:rsidRPr="00FF0380">
              <w:rPr>
                <w:rFonts w:cs="Times New Roman"/>
                <w:b/>
                <w:sz w:val="22"/>
                <w:szCs w:val="22"/>
              </w:rPr>
              <w:t>Recipient Organization</w:t>
            </w:r>
            <w:r>
              <w:rPr>
                <w:rFonts w:cs="Times New Roman"/>
                <w:b/>
                <w:sz w:val="22"/>
                <w:szCs w:val="22"/>
              </w:rPr>
              <w:t>(s)</w:t>
            </w:r>
            <w:r w:rsidR="00BB2676">
              <w:rPr>
                <w:rStyle w:val="FootnoteReference"/>
                <w:rFonts w:cs="Times New Roman"/>
                <w:b/>
                <w:sz w:val="22"/>
                <w:szCs w:val="22"/>
              </w:rPr>
              <w:footnoteReference w:id="1"/>
            </w:r>
            <w:r w:rsidRPr="00FF0380">
              <w:rPr>
                <w:rFonts w:cs="Times New Roman"/>
                <w:b/>
                <w:sz w:val="22"/>
                <w:szCs w:val="22"/>
              </w:rPr>
              <w:t xml:space="preserve">:  </w:t>
            </w:r>
          </w:p>
        </w:tc>
        <w:tc>
          <w:tcPr>
            <w:tcW w:w="7740" w:type="dxa"/>
            <w:gridSpan w:val="3"/>
            <w:vAlign w:val="center"/>
          </w:tcPr>
          <w:p w:rsidR="00870590" w:rsidRPr="00FF0380" w:rsidRDefault="005203FC" w:rsidP="004D5527">
            <w:pPr>
              <w:rPr>
                <w:rFonts w:cs="Times New Roman"/>
                <w:sz w:val="22"/>
                <w:szCs w:val="22"/>
              </w:rPr>
            </w:pPr>
            <w:r>
              <w:t>United Nations Office on Drugs and Crime</w:t>
            </w:r>
          </w:p>
        </w:tc>
      </w:tr>
      <w:tr w:rsidR="004D5527" w:rsidRPr="00FF0380" w:rsidTr="00BB2676">
        <w:trPr>
          <w:trHeight w:val="375"/>
        </w:trPr>
        <w:tc>
          <w:tcPr>
            <w:tcW w:w="2880" w:type="dxa"/>
            <w:shd w:val="clear" w:color="auto" w:fill="E6E6E6"/>
            <w:vAlign w:val="center"/>
          </w:tcPr>
          <w:p w:rsidR="004D5527" w:rsidRPr="00FF0380" w:rsidRDefault="00D45676" w:rsidP="00870590">
            <w:pPr>
              <w:rPr>
                <w:rFonts w:cs="Times New Roman"/>
                <w:bCs/>
                <w:sz w:val="22"/>
                <w:szCs w:val="22"/>
              </w:rPr>
            </w:pPr>
            <w:r>
              <w:rPr>
                <w:rFonts w:cs="Times New Roman"/>
                <w:b/>
                <w:sz w:val="22"/>
                <w:szCs w:val="22"/>
              </w:rPr>
              <w:t>Implementing Partners (Government, UN agencies, NGOs etc)</w:t>
            </w:r>
            <w:r w:rsidR="000A26AD">
              <w:rPr>
                <w:rFonts w:cs="Times New Roman"/>
                <w:b/>
                <w:sz w:val="22"/>
                <w:szCs w:val="22"/>
              </w:rPr>
              <w:t>:</w:t>
            </w:r>
          </w:p>
        </w:tc>
        <w:tc>
          <w:tcPr>
            <w:tcW w:w="7740" w:type="dxa"/>
            <w:gridSpan w:val="3"/>
            <w:vAlign w:val="center"/>
          </w:tcPr>
          <w:p w:rsidR="004D5527" w:rsidRPr="00FF0380" w:rsidRDefault="00C85971" w:rsidP="004D5527">
            <w:pPr>
              <w:rPr>
                <w:rFonts w:cs="Times New Roman"/>
                <w:bCs/>
                <w:sz w:val="22"/>
                <w:szCs w:val="22"/>
              </w:rPr>
            </w:pPr>
            <w:r>
              <w:t>Ministry of Internal Affairs of the Kyrgyz Republic</w:t>
            </w:r>
          </w:p>
        </w:tc>
      </w:tr>
      <w:tr w:rsidR="004D5527" w:rsidRPr="00FF0380" w:rsidTr="00BB2676">
        <w:trPr>
          <w:trHeight w:val="375"/>
        </w:trPr>
        <w:tc>
          <w:tcPr>
            <w:tcW w:w="2880" w:type="dxa"/>
            <w:shd w:val="clear" w:color="auto" w:fill="E6E6E6"/>
            <w:vAlign w:val="center"/>
          </w:tcPr>
          <w:p w:rsidR="004D5527" w:rsidRPr="00FF0380" w:rsidRDefault="004D5527" w:rsidP="00870590">
            <w:pPr>
              <w:rPr>
                <w:rFonts w:cs="Times New Roman"/>
                <w:b/>
                <w:sz w:val="22"/>
                <w:szCs w:val="22"/>
              </w:rPr>
            </w:pPr>
            <w:r w:rsidRPr="00FF0380">
              <w:rPr>
                <w:rFonts w:cs="Times New Roman"/>
                <w:b/>
                <w:sz w:val="22"/>
                <w:szCs w:val="22"/>
              </w:rPr>
              <w:t>Location:</w:t>
            </w:r>
          </w:p>
        </w:tc>
        <w:tc>
          <w:tcPr>
            <w:tcW w:w="7740" w:type="dxa"/>
            <w:gridSpan w:val="3"/>
            <w:shd w:val="clear" w:color="auto" w:fill="auto"/>
            <w:vAlign w:val="center"/>
          </w:tcPr>
          <w:p w:rsidR="004D5527" w:rsidRPr="00FF0380" w:rsidRDefault="00C85971" w:rsidP="004D5527">
            <w:pPr>
              <w:rPr>
                <w:rFonts w:cs="Times New Roman"/>
                <w:sz w:val="22"/>
                <w:szCs w:val="22"/>
              </w:rPr>
            </w:pPr>
            <w:r>
              <w:t>Kyrgyz Republic</w:t>
            </w:r>
          </w:p>
        </w:tc>
      </w:tr>
      <w:tr w:rsidR="00132065" w:rsidRPr="00E71AFA" w:rsidTr="00BB2676">
        <w:trPr>
          <w:trHeight w:val="375"/>
        </w:trPr>
        <w:tc>
          <w:tcPr>
            <w:tcW w:w="2880" w:type="dxa"/>
            <w:shd w:val="clear" w:color="auto" w:fill="E6E6E6"/>
          </w:tcPr>
          <w:p w:rsidR="00132065" w:rsidRPr="00335D95" w:rsidRDefault="00132065" w:rsidP="006C1B11">
            <w:pPr>
              <w:rPr>
                <w:rFonts w:cs="Times New Roman"/>
                <w:b/>
                <w:sz w:val="22"/>
                <w:szCs w:val="22"/>
                <w:lang w:val="fr-FR"/>
              </w:rPr>
            </w:pPr>
            <w:r w:rsidRPr="00335D95">
              <w:rPr>
                <w:rFonts w:cs="Times New Roman"/>
                <w:b/>
                <w:sz w:val="22"/>
                <w:szCs w:val="22"/>
                <w:lang w:val="fr-FR"/>
              </w:rPr>
              <w:t>Total Approved Budget</w:t>
            </w:r>
            <w:r w:rsidR="000A26AD">
              <w:rPr>
                <w:rFonts w:cs="Times New Roman"/>
                <w:b/>
                <w:sz w:val="22"/>
                <w:szCs w:val="22"/>
                <w:lang w:val="fr-FR"/>
              </w:rPr>
              <w:t> :</w:t>
            </w:r>
            <w:r w:rsidR="00BB2676">
              <w:rPr>
                <w:rStyle w:val="FootnoteReference"/>
                <w:rFonts w:cs="Times New Roman"/>
                <w:b/>
                <w:sz w:val="22"/>
                <w:szCs w:val="22"/>
                <w:lang w:val="fr-FR"/>
              </w:rPr>
              <w:footnoteReference w:id="2"/>
            </w:r>
          </w:p>
        </w:tc>
        <w:tc>
          <w:tcPr>
            <w:tcW w:w="7740" w:type="dxa"/>
            <w:gridSpan w:val="3"/>
            <w:shd w:val="clear" w:color="auto" w:fill="auto"/>
            <w:vAlign w:val="center"/>
          </w:tcPr>
          <w:p w:rsidR="00132065" w:rsidRPr="00E71AFA" w:rsidRDefault="00971523" w:rsidP="004D5527">
            <w:pPr>
              <w:rPr>
                <w:rFonts w:cs="Times New Roman"/>
                <w:sz w:val="22"/>
                <w:szCs w:val="22"/>
                <w:lang w:val="fr-FR"/>
              </w:rPr>
            </w:pPr>
            <w:r>
              <w:t>1,460,700 USD</w:t>
            </w:r>
          </w:p>
        </w:tc>
      </w:tr>
      <w:tr w:rsidR="00E71AFA" w:rsidRPr="00132065" w:rsidTr="00BB2676">
        <w:trPr>
          <w:trHeight w:val="375"/>
        </w:trPr>
        <w:tc>
          <w:tcPr>
            <w:tcW w:w="2880" w:type="dxa"/>
            <w:shd w:val="clear" w:color="auto" w:fill="E6E6E6"/>
          </w:tcPr>
          <w:p w:rsidR="00E71AFA" w:rsidRPr="000A26AD" w:rsidRDefault="000A26AD" w:rsidP="000A26AD">
            <w:pPr>
              <w:rPr>
                <w:rFonts w:cs="Times New Roman"/>
                <w:b/>
                <w:sz w:val="22"/>
                <w:szCs w:val="22"/>
                <w:lang w:val="en-GB"/>
              </w:rPr>
            </w:pPr>
            <w:r w:rsidRPr="000A26AD">
              <w:rPr>
                <w:rFonts w:cs="Times New Roman"/>
                <w:b/>
                <w:sz w:val="22"/>
                <w:szCs w:val="22"/>
                <w:lang w:val="en-GB"/>
              </w:rPr>
              <w:t>Preliminary data on funds c</w:t>
            </w:r>
            <w:r w:rsidR="00132065" w:rsidRPr="000A26AD">
              <w:rPr>
                <w:rFonts w:cs="Times New Roman"/>
                <w:b/>
                <w:sz w:val="22"/>
                <w:szCs w:val="22"/>
                <w:lang w:val="en-GB"/>
              </w:rPr>
              <w:t>ommitted</w:t>
            </w:r>
            <w:r w:rsidRPr="000A26AD">
              <w:rPr>
                <w:rFonts w:cs="Times New Roman"/>
                <w:b/>
                <w:sz w:val="22"/>
                <w:szCs w:val="22"/>
                <w:lang w:val="en-GB"/>
              </w:rPr>
              <w:t xml:space="preserve"> : </w:t>
            </w:r>
            <w:r w:rsidR="00E71AFA" w:rsidRPr="00335D95">
              <w:rPr>
                <w:rStyle w:val="FootnoteReference"/>
                <w:rFonts w:cs="Times New Roman"/>
                <w:b/>
                <w:sz w:val="22"/>
                <w:szCs w:val="22"/>
              </w:rPr>
              <w:footnoteReference w:id="3"/>
            </w:r>
            <w:r w:rsidR="00E71AFA" w:rsidRPr="000A26AD">
              <w:rPr>
                <w:rFonts w:cs="Times New Roman"/>
                <w:b/>
                <w:sz w:val="22"/>
                <w:szCs w:val="22"/>
                <w:lang w:val="en-GB"/>
              </w:rPr>
              <w:t xml:space="preserve"> </w:t>
            </w:r>
          </w:p>
        </w:tc>
        <w:tc>
          <w:tcPr>
            <w:tcW w:w="2520" w:type="dxa"/>
            <w:shd w:val="clear" w:color="auto" w:fill="auto"/>
            <w:vAlign w:val="center"/>
          </w:tcPr>
          <w:p w:rsidR="00E71AFA" w:rsidRPr="000A26AD" w:rsidRDefault="00E71AFA" w:rsidP="003F0ED1">
            <w:pPr>
              <w:rPr>
                <w:rFonts w:cs="Times New Roman"/>
                <w:sz w:val="22"/>
                <w:szCs w:val="22"/>
                <w:lang w:val="en-GB"/>
              </w:rPr>
            </w:pPr>
            <w:r w:rsidRPr="000A26AD">
              <w:rPr>
                <w:rFonts w:cs="Times New Roman"/>
                <w:sz w:val="22"/>
                <w:szCs w:val="22"/>
                <w:lang w:val="en-GB" w:eastAsia="ja-JP"/>
              </w:rPr>
              <w:t xml:space="preserve"> </w:t>
            </w:r>
            <w:r w:rsidR="001D6150">
              <w:t xml:space="preserve">      </w:t>
            </w:r>
            <w:r w:rsidR="003F0ED1">
              <w:t>325,570</w:t>
            </w:r>
            <w:r w:rsidR="001D6150">
              <w:t xml:space="preserve"> USD</w:t>
            </w:r>
          </w:p>
        </w:tc>
        <w:tc>
          <w:tcPr>
            <w:tcW w:w="2880" w:type="dxa"/>
            <w:shd w:val="pct15" w:color="auto" w:fill="auto"/>
            <w:vAlign w:val="center"/>
          </w:tcPr>
          <w:p w:rsidR="00E71AFA" w:rsidRPr="00C531CB" w:rsidRDefault="00E71AFA" w:rsidP="00132065">
            <w:pPr>
              <w:rPr>
                <w:rFonts w:cs="Times New Roman"/>
                <w:b/>
                <w:sz w:val="22"/>
                <w:szCs w:val="22"/>
              </w:rPr>
            </w:pPr>
            <w:r w:rsidRPr="00C531CB">
              <w:rPr>
                <w:rFonts w:cs="Times New Roman"/>
                <w:b/>
                <w:sz w:val="22"/>
                <w:szCs w:val="22"/>
              </w:rPr>
              <w:t xml:space="preserve">% </w:t>
            </w:r>
            <w:r w:rsidR="00132065" w:rsidRPr="00C531CB">
              <w:rPr>
                <w:rFonts w:cs="Times New Roman"/>
                <w:b/>
                <w:sz w:val="22"/>
                <w:szCs w:val="22"/>
              </w:rPr>
              <w:t xml:space="preserve">of funds committed </w:t>
            </w:r>
            <w:r w:rsidRPr="00C531CB">
              <w:rPr>
                <w:rFonts w:cs="Times New Roman"/>
                <w:b/>
                <w:sz w:val="22"/>
                <w:szCs w:val="22"/>
              </w:rPr>
              <w:t xml:space="preserve"> / </w:t>
            </w:r>
            <w:r w:rsidR="00132065" w:rsidRPr="00C531CB">
              <w:rPr>
                <w:rFonts w:cs="Times New Roman"/>
                <w:b/>
                <w:sz w:val="22"/>
                <w:szCs w:val="22"/>
              </w:rPr>
              <w:t xml:space="preserve">total approved </w:t>
            </w:r>
            <w:r w:rsidRPr="00C531CB">
              <w:rPr>
                <w:rFonts w:cs="Times New Roman"/>
                <w:b/>
                <w:sz w:val="22"/>
                <w:szCs w:val="22"/>
              </w:rPr>
              <w:t>budget:</w:t>
            </w:r>
          </w:p>
        </w:tc>
        <w:tc>
          <w:tcPr>
            <w:tcW w:w="2340" w:type="dxa"/>
            <w:shd w:val="clear" w:color="auto" w:fill="auto"/>
            <w:vAlign w:val="center"/>
          </w:tcPr>
          <w:p w:rsidR="00E71AFA" w:rsidRPr="00132065" w:rsidRDefault="003F0ED1" w:rsidP="004D5527">
            <w:pPr>
              <w:rPr>
                <w:rFonts w:cs="Times New Roman"/>
                <w:sz w:val="22"/>
                <w:szCs w:val="22"/>
              </w:rPr>
            </w:pPr>
            <w:r>
              <w:t>22.28</w:t>
            </w:r>
            <w:r w:rsidR="001D6150">
              <w:t>%</w:t>
            </w:r>
          </w:p>
        </w:tc>
      </w:tr>
      <w:tr w:rsidR="00E71AFA" w:rsidRPr="00132065" w:rsidTr="00BB2676">
        <w:trPr>
          <w:trHeight w:val="375"/>
        </w:trPr>
        <w:tc>
          <w:tcPr>
            <w:tcW w:w="2880" w:type="dxa"/>
            <w:shd w:val="clear" w:color="auto" w:fill="E6E6E6"/>
          </w:tcPr>
          <w:p w:rsidR="00E71AFA" w:rsidRPr="00335D95" w:rsidRDefault="00132065" w:rsidP="00132065">
            <w:pPr>
              <w:rPr>
                <w:rFonts w:cs="Times New Roman"/>
                <w:b/>
                <w:sz w:val="22"/>
                <w:szCs w:val="22"/>
                <w:lang w:val="fr-FR"/>
              </w:rPr>
            </w:pPr>
            <w:r w:rsidRPr="00335D95">
              <w:rPr>
                <w:rFonts w:cs="Times New Roman"/>
                <w:b/>
                <w:sz w:val="22"/>
                <w:szCs w:val="22"/>
                <w:lang w:val="fr-FR"/>
              </w:rPr>
              <w:t>Expenditure</w:t>
            </w:r>
            <w:r w:rsidR="00E71AFA" w:rsidRPr="00335D95">
              <w:rPr>
                <w:rStyle w:val="FootnoteReference"/>
                <w:rFonts w:cs="Times New Roman"/>
                <w:b/>
                <w:sz w:val="22"/>
                <w:szCs w:val="22"/>
              </w:rPr>
              <w:footnoteReference w:id="4"/>
            </w:r>
            <w:r w:rsidR="00E71AFA" w:rsidRPr="00335D95">
              <w:rPr>
                <w:rFonts w:cs="Times New Roman"/>
                <w:b/>
                <w:sz w:val="22"/>
                <w:szCs w:val="22"/>
                <w:lang w:val="fr-FR"/>
              </w:rPr>
              <w:t>:</w:t>
            </w:r>
          </w:p>
        </w:tc>
        <w:tc>
          <w:tcPr>
            <w:tcW w:w="2520" w:type="dxa"/>
            <w:shd w:val="clear" w:color="auto" w:fill="auto"/>
            <w:vAlign w:val="center"/>
          </w:tcPr>
          <w:p w:rsidR="00E71AFA" w:rsidRPr="00E71AFA" w:rsidRDefault="001D6150" w:rsidP="004D5527">
            <w:pPr>
              <w:rPr>
                <w:rFonts w:cs="Times New Roman"/>
                <w:sz w:val="22"/>
                <w:szCs w:val="22"/>
                <w:lang w:val="fr-FR" w:eastAsia="ja-JP"/>
              </w:rPr>
            </w:pPr>
            <w:r>
              <w:t xml:space="preserve">          33,450 USD</w:t>
            </w:r>
          </w:p>
        </w:tc>
        <w:tc>
          <w:tcPr>
            <w:tcW w:w="2880" w:type="dxa"/>
            <w:tcBorders>
              <w:bottom w:val="single" w:sz="4" w:space="0" w:color="auto"/>
            </w:tcBorders>
            <w:shd w:val="pct15" w:color="auto" w:fill="auto"/>
            <w:vAlign w:val="center"/>
          </w:tcPr>
          <w:p w:rsidR="00E71AFA" w:rsidRPr="00C531CB" w:rsidRDefault="00E71AFA" w:rsidP="00132065">
            <w:pPr>
              <w:rPr>
                <w:rFonts w:cs="Times New Roman"/>
                <w:sz w:val="22"/>
                <w:szCs w:val="22"/>
              </w:rPr>
            </w:pPr>
            <w:r w:rsidRPr="00C531CB">
              <w:rPr>
                <w:rFonts w:cs="Times New Roman"/>
                <w:b/>
                <w:sz w:val="22"/>
                <w:szCs w:val="22"/>
              </w:rPr>
              <w:t xml:space="preserve">% </w:t>
            </w:r>
            <w:r w:rsidR="00132065" w:rsidRPr="00C531CB">
              <w:rPr>
                <w:rFonts w:cs="Times New Roman"/>
                <w:b/>
                <w:sz w:val="22"/>
                <w:szCs w:val="22"/>
              </w:rPr>
              <w:t xml:space="preserve">of expenditure </w:t>
            </w:r>
            <w:r w:rsidRPr="00C531CB">
              <w:rPr>
                <w:rFonts w:cs="Times New Roman"/>
                <w:b/>
                <w:sz w:val="22"/>
                <w:szCs w:val="22"/>
              </w:rPr>
              <w:t xml:space="preserve">/ </w:t>
            </w:r>
            <w:r w:rsidR="00132065" w:rsidRPr="00C531CB">
              <w:rPr>
                <w:rFonts w:cs="Times New Roman"/>
                <w:b/>
                <w:sz w:val="22"/>
                <w:szCs w:val="22"/>
              </w:rPr>
              <w:t xml:space="preserve">total </w:t>
            </w:r>
            <w:r w:rsidRPr="00C531CB">
              <w:rPr>
                <w:rFonts w:cs="Times New Roman"/>
                <w:b/>
                <w:sz w:val="22"/>
                <w:szCs w:val="22"/>
              </w:rPr>
              <w:t>budget:</w:t>
            </w:r>
            <w:r w:rsidR="00D45676" w:rsidRPr="00C531CB">
              <w:rPr>
                <w:rFonts w:cs="Times New Roman"/>
                <w:b/>
                <w:sz w:val="22"/>
                <w:szCs w:val="22"/>
              </w:rPr>
              <w:t xml:space="preserve"> (Delivery rate)</w:t>
            </w:r>
          </w:p>
        </w:tc>
        <w:tc>
          <w:tcPr>
            <w:tcW w:w="2340" w:type="dxa"/>
            <w:shd w:val="clear" w:color="auto" w:fill="auto"/>
            <w:vAlign w:val="center"/>
          </w:tcPr>
          <w:p w:rsidR="00E71AFA" w:rsidRPr="00132065" w:rsidRDefault="001D6150" w:rsidP="004D5527">
            <w:pPr>
              <w:rPr>
                <w:rFonts w:cs="Times New Roman"/>
                <w:sz w:val="22"/>
                <w:szCs w:val="22"/>
                <w:lang w:eastAsia="ja-JP"/>
              </w:rPr>
            </w:pPr>
            <w:r>
              <w:t>2.3%</w:t>
            </w:r>
          </w:p>
        </w:tc>
      </w:tr>
      <w:tr w:rsidR="00937667" w:rsidRPr="00FF0380" w:rsidTr="00BB2676">
        <w:trPr>
          <w:trHeight w:val="420"/>
        </w:trPr>
        <w:tc>
          <w:tcPr>
            <w:tcW w:w="2880" w:type="dxa"/>
            <w:shd w:val="clear" w:color="auto" w:fill="E6E6E6"/>
            <w:vAlign w:val="center"/>
          </w:tcPr>
          <w:p w:rsidR="00937667" w:rsidRDefault="00132065" w:rsidP="00870590">
            <w:pPr>
              <w:rPr>
                <w:rFonts w:cs="Times New Roman"/>
                <w:b/>
                <w:sz w:val="22"/>
                <w:szCs w:val="22"/>
              </w:rPr>
            </w:pPr>
            <w:r>
              <w:rPr>
                <w:rFonts w:cs="Times New Roman"/>
                <w:b/>
                <w:sz w:val="22"/>
                <w:szCs w:val="22"/>
              </w:rPr>
              <w:t xml:space="preserve">Project </w:t>
            </w:r>
            <w:r w:rsidR="00937667" w:rsidRPr="00FF0380">
              <w:rPr>
                <w:rFonts w:cs="Times New Roman"/>
                <w:b/>
                <w:sz w:val="22"/>
                <w:szCs w:val="22"/>
              </w:rPr>
              <w:t>Approval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E83E14" w:rsidP="008E7AB9">
            <w:pPr>
              <w:jc w:val="center"/>
              <w:rPr>
                <w:rFonts w:cs="Times New Roman"/>
                <w:b/>
                <w:sz w:val="22"/>
                <w:szCs w:val="22"/>
              </w:rPr>
            </w:pPr>
            <w:r>
              <w:t>13.02.2014</w:t>
            </w:r>
          </w:p>
        </w:tc>
        <w:tc>
          <w:tcPr>
            <w:tcW w:w="2880" w:type="dxa"/>
            <w:vMerge w:val="restart"/>
            <w:shd w:val="pct15" w:color="auto" w:fill="auto"/>
            <w:vAlign w:val="center"/>
          </w:tcPr>
          <w:p w:rsidR="00937667" w:rsidRPr="00132065" w:rsidRDefault="00937667" w:rsidP="008E7AB9">
            <w:pPr>
              <w:jc w:val="center"/>
              <w:rPr>
                <w:rFonts w:cs="Times New Roman"/>
                <w:b/>
                <w:bCs/>
                <w:sz w:val="22"/>
                <w:szCs w:val="22"/>
              </w:rPr>
            </w:pPr>
            <w:r w:rsidRPr="00132065">
              <w:rPr>
                <w:rFonts w:cs="Times New Roman"/>
                <w:b/>
                <w:bCs/>
                <w:sz w:val="22"/>
                <w:szCs w:val="22"/>
              </w:rPr>
              <w:t>Possible delay in operational closure date (Number of months)</w:t>
            </w:r>
          </w:p>
        </w:tc>
        <w:tc>
          <w:tcPr>
            <w:tcW w:w="2340" w:type="dxa"/>
            <w:vMerge w:val="restart"/>
            <w:shd w:val="clear" w:color="auto" w:fill="auto"/>
            <w:vAlign w:val="center"/>
          </w:tcPr>
          <w:p w:rsidR="00937667" w:rsidRPr="00FF0380" w:rsidRDefault="00295766" w:rsidP="008E7AB9">
            <w:pPr>
              <w:jc w:val="center"/>
              <w:rPr>
                <w:rFonts w:cs="Times New Roman"/>
                <w:bCs/>
                <w:sz w:val="22"/>
                <w:szCs w:val="22"/>
              </w:rPr>
            </w:pPr>
            <w:r>
              <w:t>N/A</w:t>
            </w:r>
          </w:p>
        </w:tc>
      </w:tr>
      <w:tr w:rsidR="00937667" w:rsidRPr="00FF0380" w:rsidTr="00BB2676">
        <w:trPr>
          <w:trHeight w:val="420"/>
        </w:trPr>
        <w:tc>
          <w:tcPr>
            <w:tcW w:w="2880" w:type="dxa"/>
            <w:shd w:val="clear" w:color="auto" w:fill="E6E6E6"/>
            <w:vAlign w:val="center"/>
          </w:tcPr>
          <w:p w:rsidR="00937667" w:rsidRDefault="00132065" w:rsidP="00937667">
            <w:pPr>
              <w:rPr>
                <w:rFonts w:cs="Times New Roman"/>
                <w:b/>
                <w:sz w:val="22"/>
                <w:szCs w:val="22"/>
              </w:rPr>
            </w:pPr>
            <w:r>
              <w:rPr>
                <w:rFonts w:cs="Times New Roman"/>
                <w:b/>
                <w:sz w:val="22"/>
                <w:szCs w:val="22"/>
              </w:rPr>
              <w:t xml:space="preserve">Project </w:t>
            </w:r>
            <w:r w:rsidR="00937667">
              <w:rPr>
                <w:rFonts w:cs="Times New Roman"/>
                <w:b/>
                <w:sz w:val="22"/>
                <w:szCs w:val="22"/>
              </w:rPr>
              <w:t>Start Date:</w:t>
            </w:r>
          </w:p>
          <w:p w:rsidR="00937667" w:rsidRPr="00FF0380" w:rsidRDefault="00937667" w:rsidP="00870590">
            <w:pPr>
              <w:rPr>
                <w:rFonts w:cs="Times New Roman"/>
                <w:b/>
                <w:sz w:val="22"/>
                <w:szCs w:val="22"/>
              </w:rPr>
            </w:pPr>
          </w:p>
        </w:tc>
        <w:tc>
          <w:tcPr>
            <w:tcW w:w="2520" w:type="dxa"/>
            <w:shd w:val="clear" w:color="auto" w:fill="auto"/>
            <w:vAlign w:val="center"/>
          </w:tcPr>
          <w:p w:rsidR="00937667" w:rsidRDefault="00971523" w:rsidP="008E7AB9">
            <w:pPr>
              <w:jc w:val="center"/>
              <w:rPr>
                <w:rFonts w:cs="Times New Roman"/>
                <w:b/>
                <w:sz w:val="22"/>
                <w:szCs w:val="22"/>
              </w:rPr>
            </w:pPr>
            <w:r>
              <w:t>13.02.2014</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937667" w:rsidRPr="00FF0380" w:rsidTr="00BB2676">
        <w:trPr>
          <w:trHeight w:val="420"/>
        </w:trPr>
        <w:tc>
          <w:tcPr>
            <w:tcW w:w="2880" w:type="dxa"/>
            <w:tcBorders>
              <w:bottom w:val="single" w:sz="4" w:space="0" w:color="auto"/>
            </w:tcBorders>
            <w:shd w:val="clear" w:color="auto" w:fill="E6E6E6"/>
            <w:vAlign w:val="center"/>
          </w:tcPr>
          <w:p w:rsidR="00937667" w:rsidRPr="00FF0380" w:rsidRDefault="00937667" w:rsidP="00870590">
            <w:pPr>
              <w:rPr>
                <w:rFonts w:cs="Times New Roman"/>
                <w:b/>
                <w:sz w:val="22"/>
                <w:szCs w:val="22"/>
              </w:rPr>
            </w:pPr>
            <w:r>
              <w:rPr>
                <w:rFonts w:cs="Times New Roman"/>
                <w:b/>
                <w:sz w:val="22"/>
                <w:szCs w:val="22"/>
              </w:rPr>
              <w:t>Expected Operational</w:t>
            </w:r>
            <w:r w:rsidR="00132065">
              <w:rPr>
                <w:rFonts w:cs="Times New Roman"/>
                <w:b/>
                <w:sz w:val="22"/>
                <w:szCs w:val="22"/>
              </w:rPr>
              <w:t xml:space="preserve"> Project </w:t>
            </w:r>
            <w:r>
              <w:rPr>
                <w:rFonts w:cs="Times New Roman"/>
                <w:b/>
                <w:sz w:val="22"/>
                <w:szCs w:val="22"/>
              </w:rPr>
              <w:t xml:space="preserve"> Closure Date:</w:t>
            </w:r>
          </w:p>
        </w:tc>
        <w:tc>
          <w:tcPr>
            <w:tcW w:w="2520" w:type="dxa"/>
            <w:shd w:val="clear" w:color="auto" w:fill="auto"/>
            <w:vAlign w:val="center"/>
          </w:tcPr>
          <w:p w:rsidR="00937667" w:rsidRDefault="00CB7DDB" w:rsidP="008E7AB9">
            <w:pPr>
              <w:jc w:val="center"/>
              <w:rPr>
                <w:rFonts w:cs="Times New Roman"/>
                <w:b/>
                <w:sz w:val="22"/>
                <w:szCs w:val="22"/>
              </w:rPr>
            </w:pPr>
            <w:r>
              <w:t>30.06.2016</w:t>
            </w:r>
          </w:p>
        </w:tc>
        <w:tc>
          <w:tcPr>
            <w:tcW w:w="2880" w:type="dxa"/>
            <w:vMerge/>
            <w:shd w:val="pct15" w:color="auto" w:fill="auto"/>
            <w:vAlign w:val="center"/>
          </w:tcPr>
          <w:p w:rsidR="00937667" w:rsidRDefault="00937667" w:rsidP="008E7AB9">
            <w:pPr>
              <w:jc w:val="center"/>
              <w:rPr>
                <w:rFonts w:cs="Times New Roman"/>
                <w:bCs/>
                <w:sz w:val="22"/>
                <w:szCs w:val="22"/>
              </w:rPr>
            </w:pPr>
          </w:p>
        </w:tc>
        <w:tc>
          <w:tcPr>
            <w:tcW w:w="2340" w:type="dxa"/>
            <w:vMerge/>
            <w:shd w:val="clear" w:color="auto" w:fill="auto"/>
            <w:vAlign w:val="center"/>
          </w:tcPr>
          <w:p w:rsidR="00937667" w:rsidRPr="00FF0380" w:rsidRDefault="00937667" w:rsidP="008E7AB9">
            <w:pPr>
              <w:jc w:val="center"/>
              <w:rPr>
                <w:rFonts w:cs="Times New Roman"/>
                <w:bCs/>
                <w:sz w:val="22"/>
                <w:szCs w:val="22"/>
              </w:rPr>
            </w:pPr>
          </w:p>
        </w:tc>
      </w:tr>
      <w:tr w:rsidR="00F05D7B" w:rsidRPr="00FF0380" w:rsidTr="00BB2676">
        <w:trPr>
          <w:trHeight w:val="778"/>
        </w:trPr>
        <w:tc>
          <w:tcPr>
            <w:tcW w:w="2880" w:type="dxa"/>
            <w:shd w:val="clear" w:color="auto" w:fill="E6E6E6"/>
            <w:vAlign w:val="center"/>
          </w:tcPr>
          <w:p w:rsidR="00F05D7B" w:rsidRPr="00FF0380" w:rsidRDefault="00F05D7B" w:rsidP="00870590">
            <w:pPr>
              <w:rPr>
                <w:rFonts w:cs="Times New Roman"/>
                <w:b/>
                <w:sz w:val="22"/>
                <w:szCs w:val="22"/>
              </w:rPr>
            </w:pPr>
            <w:r>
              <w:rPr>
                <w:rFonts w:cs="Times New Roman"/>
                <w:b/>
                <w:sz w:val="22"/>
                <w:szCs w:val="22"/>
              </w:rPr>
              <w:t>Project Outcomes:</w:t>
            </w:r>
          </w:p>
        </w:tc>
        <w:tc>
          <w:tcPr>
            <w:tcW w:w="7740" w:type="dxa"/>
            <w:gridSpan w:val="3"/>
            <w:shd w:val="clear" w:color="auto" w:fill="auto"/>
            <w:vAlign w:val="center"/>
          </w:tcPr>
          <w:p w:rsidR="00F05D7B" w:rsidRDefault="00A10FB7" w:rsidP="00870590">
            <w:r>
              <w:t xml:space="preserve">1. </w:t>
            </w:r>
            <w:r w:rsidRPr="00A10FB7">
              <w:t>The Government of the Kyrgyz Republic adopts and implements policies to increase participation and representation of minorities in the police and to ensure regular dialogue between police and minority communities</w:t>
            </w:r>
          </w:p>
          <w:p w:rsidR="00A10FB7" w:rsidRDefault="00A10FB7" w:rsidP="00870590">
            <w:r>
              <w:t xml:space="preserve">2. </w:t>
            </w:r>
            <w:r w:rsidRPr="00A10FB7">
              <w:t>The Government of the Kyrgyz Republic adopts and implements policies to increase participation and representation of women in the police force and to ensure regular dialogue between police and women in local communities</w:t>
            </w:r>
          </w:p>
          <w:p w:rsidR="00A10FB7" w:rsidRDefault="00A10FB7" w:rsidP="00870590">
            <w:pPr>
              <w:rPr>
                <w:rFonts w:cs="Times New Roman"/>
                <w:bCs/>
                <w:sz w:val="22"/>
                <w:szCs w:val="22"/>
              </w:rPr>
            </w:pPr>
            <w:r>
              <w:lastRenderedPageBreak/>
              <w:t xml:space="preserve">3. </w:t>
            </w:r>
            <w:r w:rsidRPr="00A10FB7">
              <w:t>Police  becomes more accountable and responsive to the grievances/needs of people  through established complaints handling procedures and more effective independent monitoring of police performance</w:t>
            </w:r>
          </w:p>
        </w:tc>
      </w:tr>
      <w:tr w:rsidR="00E71AFA" w:rsidRPr="00FF0380" w:rsidTr="00BB2676">
        <w:trPr>
          <w:trHeight w:val="778"/>
        </w:trPr>
        <w:tc>
          <w:tcPr>
            <w:tcW w:w="2880" w:type="dxa"/>
            <w:shd w:val="clear" w:color="auto" w:fill="E6E6E6"/>
            <w:vAlign w:val="center"/>
          </w:tcPr>
          <w:p w:rsidR="00E71AFA" w:rsidRPr="00FF0380" w:rsidRDefault="00E71AFA" w:rsidP="00CC0EED">
            <w:pPr>
              <w:rPr>
                <w:rFonts w:cs="Times New Roman"/>
                <w:b/>
                <w:sz w:val="22"/>
                <w:szCs w:val="22"/>
              </w:rPr>
            </w:pPr>
            <w:r w:rsidRPr="00FF0380">
              <w:rPr>
                <w:rFonts w:cs="Times New Roman"/>
                <w:b/>
                <w:sz w:val="22"/>
                <w:szCs w:val="22"/>
              </w:rPr>
              <w:lastRenderedPageBreak/>
              <w:t xml:space="preserve">PBF </w:t>
            </w:r>
            <w:r w:rsidR="00CC0EED">
              <w:rPr>
                <w:rFonts w:cs="Times New Roman"/>
                <w:b/>
                <w:sz w:val="22"/>
                <w:szCs w:val="22"/>
              </w:rPr>
              <w:t>Focus</w:t>
            </w:r>
            <w:r w:rsidR="00CC0EED" w:rsidRPr="00FF0380">
              <w:rPr>
                <w:rFonts w:cs="Times New Roman"/>
                <w:b/>
                <w:sz w:val="22"/>
                <w:szCs w:val="22"/>
              </w:rPr>
              <w:t xml:space="preserve"> </w:t>
            </w:r>
            <w:r>
              <w:rPr>
                <w:rFonts w:cs="Times New Roman"/>
                <w:b/>
                <w:sz w:val="22"/>
                <w:szCs w:val="22"/>
              </w:rPr>
              <w:t>A</w:t>
            </w:r>
            <w:r w:rsidRPr="00FF0380">
              <w:rPr>
                <w:rFonts w:cs="Times New Roman"/>
                <w:b/>
                <w:sz w:val="22"/>
                <w:szCs w:val="22"/>
              </w:rPr>
              <w:t>rea</w:t>
            </w:r>
            <w:r w:rsidR="00190A73">
              <w:rPr>
                <w:rStyle w:val="FootnoteReference"/>
                <w:rFonts w:cs="Times New Roman"/>
                <w:b/>
                <w:sz w:val="22"/>
                <w:szCs w:val="22"/>
              </w:rPr>
              <w:footnoteReference w:id="5"/>
            </w:r>
          </w:p>
        </w:tc>
        <w:tc>
          <w:tcPr>
            <w:tcW w:w="7740" w:type="dxa"/>
            <w:gridSpan w:val="3"/>
            <w:shd w:val="clear" w:color="auto" w:fill="auto"/>
            <w:vAlign w:val="center"/>
          </w:tcPr>
          <w:p w:rsidR="00E71AFA" w:rsidRPr="00FF0380" w:rsidRDefault="00BB5CE8" w:rsidP="00837D7F">
            <w:pPr>
              <w:rPr>
                <w:rFonts w:cs="Times New Roman"/>
                <w:sz w:val="22"/>
                <w:szCs w:val="22"/>
              </w:rPr>
            </w:pPr>
            <w:proofErr w:type="spellStart"/>
            <w:r>
              <w:t>RoL</w:t>
            </w:r>
            <w:proofErr w:type="spellEnd"/>
          </w:p>
        </w:tc>
      </w:tr>
    </w:tbl>
    <w:p w:rsidR="00B127F2" w:rsidRDefault="00B127F2" w:rsidP="001D7143">
      <w:pPr>
        <w:outlineLvl w:val="0"/>
        <w:rPr>
          <w:rFonts w:cs="Times New Roman"/>
          <w:sz w:val="22"/>
          <w:szCs w:val="22"/>
        </w:rPr>
        <w:sectPr w:rsidR="00B127F2" w:rsidSect="00CC0EED">
          <w:footerReference w:type="even" r:id="rId11"/>
          <w:footerReference w:type="default" r:id="rId12"/>
          <w:pgSz w:w="12240" w:h="15840"/>
          <w:pgMar w:top="562" w:right="1530" w:bottom="562" w:left="1800" w:header="720" w:footer="720" w:gutter="0"/>
          <w:pgNumType w:start="1"/>
          <w:cols w:space="720"/>
          <w:formProt w:val="0"/>
          <w:docGrid w:linePitch="360"/>
        </w:sectPr>
      </w:pPr>
    </w:p>
    <w:p w:rsidR="00BB2676" w:rsidRDefault="00BB2676" w:rsidP="001D7143">
      <w:pPr>
        <w:outlineLvl w:val="0"/>
        <w:rPr>
          <w:rFonts w:cs="Times New Roman"/>
          <w:sz w:val="22"/>
          <w:szCs w:val="22"/>
        </w:rPr>
      </w:pPr>
    </w:p>
    <w:p w:rsidR="00A10B86" w:rsidRDefault="00A10B86" w:rsidP="001D7143">
      <w:pPr>
        <w:outlineLvl w:val="0"/>
        <w:rPr>
          <w:rFonts w:cs="Times New Roman"/>
          <w:sz w:val="22"/>
          <w:szCs w:val="22"/>
        </w:rPr>
      </w:pPr>
    </w:p>
    <w:p w:rsidR="00CC0EED" w:rsidRDefault="00CC0EED" w:rsidP="001D7143">
      <w:pPr>
        <w:outlineLvl w:val="0"/>
        <w:rPr>
          <w:rFonts w:cs="Times New Roman"/>
          <w:b/>
          <w:sz w:val="22"/>
          <w:szCs w:val="22"/>
        </w:rPr>
      </w:pPr>
      <w:r>
        <w:rPr>
          <w:rFonts w:cs="Times New Roman"/>
          <w:b/>
          <w:sz w:val="22"/>
          <w:szCs w:val="22"/>
        </w:rPr>
        <w:t>Quali</w:t>
      </w:r>
      <w:r w:rsidR="00DF782D">
        <w:rPr>
          <w:rFonts w:cs="Times New Roman"/>
          <w:b/>
          <w:sz w:val="22"/>
          <w:szCs w:val="22"/>
        </w:rPr>
        <w:t xml:space="preserve">tative assessment of progress </w:t>
      </w:r>
    </w:p>
    <w:p w:rsidR="00CC0EED" w:rsidRDefault="00CC0EED" w:rsidP="001D7143">
      <w:pPr>
        <w:outlineLvl w:val="0"/>
        <w:rPr>
          <w:rFonts w:cs="Times New Roman"/>
          <w:b/>
          <w:sz w:val="22"/>
          <w:szCs w:val="22"/>
        </w:rPr>
      </w:pPr>
    </w:p>
    <w:tbl>
      <w:tblPr>
        <w:tblW w:w="13068"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9965"/>
      </w:tblGrid>
      <w:tr w:rsidR="00B127F2" w:rsidRPr="000D4837" w:rsidTr="004075A7">
        <w:tc>
          <w:tcPr>
            <w:tcW w:w="3103" w:type="dxa"/>
            <w:shd w:val="clear" w:color="auto" w:fill="auto"/>
          </w:tcPr>
          <w:p w:rsidR="00DF782D" w:rsidRDefault="00DF782D" w:rsidP="00DF782D">
            <w:pPr>
              <w:outlineLvl w:val="0"/>
              <w:rPr>
                <w:rFonts w:cs="Times New Roman"/>
                <w:i/>
                <w:color w:val="000000"/>
                <w:sz w:val="22"/>
                <w:szCs w:val="22"/>
              </w:rPr>
            </w:pPr>
            <w:r>
              <w:rPr>
                <w:rFonts w:cs="Times New Roman"/>
                <w:i/>
                <w:color w:val="000000"/>
                <w:sz w:val="22"/>
                <w:szCs w:val="22"/>
              </w:rPr>
              <w:t>For each intended</w:t>
            </w:r>
            <w:r w:rsidR="00B127F2" w:rsidRPr="000D4837">
              <w:rPr>
                <w:rFonts w:cs="Times New Roman"/>
                <w:i/>
                <w:color w:val="000000"/>
                <w:sz w:val="22"/>
                <w:szCs w:val="22"/>
              </w:rPr>
              <w:t xml:space="preserve"> outcome</w:t>
            </w:r>
            <w:r>
              <w:rPr>
                <w:rFonts w:cs="Times New Roman"/>
                <w:i/>
                <w:color w:val="000000"/>
                <w:sz w:val="22"/>
                <w:szCs w:val="22"/>
              </w:rPr>
              <w:t xml:space="preserve">, provide evidence of progress during the reporting period. </w:t>
            </w:r>
          </w:p>
          <w:p w:rsidR="00DF782D" w:rsidRDefault="00DF782D" w:rsidP="00DF782D">
            <w:pPr>
              <w:outlineLvl w:val="0"/>
              <w:rPr>
                <w:rFonts w:cs="Times New Roman"/>
                <w:i/>
                <w:color w:val="000000"/>
                <w:sz w:val="22"/>
                <w:szCs w:val="22"/>
              </w:rPr>
            </w:pPr>
          </w:p>
          <w:p w:rsidR="00B127F2" w:rsidRDefault="00DF782D" w:rsidP="00DF782D">
            <w:pPr>
              <w:outlineLvl w:val="0"/>
              <w:rPr>
                <w:rFonts w:cs="Times New Roman"/>
                <w:i/>
                <w:color w:val="000000"/>
                <w:sz w:val="22"/>
                <w:szCs w:val="22"/>
              </w:rPr>
            </w:pPr>
            <w:r>
              <w:rPr>
                <w:rFonts w:cs="Times New Roman"/>
                <w:i/>
                <w:color w:val="000000"/>
                <w:sz w:val="22"/>
                <w:szCs w:val="22"/>
              </w:rPr>
              <w:t xml:space="preserve">In addition, for each outcome include </w:t>
            </w:r>
            <w:r w:rsidR="00B127F2" w:rsidRPr="000D4837">
              <w:rPr>
                <w:rFonts w:cs="Times New Roman"/>
                <w:i/>
                <w:color w:val="000000"/>
                <w:sz w:val="22"/>
                <w:szCs w:val="22"/>
              </w:rPr>
              <w:t xml:space="preserve">the </w:t>
            </w:r>
            <w:r w:rsidR="00B127F2">
              <w:rPr>
                <w:rFonts w:cs="Times New Roman"/>
                <w:i/>
                <w:color w:val="000000"/>
                <w:sz w:val="22"/>
                <w:szCs w:val="22"/>
              </w:rPr>
              <w:t>outputs achieved</w:t>
            </w:r>
            <w:r>
              <w:rPr>
                <w:rFonts w:cs="Times New Roman"/>
                <w:i/>
                <w:color w:val="000000"/>
                <w:sz w:val="22"/>
                <w:szCs w:val="22"/>
              </w:rPr>
              <w:t>.</w:t>
            </w:r>
          </w:p>
          <w:p w:rsidR="00030833" w:rsidRDefault="00030833" w:rsidP="00DF782D">
            <w:pPr>
              <w:outlineLvl w:val="0"/>
            </w:pPr>
            <w:r>
              <w:rPr>
                <w:rFonts w:cs="Times New Roman"/>
                <w:i/>
                <w:color w:val="000000"/>
                <w:sz w:val="22"/>
                <w:szCs w:val="22"/>
              </w:rPr>
              <w:t>(500 words max.)</w:t>
            </w:r>
          </w:p>
          <w:p w:rsidR="002C4C40" w:rsidRDefault="002C4C40" w:rsidP="00DF782D">
            <w:pPr>
              <w:outlineLvl w:val="0"/>
            </w:pPr>
          </w:p>
          <w:p w:rsidR="002C4C40" w:rsidRDefault="002C4C40" w:rsidP="002C4C40">
            <w:r w:rsidRPr="00DC74A3">
              <w:rPr>
                <w:rStyle w:val="Emphasis"/>
              </w:rPr>
              <w:t>Outcome 1:</w:t>
            </w:r>
            <w:r>
              <w:t xml:space="preserve"> </w:t>
            </w:r>
            <w:r w:rsidRPr="00B12BA9">
              <w:t>The Government of the Kyrgyz Republic adopts and implements policies to increase participation and representation of minorities in the police and to ensure regular dialogue between police and minority communities</w:t>
            </w:r>
          </w:p>
          <w:p w:rsidR="002C4C40" w:rsidRDefault="002C4C40" w:rsidP="002C4C40"/>
          <w:p w:rsidR="002C4C40" w:rsidRDefault="002C4C40" w:rsidP="002C4C40">
            <w:pPr>
              <w:outlineLvl w:val="0"/>
            </w:pPr>
            <w:r w:rsidRPr="00DC74A3">
              <w:rPr>
                <w:rStyle w:val="Emphasis"/>
              </w:rPr>
              <w:t>Outcome 2:</w:t>
            </w:r>
            <w:r w:rsidRPr="00C15C0A">
              <w:t xml:space="preserve"> The Government of the Kyrgyz Republic adopts and implements policies to increase participation and representation of women in the police force and to ensure regular dialogue between police and women in local communities</w:t>
            </w: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2C4C40" w:rsidRDefault="002C4C40" w:rsidP="002C4C40">
            <w:pPr>
              <w:outlineLvl w:val="0"/>
            </w:pPr>
          </w:p>
          <w:p w:rsidR="004075A7" w:rsidRDefault="004075A7" w:rsidP="002C4C40">
            <w:pPr>
              <w:outlineLvl w:val="0"/>
              <w:rPr>
                <w:rStyle w:val="Emphasis"/>
              </w:rPr>
            </w:pPr>
          </w:p>
          <w:p w:rsidR="002C4C40" w:rsidRPr="000D4837" w:rsidRDefault="002C4C40" w:rsidP="002C4C40">
            <w:pPr>
              <w:outlineLvl w:val="0"/>
              <w:rPr>
                <w:rFonts w:cs="Times New Roman"/>
                <w:b/>
                <w:sz w:val="22"/>
                <w:szCs w:val="22"/>
              </w:rPr>
            </w:pPr>
            <w:r w:rsidRPr="004075A7">
              <w:rPr>
                <w:rStyle w:val="Emphasis"/>
              </w:rPr>
              <w:t>Outcome 3:</w:t>
            </w:r>
            <w:r w:rsidRPr="002C4C40">
              <w:t xml:space="preserve"> Police becomes more accountable and responsive to the grievances/needs of people through established complaints handling procedures and more effective independent </w:t>
            </w:r>
            <w:r w:rsidRPr="002C4C40">
              <w:lastRenderedPageBreak/>
              <w:t>monitoring of police performance.</w:t>
            </w:r>
          </w:p>
        </w:tc>
        <w:tc>
          <w:tcPr>
            <w:tcW w:w="9965" w:type="dxa"/>
            <w:shd w:val="clear" w:color="auto" w:fill="auto"/>
          </w:tcPr>
          <w:p w:rsidR="002C4C40" w:rsidRDefault="002C4C40" w:rsidP="002C4C40"/>
          <w:p w:rsidR="002C4C40" w:rsidRPr="00DC74A3" w:rsidRDefault="006B6A2D" w:rsidP="002C4C40">
            <w:pPr>
              <w:rPr>
                <w:rStyle w:val="Emphasis"/>
              </w:rPr>
            </w:pPr>
            <w:r w:rsidRPr="00DC74A3">
              <w:rPr>
                <w:rStyle w:val="Emphasis"/>
              </w:rPr>
              <w:t xml:space="preserve">Outcome 1 and 2: </w:t>
            </w:r>
            <w:r w:rsidR="002C4C40" w:rsidRPr="00DC74A3">
              <w:rPr>
                <w:rStyle w:val="Emphasis"/>
              </w:rPr>
              <w:t>The project team has conducted a number of introductory and advocacy activities to present the project and to seek support for the organization of assessments of gender and minori</w:t>
            </w:r>
            <w:r w:rsidR="00DC74A3" w:rsidRPr="00DC74A3">
              <w:rPr>
                <w:rStyle w:val="Emphasis"/>
              </w:rPr>
              <w:t>ty representation in the police</w:t>
            </w:r>
            <w:r w:rsidR="002C4C40" w:rsidRPr="00DC74A3">
              <w:rPr>
                <w:rStyle w:val="Emphasis"/>
              </w:rPr>
              <w:t>:</w:t>
            </w:r>
          </w:p>
          <w:p w:rsidR="002C4C40" w:rsidRDefault="002C4C40" w:rsidP="002C4C40"/>
          <w:p w:rsidR="002C4C40" w:rsidRDefault="002C4C40" w:rsidP="002C4C40">
            <w:r>
              <w:t>- a series of introductory meetings with national partners res</w:t>
            </w:r>
            <w:r w:rsidR="001972FE">
              <w:t>ponsible for law enforcement (</w:t>
            </w:r>
            <w:r>
              <w:t>Vice Prime Minister, Deputy Minister of Internal Affairs (</w:t>
            </w:r>
            <w:proofErr w:type="spellStart"/>
            <w:r>
              <w:t>MoI</w:t>
            </w:r>
            <w:proofErr w:type="spellEnd"/>
            <w:r>
              <w:t xml:space="preserve">), Head of the </w:t>
            </w:r>
            <w:proofErr w:type="spellStart"/>
            <w:r>
              <w:t>MoI</w:t>
            </w:r>
            <w:proofErr w:type="spellEnd"/>
            <w:r>
              <w:t xml:space="preserve"> Human Resources Department</w:t>
            </w:r>
            <w:r w:rsidR="001972FE">
              <w:t xml:space="preserve"> of the Kyrgyz Republic</w:t>
            </w:r>
            <w:r>
              <w:t xml:space="preserve">), </w:t>
            </w:r>
            <w:proofErr w:type="spellStart"/>
            <w:r>
              <w:t>MoI's</w:t>
            </w:r>
            <w:proofErr w:type="spellEnd"/>
            <w:r>
              <w:t xml:space="preserve"> Gender Adviser and other stakeholders;</w:t>
            </w:r>
          </w:p>
          <w:p w:rsidR="002C4C40" w:rsidRDefault="002C4C40" w:rsidP="002C4C40"/>
          <w:p w:rsidR="002C4C40" w:rsidRDefault="002C4C40" w:rsidP="002C4C40">
            <w:r>
              <w:t xml:space="preserve">- </w:t>
            </w:r>
            <w:r w:rsidR="001972FE">
              <w:t>one</w:t>
            </w:r>
            <w:r w:rsidR="006B6A2D">
              <w:t xml:space="preserve"> </w:t>
            </w:r>
            <w:r>
              <w:t xml:space="preserve">launch event at the </w:t>
            </w:r>
            <w:proofErr w:type="spellStart"/>
            <w:r>
              <w:t>MoI</w:t>
            </w:r>
            <w:proofErr w:type="spellEnd"/>
            <w:r>
              <w:t xml:space="preserve"> with participation from the </w:t>
            </w:r>
            <w:r w:rsidR="001972FE">
              <w:t>G</w:t>
            </w:r>
            <w:r>
              <w:t>overnment</w:t>
            </w:r>
            <w:r w:rsidR="001972FE">
              <w:t xml:space="preserve"> of the Kyrgyz Republic</w:t>
            </w:r>
            <w:r>
              <w:t>, civil society and international organizations;</w:t>
            </w:r>
          </w:p>
          <w:p w:rsidR="002C4C40" w:rsidRDefault="002C4C40" w:rsidP="002C4C40"/>
          <w:p w:rsidR="002C4C40" w:rsidRDefault="001972FE" w:rsidP="002C4C40">
            <w:r>
              <w:t xml:space="preserve">- two </w:t>
            </w:r>
            <w:r w:rsidR="002C4C40">
              <w:t xml:space="preserve">meetings of the Coordination Council on Police Reform and other related coordination meetings (February and May 2014) to advocate for </w:t>
            </w:r>
            <w:r w:rsidR="002C4C40" w:rsidRPr="00A10FB7">
              <w:t>increas</w:t>
            </w:r>
            <w:r w:rsidR="002C4C40">
              <w:t>ing</w:t>
            </w:r>
            <w:r w:rsidR="002C4C40" w:rsidRPr="00A10FB7">
              <w:t xml:space="preserve"> participation and representation of </w:t>
            </w:r>
            <w:r w:rsidR="002C4C40">
              <w:t xml:space="preserve">women and </w:t>
            </w:r>
            <w:r w:rsidR="002C4C40" w:rsidRPr="00A10FB7">
              <w:t>minorities in the police</w:t>
            </w:r>
            <w:r w:rsidR="002C4C40">
              <w:t>;</w:t>
            </w:r>
          </w:p>
          <w:p w:rsidR="002C4C40" w:rsidRDefault="002C4C40" w:rsidP="002C4C40"/>
          <w:p w:rsidR="002C4C40" w:rsidRDefault="002C4C40" w:rsidP="002C4C40">
            <w:r>
              <w:t xml:space="preserve">- </w:t>
            </w:r>
            <w:proofErr w:type="gramStart"/>
            <w:r w:rsidR="001972FE">
              <w:t>two</w:t>
            </w:r>
            <w:proofErr w:type="gramEnd"/>
            <w:r w:rsidR="001972FE">
              <w:t xml:space="preserve"> </w:t>
            </w:r>
            <w:r w:rsidRPr="00E40574">
              <w:t xml:space="preserve">official letters </w:t>
            </w:r>
            <w:r>
              <w:t>(</w:t>
            </w:r>
            <w:r w:rsidRPr="00E40574">
              <w:t>May and June 2014</w:t>
            </w:r>
            <w:r>
              <w:t>)</w:t>
            </w:r>
            <w:r w:rsidRPr="00E40574">
              <w:t xml:space="preserve"> sent to the Minister of Internal Affairs and the Vice Prime Minister to request support for the organization of the mentioned assessments.</w:t>
            </w:r>
          </w:p>
          <w:p w:rsidR="002C4C40" w:rsidRDefault="002C4C40" w:rsidP="002C4C40"/>
          <w:p w:rsidR="002C4C40" w:rsidRPr="00DC74A3" w:rsidRDefault="002C4C40" w:rsidP="002C4C40">
            <w:pPr>
              <w:rPr>
                <w:rStyle w:val="Emphasis"/>
              </w:rPr>
            </w:pPr>
            <w:r w:rsidRPr="00DC74A3">
              <w:rPr>
                <w:rStyle w:val="Emphasis"/>
              </w:rPr>
              <w:t>Results achieved at the project outputs level:</w:t>
            </w:r>
          </w:p>
          <w:p w:rsidR="002C4C40" w:rsidRDefault="002C4C40" w:rsidP="002C4C40"/>
          <w:p w:rsidR="002C4C40" w:rsidRDefault="002C4C40" w:rsidP="002C4C40">
            <w:r>
              <w:t xml:space="preserve">-  </w:t>
            </w:r>
            <w:r w:rsidRPr="00810CA3">
              <w:t xml:space="preserve">14 PBF priority districts and cities </w:t>
            </w:r>
            <w:r>
              <w:t>assessed (</w:t>
            </w:r>
            <w:r w:rsidRPr="00810CA3">
              <w:t>8-20 June 2014</w:t>
            </w:r>
            <w:r>
              <w:t xml:space="preserve">) by </w:t>
            </w:r>
            <w:r w:rsidRPr="00810CA3">
              <w:t xml:space="preserve">a joint </w:t>
            </w:r>
            <w:proofErr w:type="spellStart"/>
            <w:r w:rsidRPr="00810CA3">
              <w:t>MoI</w:t>
            </w:r>
            <w:proofErr w:type="spellEnd"/>
            <w:r w:rsidRPr="00810CA3">
              <w:t xml:space="preserve"> </w:t>
            </w:r>
            <w:r>
              <w:t>and project team mission</w:t>
            </w:r>
            <w:r w:rsidRPr="00810CA3">
              <w:t xml:space="preserve"> to review participation and representation of women and minorities in the police, study existing police-public partnerships and assess the feasibility of establishing police points and/or patrols with the involvement of women and minority police officers at the local level</w:t>
            </w:r>
            <w:r>
              <w:t xml:space="preserve">. The assessment mission </w:t>
            </w:r>
            <w:r w:rsidR="001972FE">
              <w:t>included</w:t>
            </w:r>
            <w:r>
              <w:t xml:space="preserve"> visits to </w:t>
            </w:r>
            <w:r w:rsidRPr="00810CA3">
              <w:t>35 police stations and meetings with the heads of these police</w:t>
            </w:r>
            <w:r>
              <w:t xml:space="preserve"> stations, police officers, </w:t>
            </w:r>
            <w:r w:rsidRPr="00810CA3">
              <w:t xml:space="preserve">representatives from local government and </w:t>
            </w:r>
            <w:r>
              <w:t xml:space="preserve">local crime prevention </w:t>
            </w:r>
            <w:proofErr w:type="spellStart"/>
            <w:r>
              <w:t>centres</w:t>
            </w:r>
            <w:proofErr w:type="spellEnd"/>
            <w:r>
              <w:t>;</w:t>
            </w:r>
          </w:p>
          <w:p w:rsidR="002C4C40" w:rsidRDefault="002C4C40" w:rsidP="002C4C40"/>
          <w:p w:rsidR="002C4C40" w:rsidRDefault="002C4C40" w:rsidP="002C4C40">
            <w:r>
              <w:lastRenderedPageBreak/>
              <w:t>- draft m</w:t>
            </w:r>
            <w:r w:rsidRPr="00810CA3">
              <w:t xml:space="preserve">ission report with recommendations for the establishment of regular dialogue between police and local communities </w:t>
            </w:r>
            <w:r>
              <w:t>developed</w:t>
            </w:r>
            <w:r w:rsidRPr="00810CA3">
              <w:t xml:space="preserve"> </w:t>
            </w:r>
            <w:r>
              <w:t>(to</w:t>
            </w:r>
            <w:r w:rsidRPr="00810CA3">
              <w:t xml:space="preserve"> be submitted for consideration of the project's Steering Co</w:t>
            </w:r>
            <w:r>
              <w:t>mmittee by the end of July 2014);</w:t>
            </w:r>
          </w:p>
          <w:p w:rsidR="002C4C40" w:rsidRDefault="002C4C40" w:rsidP="002C4C40"/>
          <w:p w:rsidR="002C4C40" w:rsidRDefault="002C4C40" w:rsidP="002C4C40">
            <w:r>
              <w:t xml:space="preserve">- </w:t>
            </w:r>
            <w:r w:rsidR="001972FE">
              <w:t>three</w:t>
            </w:r>
            <w:r w:rsidRPr="00DC65E4">
              <w:t xml:space="preserve"> expert commentaries on key</w:t>
            </w:r>
            <w:r>
              <w:t xml:space="preserve"> regulations to advance gender and minority representation in the police (i.e. on new competitive recruitment and performance evaluation procedures) </w:t>
            </w:r>
            <w:r w:rsidRPr="00DC65E4">
              <w:t xml:space="preserve">prepared and disseminated </w:t>
            </w:r>
            <w:r>
              <w:t>(</w:t>
            </w:r>
            <w:r w:rsidRPr="00DC65E4">
              <w:t>June 2014</w:t>
            </w:r>
            <w:r>
              <w:t xml:space="preserve">); to be updated by the </w:t>
            </w:r>
            <w:proofErr w:type="spellStart"/>
            <w:r>
              <w:t>MoI</w:t>
            </w:r>
            <w:proofErr w:type="spellEnd"/>
            <w:r>
              <w:t xml:space="preserve"> taking into account the project recommendations to include special measures to advance equal opportunities for women and minorities in the police;  </w:t>
            </w:r>
            <w:r w:rsidRPr="00DC65E4">
              <w:t xml:space="preserve"> </w:t>
            </w:r>
          </w:p>
          <w:p w:rsidR="002C4C40" w:rsidRPr="00810CA3" w:rsidRDefault="002C4C40" w:rsidP="002C4C40">
            <w:r w:rsidRPr="00DC65E4">
              <w:t xml:space="preserve"> </w:t>
            </w:r>
            <w:r w:rsidRPr="00810CA3">
              <w:t xml:space="preserve">                  </w:t>
            </w:r>
          </w:p>
          <w:p w:rsidR="002C4C40" w:rsidRDefault="002C4C40" w:rsidP="002C4C40">
            <w:r>
              <w:t xml:space="preserve">- informational campaign on police work, </w:t>
            </w:r>
            <w:r w:rsidRPr="000329B3">
              <w:t>recruitment procedures and career opportunities</w:t>
            </w:r>
            <w:r>
              <w:t xml:space="preserve"> for women launched and supported (April-May 2014) via: (</w:t>
            </w:r>
            <w:proofErr w:type="spellStart"/>
            <w:r>
              <w:t>i</w:t>
            </w:r>
            <w:proofErr w:type="spellEnd"/>
            <w:r>
              <w:t xml:space="preserve">) conduct of nationwide </w:t>
            </w:r>
            <w:r w:rsidRPr="000329B3">
              <w:t>briefing</w:t>
            </w:r>
            <w:r>
              <w:t>s</w:t>
            </w:r>
            <w:r w:rsidRPr="000329B3">
              <w:t xml:space="preserve"> on police work </w:t>
            </w:r>
            <w:r>
              <w:t>in over 300 schools; (ii) development of a media plan to encourage qualified young people, in particular women and minorities, to apply to the Police Academy; (iii) 1500 leaflets and 1000 posters on the Police Academy and application procedures printed; (iv) 10,000 copies of a special edition of the national newspaper with</w:t>
            </w:r>
            <w:r w:rsidRPr="00042300">
              <w:t xml:space="preserve"> women and mino</w:t>
            </w:r>
            <w:r>
              <w:t xml:space="preserve">rities' </w:t>
            </w:r>
            <w:r w:rsidRPr="00042300">
              <w:t>interviews</w:t>
            </w:r>
            <w:r>
              <w:t>, developed and disseminated around the country; (v) 2 video ads prepared and disseminated in Russian and Kyrgyz languages on key websites, portals and social media; (vi)12 billboards were placed along main roads in the major cities of Osh and Jalalabad in the South of the country;</w:t>
            </w:r>
          </w:p>
          <w:p w:rsidR="002C4C40" w:rsidRDefault="002C4C40" w:rsidP="002C4C40"/>
          <w:p w:rsidR="002C4C40" w:rsidRDefault="002C4C40" w:rsidP="002C4C40">
            <w:r w:rsidRPr="00210506">
              <w:t xml:space="preserve">- </w:t>
            </w:r>
            <w:r>
              <w:t>draft</w:t>
            </w:r>
            <w:r w:rsidRPr="00210506">
              <w:t xml:space="preserve"> </w:t>
            </w:r>
            <w:r>
              <w:t>training</w:t>
            </w:r>
            <w:r w:rsidRPr="00210506">
              <w:t xml:space="preserve"> </w:t>
            </w:r>
            <w:proofErr w:type="spellStart"/>
            <w:r>
              <w:t>programme</w:t>
            </w:r>
            <w:proofErr w:type="spellEnd"/>
            <w:r w:rsidRPr="00210506">
              <w:t xml:space="preserve"> </w:t>
            </w:r>
            <w:r>
              <w:t>on</w:t>
            </w:r>
            <w:r w:rsidRPr="00210506">
              <w:t xml:space="preserve"> </w:t>
            </w:r>
            <w:r>
              <w:t>gender</w:t>
            </w:r>
            <w:r w:rsidRPr="00210506">
              <w:t xml:space="preserve"> </w:t>
            </w:r>
            <w:r>
              <w:t>sensitivity</w:t>
            </w:r>
            <w:r w:rsidRPr="00210506">
              <w:t xml:space="preserve"> </w:t>
            </w:r>
            <w:r>
              <w:t>issues</w:t>
            </w:r>
            <w:r w:rsidRPr="00210506">
              <w:t xml:space="preserve"> (</w:t>
            </w:r>
            <w:r>
              <w:t>basic</w:t>
            </w:r>
            <w:r w:rsidRPr="00210506">
              <w:t xml:space="preserve">) </w:t>
            </w:r>
            <w:r>
              <w:t>for police senior level officers and representatives of police women association developed</w:t>
            </w:r>
            <w:r w:rsidRPr="00210506">
              <w:t xml:space="preserve">; </w:t>
            </w:r>
            <w:r>
              <w:t>basic</w:t>
            </w:r>
            <w:r w:rsidRPr="00210506">
              <w:t xml:space="preserve"> </w:t>
            </w:r>
            <w:r>
              <w:t xml:space="preserve">gender training and </w:t>
            </w:r>
            <w:proofErr w:type="spellStart"/>
            <w:r>
              <w:t>ToT</w:t>
            </w:r>
            <w:proofErr w:type="spellEnd"/>
            <w:r w:rsidRPr="00210506">
              <w:t xml:space="preserve"> </w:t>
            </w:r>
            <w:r>
              <w:t>training</w:t>
            </w:r>
            <w:r w:rsidRPr="00210506">
              <w:t xml:space="preserve"> </w:t>
            </w:r>
            <w:r>
              <w:t>courses'</w:t>
            </w:r>
            <w:r w:rsidRPr="00210506">
              <w:t xml:space="preserve"> </w:t>
            </w:r>
            <w:r>
              <w:t>timeframes and format</w:t>
            </w:r>
            <w:r w:rsidRPr="00210506">
              <w:t xml:space="preserve"> </w:t>
            </w:r>
            <w:r>
              <w:t>have</w:t>
            </w:r>
            <w:r w:rsidRPr="00210506">
              <w:t xml:space="preserve"> </w:t>
            </w:r>
            <w:r>
              <w:t>been</w:t>
            </w:r>
            <w:r w:rsidRPr="00210506">
              <w:t xml:space="preserve"> </w:t>
            </w:r>
            <w:r>
              <w:t>coordinated</w:t>
            </w:r>
            <w:r w:rsidRPr="00210506">
              <w:t xml:space="preserve"> </w:t>
            </w:r>
            <w:r>
              <w:t>and</w:t>
            </w:r>
            <w:r w:rsidRPr="00210506">
              <w:t xml:space="preserve"> </w:t>
            </w:r>
            <w:r>
              <w:t>agreed</w:t>
            </w:r>
            <w:r w:rsidRPr="00210506">
              <w:t xml:space="preserve"> </w:t>
            </w:r>
            <w:r>
              <w:t>with</w:t>
            </w:r>
            <w:r w:rsidRPr="00210506">
              <w:t xml:space="preserve"> </w:t>
            </w:r>
            <w:r>
              <w:t>the</w:t>
            </w:r>
            <w:r w:rsidRPr="00210506">
              <w:t xml:space="preserve"> </w:t>
            </w:r>
            <w:r>
              <w:t>national</w:t>
            </w:r>
            <w:r w:rsidRPr="00210506">
              <w:t xml:space="preserve"> </w:t>
            </w:r>
            <w:r w:rsidR="001972FE">
              <w:t>partners;</w:t>
            </w:r>
          </w:p>
          <w:p w:rsidR="001972FE" w:rsidRDefault="001972FE" w:rsidP="002C4C40"/>
          <w:p w:rsidR="001972FE" w:rsidRDefault="001972FE" w:rsidP="002C4C40">
            <w:r>
              <w:t xml:space="preserve">- </w:t>
            </w:r>
            <w:proofErr w:type="gramStart"/>
            <w:r>
              <w:t>agreement</w:t>
            </w:r>
            <w:proofErr w:type="gramEnd"/>
            <w:r>
              <w:t xml:space="preserve"> received from the </w:t>
            </w:r>
            <w:proofErr w:type="spellStart"/>
            <w:r>
              <w:t>MoI</w:t>
            </w:r>
            <w:proofErr w:type="spellEnd"/>
            <w:r>
              <w:t xml:space="preserve"> to conduct </w:t>
            </w:r>
            <w:r w:rsidR="003A34FD" w:rsidRPr="003A34FD">
              <w:t>assessment of the ethnic composition of the police service in relation to the composition of the population</w:t>
            </w:r>
            <w:r>
              <w:t xml:space="preserve"> </w:t>
            </w:r>
            <w:r w:rsidR="003A34FD">
              <w:t>in the Kyrgyz Republic.</w:t>
            </w:r>
          </w:p>
          <w:p w:rsidR="002C4C40" w:rsidRDefault="002C4C40" w:rsidP="002C4C40"/>
          <w:p w:rsidR="002C4C40" w:rsidRPr="00DC74A3" w:rsidRDefault="006B6A2D" w:rsidP="002C4C40">
            <w:pPr>
              <w:rPr>
                <w:rStyle w:val="Emphasis"/>
              </w:rPr>
            </w:pPr>
            <w:r w:rsidRPr="00DC74A3">
              <w:rPr>
                <w:rStyle w:val="Emphasis"/>
              </w:rPr>
              <w:t xml:space="preserve">Outcome 3: </w:t>
            </w:r>
            <w:r w:rsidR="002C4C40" w:rsidRPr="00DC74A3">
              <w:rPr>
                <w:rStyle w:val="Emphasis"/>
              </w:rPr>
              <w:t>The project team has conducted a number of introductory and advocacy activities to present the project and to discuss complaints handling and monitoring of police performance:</w:t>
            </w:r>
          </w:p>
          <w:p w:rsidR="002C4C40" w:rsidRDefault="002C4C40" w:rsidP="002C4C40"/>
          <w:p w:rsidR="002C4C40" w:rsidRDefault="002C4C40" w:rsidP="002C4C40">
            <w:r>
              <w:t xml:space="preserve">- </w:t>
            </w:r>
            <w:r w:rsidRPr="00A95323">
              <w:t>a series of introductory meetings</w:t>
            </w:r>
            <w:r>
              <w:t xml:space="preserve"> with the head of the </w:t>
            </w:r>
            <w:proofErr w:type="spellStart"/>
            <w:r>
              <w:t>MoI's</w:t>
            </w:r>
            <w:proofErr w:type="spellEnd"/>
            <w:r>
              <w:t xml:space="preserve"> Internal Oversight Department, national human rights institutions and civil society organizations;</w:t>
            </w:r>
          </w:p>
          <w:p w:rsidR="002C4C40" w:rsidRDefault="002C4C40" w:rsidP="002C4C40"/>
          <w:p w:rsidR="002C4C40" w:rsidRPr="00DC74A3" w:rsidRDefault="002C4C40" w:rsidP="002C4C40">
            <w:pPr>
              <w:rPr>
                <w:rStyle w:val="Emphasis"/>
              </w:rPr>
            </w:pPr>
            <w:r w:rsidRPr="00DC74A3">
              <w:rPr>
                <w:rStyle w:val="Emphasis"/>
              </w:rPr>
              <w:lastRenderedPageBreak/>
              <w:t>Results achieved at the project outputs level:</w:t>
            </w:r>
          </w:p>
          <w:p w:rsidR="006B6A2D" w:rsidRDefault="006B6A2D" w:rsidP="002C4C40"/>
          <w:p w:rsidR="006B6A2D" w:rsidRDefault="006B6A2D" w:rsidP="002C4C40">
            <w:r>
              <w:t>- Several expert analyses were prepared to support development of a Draft Regulation on Criteria on Police Performance Evaluation and Public Discussions;</w:t>
            </w:r>
          </w:p>
          <w:p w:rsidR="006B6A2D" w:rsidRDefault="006B6A2D" w:rsidP="002C4C40"/>
          <w:p w:rsidR="006B6A2D" w:rsidRDefault="006B6A2D" w:rsidP="002C4C40">
            <w:r>
              <w:t xml:space="preserve">- </w:t>
            </w:r>
            <w:r w:rsidR="005F044B">
              <w:t xml:space="preserve">Principal </w:t>
            </w:r>
            <w:r>
              <w:t xml:space="preserve">agreement </w:t>
            </w:r>
            <w:r w:rsidR="00950E56">
              <w:t>reach</w:t>
            </w:r>
            <w:r>
              <w:t>ed with the defense lawyers' association</w:t>
            </w:r>
            <w:r w:rsidR="001972FE">
              <w:t xml:space="preserve"> of the Kyrgyz Republic</w:t>
            </w:r>
            <w:r>
              <w:t>, NGOs and civil sector representatives on launching a series of joint advocacy and public awareness activities aimed at increasing effectiveness of public oversight councils</w:t>
            </w:r>
            <w:r w:rsidR="00950E56">
              <w:t xml:space="preserve"> and </w:t>
            </w:r>
            <w:proofErr w:type="spellStart"/>
            <w:r w:rsidR="00950E56">
              <w:t>MoI</w:t>
            </w:r>
            <w:proofErr w:type="spellEnd"/>
            <w:r w:rsidR="00950E56">
              <w:t xml:space="preserve"> internal oversight mechanisms</w:t>
            </w:r>
            <w:r w:rsidR="005F044B">
              <w:t>;</w:t>
            </w:r>
          </w:p>
          <w:p w:rsidR="005F044B" w:rsidRDefault="005F044B" w:rsidP="002C4C40"/>
          <w:p w:rsidR="005F044B" w:rsidRDefault="005F044B" w:rsidP="002C4C40">
            <w:r>
              <w:t xml:space="preserve">- Principal agreement </w:t>
            </w:r>
            <w:r w:rsidR="00950E56">
              <w:t>reach</w:t>
            </w:r>
            <w:r>
              <w:t xml:space="preserve">ed with </w:t>
            </w:r>
            <w:r w:rsidR="00950E56">
              <w:t xml:space="preserve">the </w:t>
            </w:r>
            <w:r w:rsidR="00950E56" w:rsidRPr="00950E56">
              <w:t xml:space="preserve">UN High Commissioner for Human Rights Office, the OSCE Centre in Bishkek, Freedom House, the Ombudsman </w:t>
            </w:r>
            <w:r w:rsidR="00950E56">
              <w:t xml:space="preserve">on close interaction and joint efforts </w:t>
            </w:r>
            <w:r w:rsidR="00A75473">
              <w:t xml:space="preserve">aimed at increasing </w:t>
            </w:r>
            <w:r w:rsidR="00950E56">
              <w:t xml:space="preserve">public awareness </w:t>
            </w:r>
            <w:r w:rsidR="00A75473">
              <w:t xml:space="preserve">with a </w:t>
            </w:r>
            <w:r w:rsidR="00950E56">
              <w:t xml:space="preserve">focus on the mandate of </w:t>
            </w:r>
            <w:r w:rsidR="00A75473">
              <w:t xml:space="preserve">the KR </w:t>
            </w:r>
            <w:r w:rsidR="00950E56" w:rsidRPr="00950E56">
              <w:t xml:space="preserve">National Center </w:t>
            </w:r>
            <w:r w:rsidR="00A75473">
              <w:t xml:space="preserve">for </w:t>
            </w:r>
            <w:r w:rsidR="00950E56" w:rsidRPr="00950E56">
              <w:t xml:space="preserve"> prevention of torture</w:t>
            </w:r>
            <w:r w:rsidR="00A75473">
              <w:t>;</w:t>
            </w:r>
          </w:p>
          <w:p w:rsidR="002C4C40" w:rsidRDefault="002C4C40" w:rsidP="002C4C40"/>
          <w:p w:rsidR="00A95323" w:rsidRPr="000D4837" w:rsidRDefault="002C4C40" w:rsidP="002C4C40">
            <w:pPr>
              <w:rPr>
                <w:rFonts w:cs="Times New Roman"/>
                <w:b/>
                <w:sz w:val="22"/>
                <w:szCs w:val="22"/>
              </w:rPr>
            </w:pPr>
            <w:r>
              <w:t xml:space="preserve">- </w:t>
            </w:r>
            <w:r w:rsidRPr="002C4C40">
              <w:t xml:space="preserve">Support provided to the KR </w:t>
            </w:r>
            <w:proofErr w:type="spellStart"/>
            <w:r w:rsidRPr="002C4C40">
              <w:t>MoI</w:t>
            </w:r>
            <w:proofErr w:type="spellEnd"/>
            <w:r w:rsidRPr="002C4C40">
              <w:t xml:space="preserve"> in launching the process of enhancement of the current </w:t>
            </w:r>
            <w:proofErr w:type="spellStart"/>
            <w:r w:rsidRPr="002C4C40">
              <w:t>MoI</w:t>
            </w:r>
            <w:proofErr w:type="spellEnd"/>
            <w:r w:rsidRPr="002C4C40">
              <w:t xml:space="preserve"> database and development of the unified e-accounting system on disciplinary and other measures against police officers who violate the law and internal rules of conduct (to be completed by fall 2014).</w:t>
            </w:r>
          </w:p>
        </w:tc>
      </w:tr>
      <w:tr w:rsidR="00B127F2" w:rsidRPr="000D4837" w:rsidTr="004075A7">
        <w:tc>
          <w:tcPr>
            <w:tcW w:w="3103" w:type="dxa"/>
            <w:shd w:val="clear" w:color="auto" w:fill="auto"/>
          </w:tcPr>
          <w:p w:rsidR="00B127F2" w:rsidRDefault="00B127F2" w:rsidP="00B127F2">
            <w:pPr>
              <w:outlineLvl w:val="0"/>
              <w:rPr>
                <w:rFonts w:cs="Times New Roman"/>
                <w:i/>
                <w:color w:val="000000"/>
                <w:sz w:val="22"/>
                <w:szCs w:val="22"/>
              </w:rPr>
            </w:pPr>
            <w:r>
              <w:rPr>
                <w:rFonts w:cs="Times New Roman"/>
                <w:i/>
                <w:color w:val="000000"/>
                <w:sz w:val="22"/>
                <w:szCs w:val="22"/>
              </w:rPr>
              <w:lastRenderedPageBreak/>
              <w:t xml:space="preserve">Do you see evidence that the project is having a positive impact on </w:t>
            </w:r>
            <w:r w:rsidRPr="000D4837">
              <w:rPr>
                <w:rFonts w:cs="Times New Roman"/>
                <w:i/>
                <w:color w:val="000000"/>
                <w:sz w:val="22"/>
                <w:szCs w:val="22"/>
              </w:rPr>
              <w:t>peacebuilding</w:t>
            </w:r>
            <w:r>
              <w:rPr>
                <w:rFonts w:cs="Times New Roman"/>
                <w:i/>
                <w:color w:val="000000"/>
                <w:sz w:val="22"/>
                <w:szCs w:val="22"/>
              </w:rPr>
              <w:t>?</w:t>
            </w:r>
          </w:p>
          <w:p w:rsidR="00030833" w:rsidRPr="000D4837" w:rsidRDefault="00096385" w:rsidP="00B127F2">
            <w:pPr>
              <w:outlineLvl w:val="0"/>
              <w:rPr>
                <w:bCs/>
                <w:i/>
                <w:sz w:val="22"/>
                <w:szCs w:val="22"/>
              </w:rPr>
            </w:pPr>
            <w:r>
              <w:rPr>
                <w:rFonts w:cs="Times New Roman"/>
                <w:i/>
                <w:color w:val="000000"/>
                <w:sz w:val="22"/>
                <w:szCs w:val="22"/>
              </w:rPr>
              <w:t>(250 words max.)</w:t>
            </w:r>
          </w:p>
        </w:tc>
        <w:tc>
          <w:tcPr>
            <w:tcW w:w="9965" w:type="dxa"/>
            <w:shd w:val="clear" w:color="auto" w:fill="auto"/>
          </w:tcPr>
          <w:p w:rsidR="00B127F2" w:rsidRPr="000D4837" w:rsidRDefault="0000541A" w:rsidP="000D4837">
            <w:pPr>
              <w:outlineLvl w:val="0"/>
              <w:rPr>
                <w:rFonts w:cs="Times New Roman"/>
                <w:b/>
                <w:sz w:val="22"/>
                <w:szCs w:val="22"/>
              </w:rPr>
            </w:pPr>
            <w:r>
              <w:t>N/A</w:t>
            </w:r>
          </w:p>
        </w:tc>
      </w:tr>
      <w:tr w:rsidR="00B127F2" w:rsidRPr="000D4837" w:rsidTr="004075A7">
        <w:tc>
          <w:tcPr>
            <w:tcW w:w="3103" w:type="dxa"/>
            <w:shd w:val="clear" w:color="auto" w:fill="auto"/>
          </w:tcPr>
          <w:p w:rsidR="00B127F2" w:rsidRDefault="00B127F2" w:rsidP="00D76427">
            <w:pPr>
              <w:outlineLvl w:val="0"/>
              <w:rPr>
                <w:rFonts w:cs="Times New Roman"/>
                <w:i/>
                <w:color w:val="000000"/>
                <w:sz w:val="22"/>
                <w:szCs w:val="22"/>
              </w:rPr>
            </w:pPr>
            <w:r w:rsidRPr="000D4837">
              <w:rPr>
                <w:rFonts w:cs="Times New Roman"/>
                <w:i/>
                <w:color w:val="000000"/>
                <w:sz w:val="22"/>
                <w:szCs w:val="22"/>
              </w:rPr>
              <w:t>Were there catalytic effects from the project in the period reported, including additional funding commitments or unleashing/ unblocking of any peace relevant processes?</w:t>
            </w:r>
          </w:p>
          <w:p w:rsidR="00096385" w:rsidRPr="000D4837" w:rsidRDefault="00096385" w:rsidP="00D76427">
            <w:pPr>
              <w:outlineLvl w:val="0"/>
              <w:rPr>
                <w:rFonts w:cs="Times New Roman"/>
                <w:b/>
                <w:sz w:val="22"/>
                <w:szCs w:val="22"/>
              </w:rPr>
            </w:pPr>
            <w:r>
              <w:rPr>
                <w:rFonts w:cs="Times New Roman"/>
                <w:i/>
                <w:color w:val="000000"/>
                <w:sz w:val="22"/>
                <w:szCs w:val="22"/>
              </w:rPr>
              <w:t>(250 words max.)</w:t>
            </w:r>
          </w:p>
        </w:tc>
        <w:tc>
          <w:tcPr>
            <w:tcW w:w="9965" w:type="dxa"/>
            <w:shd w:val="clear" w:color="auto" w:fill="auto"/>
          </w:tcPr>
          <w:p w:rsidR="00B127F2" w:rsidRPr="000D4837" w:rsidRDefault="00385014" w:rsidP="001B04AD">
            <w:pPr>
              <w:outlineLvl w:val="0"/>
              <w:rPr>
                <w:rFonts w:cs="Times New Roman"/>
                <w:b/>
                <w:sz w:val="22"/>
                <w:szCs w:val="22"/>
              </w:rPr>
            </w:pPr>
            <w:r>
              <w:t xml:space="preserve">The </w:t>
            </w:r>
            <w:r w:rsidR="00D91529">
              <w:t xml:space="preserve">project made significant efforts to advocate for the need to introduce temporary special measures to accelerate de facto equality of women and minorities in the police. </w:t>
            </w:r>
            <w:r w:rsidR="00974B53">
              <w:t>T</w:t>
            </w:r>
            <w:r w:rsidR="00D91529">
              <w:t xml:space="preserve">he expert commentaries produced by the project and high level meetings held </w:t>
            </w:r>
            <w:r w:rsidR="00974B53">
              <w:t>prevented a</w:t>
            </w:r>
            <w:r w:rsidR="0019708A">
              <w:t>n</w:t>
            </w:r>
            <w:r w:rsidR="00974B53">
              <w:t xml:space="preserve"> </w:t>
            </w:r>
            <w:proofErr w:type="spellStart"/>
            <w:r w:rsidR="00974B53">
              <w:t>MoI</w:t>
            </w:r>
            <w:proofErr w:type="spellEnd"/>
            <w:r w:rsidR="00974B53">
              <w:t xml:space="preserve"> regulation on competitive recruitment from being adopted without </w:t>
            </w:r>
            <w:r w:rsidR="001B04AD">
              <w:t>proper</w:t>
            </w:r>
            <w:r w:rsidR="00974B53">
              <w:t xml:space="preserve"> consideration of human rights and gender</w:t>
            </w:r>
            <w:r w:rsidR="00AB683C">
              <w:t xml:space="preserve"> equality</w:t>
            </w:r>
            <w:r w:rsidR="00974B53">
              <w:t xml:space="preserve">. </w:t>
            </w:r>
            <w:r w:rsidR="0019708A">
              <w:t xml:space="preserve">This crucial regulation has been sent back to the </w:t>
            </w:r>
            <w:proofErr w:type="spellStart"/>
            <w:r w:rsidR="0019708A">
              <w:t>MoI</w:t>
            </w:r>
            <w:proofErr w:type="spellEnd"/>
            <w:r w:rsidR="0019708A">
              <w:t xml:space="preserve"> for review. It is hoped that in this process some special measures can be introduced</w:t>
            </w:r>
            <w:r w:rsidR="00AB683C">
              <w:t xml:space="preserve"> in line with international human rights standards</w:t>
            </w:r>
            <w:r w:rsidR="0019708A">
              <w:t>.</w:t>
            </w:r>
          </w:p>
        </w:tc>
      </w:tr>
      <w:tr w:rsidR="00CC0EED" w:rsidRPr="000D4837" w:rsidTr="004075A7">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If progress has been slow or inadequate, provide main reasons and what is being done </w:t>
            </w:r>
            <w:r w:rsidRPr="000D4837">
              <w:rPr>
                <w:rFonts w:cs="Times New Roman"/>
                <w:i/>
                <w:color w:val="000000"/>
                <w:sz w:val="22"/>
                <w:szCs w:val="22"/>
              </w:rPr>
              <w:lastRenderedPageBreak/>
              <w:t>to address them</w:t>
            </w:r>
            <w:r w:rsidR="005E2170">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9965" w:type="dxa"/>
            <w:shd w:val="clear" w:color="auto" w:fill="auto"/>
          </w:tcPr>
          <w:p w:rsidR="00675948" w:rsidRDefault="00675948" w:rsidP="00675948">
            <w:pPr>
              <w:outlineLvl w:val="0"/>
            </w:pPr>
            <w:r>
              <w:lastRenderedPageBreak/>
              <w:t xml:space="preserve">The project has extensively discussed the need for assessments of gender and minority </w:t>
            </w:r>
            <w:r w:rsidR="007C1EFF">
              <w:t xml:space="preserve">in the police. </w:t>
            </w:r>
            <w:r w:rsidR="003471AD">
              <w:t>S</w:t>
            </w:r>
            <w:r w:rsidR="007C1EFF">
              <w:t xml:space="preserve">uch assessments </w:t>
            </w:r>
            <w:r w:rsidR="003471AD">
              <w:t>are in line with key national policy priorities, such as the National Sustainable Development Str</w:t>
            </w:r>
            <w:r w:rsidR="003A34FD">
              <w:t>ategy and the Concept on Inter-E</w:t>
            </w:r>
            <w:r w:rsidR="003471AD">
              <w:t xml:space="preserve">thnic Unity and specifically foreseen by the action </w:t>
            </w:r>
            <w:r w:rsidR="003471AD">
              <w:lastRenderedPageBreak/>
              <w:t xml:space="preserve">plan on the implementation of the Police Reform Measures of the Government </w:t>
            </w:r>
            <w:r w:rsidR="003A34FD">
              <w:t>of the Kyrgyz Republic and the Action P</w:t>
            </w:r>
            <w:r w:rsidR="003471AD">
              <w:t>lan on the implementation of Security Council Resolution 1325</w:t>
            </w:r>
            <w:r w:rsidR="001A0610">
              <w:t>. A</w:t>
            </w:r>
            <w:r w:rsidR="007C1EFF">
              <w:t xml:space="preserve">pproval for the </w:t>
            </w:r>
            <w:r w:rsidR="00671FD7">
              <w:t>organization</w:t>
            </w:r>
            <w:r w:rsidR="007C1EFF">
              <w:t xml:space="preserve"> of such assessments at the national level</w:t>
            </w:r>
            <w:r w:rsidR="001A0610">
              <w:t xml:space="preserve"> is, however, still forthcoming. Access to statistical data on staffing at the </w:t>
            </w:r>
            <w:proofErr w:type="spellStart"/>
            <w:r w:rsidR="001A0610">
              <w:t>MoI</w:t>
            </w:r>
            <w:proofErr w:type="spellEnd"/>
            <w:r w:rsidR="001A0610">
              <w:t xml:space="preserve"> is also of concern, given that such data </w:t>
            </w:r>
            <w:r w:rsidR="00671FD7">
              <w:t xml:space="preserve">is kept confidential by the </w:t>
            </w:r>
            <w:proofErr w:type="spellStart"/>
            <w:r w:rsidR="00671FD7">
              <w:t>MoI</w:t>
            </w:r>
            <w:proofErr w:type="spellEnd"/>
            <w:r w:rsidR="00671FD7">
              <w:t>.</w:t>
            </w:r>
            <w:r w:rsidR="007C1EFF">
              <w:t xml:space="preserve"> </w:t>
            </w:r>
          </w:p>
          <w:p w:rsidR="002C4C40" w:rsidRDefault="002C4C40" w:rsidP="00675948">
            <w:pPr>
              <w:outlineLvl w:val="0"/>
            </w:pPr>
          </w:p>
          <w:p w:rsidR="00CC0EED" w:rsidRPr="000D4837" w:rsidRDefault="00AA3C77" w:rsidP="00675948">
            <w:pPr>
              <w:outlineLvl w:val="0"/>
              <w:rPr>
                <w:rFonts w:cs="Times New Roman"/>
                <w:b/>
                <w:sz w:val="22"/>
                <w:szCs w:val="22"/>
              </w:rPr>
            </w:pPr>
            <w:r>
              <w:t xml:space="preserve">A new law on public councils was adopted during the reporting period. The Public Oversight Council of the </w:t>
            </w:r>
            <w:proofErr w:type="spellStart"/>
            <w:r>
              <w:t>MoI</w:t>
            </w:r>
            <w:proofErr w:type="spellEnd"/>
            <w:r>
              <w:t xml:space="preserve">, which mandate expired at the end of last year, was not functioning during the reporting period and thus the project could not support independent monitoring of police performance through this oversight mechanism. As a mitigation strategy, the project conducted consultations with the Ombudsman Office, the National Centre for the Prevention of Torture and NGOs to consider </w:t>
            </w:r>
            <w:r w:rsidR="00675948">
              <w:t>possible support to these institutions in monitoring police performance.</w:t>
            </w:r>
          </w:p>
        </w:tc>
      </w:tr>
      <w:tr w:rsidR="00CC0EED" w:rsidRPr="000D4837" w:rsidTr="004075A7">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lastRenderedPageBreak/>
              <w:t>What are the main activities/expected results for the rest of the year?</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9965" w:type="dxa"/>
            <w:shd w:val="clear" w:color="auto" w:fill="auto"/>
          </w:tcPr>
          <w:p w:rsidR="00B24A5F" w:rsidRDefault="00DE70FA" w:rsidP="00A7299B">
            <w:r>
              <w:t>- Conduct an a</w:t>
            </w:r>
            <w:r w:rsidR="00B24A5F" w:rsidRPr="00B24A5F">
              <w:t>ssessment of policies and practices related to women in the police</w:t>
            </w:r>
            <w:r w:rsidR="003A34FD">
              <w:t>;</w:t>
            </w:r>
          </w:p>
          <w:p w:rsidR="003A34FD" w:rsidRPr="00B24A5F" w:rsidRDefault="003A34FD" w:rsidP="00A7299B">
            <w:r>
              <w:t xml:space="preserve">- </w:t>
            </w:r>
            <w:r w:rsidRPr="003A34FD">
              <w:t>Conduct assessment of the level of representation of women in the police service</w:t>
            </w:r>
            <w:r>
              <w:t>;</w:t>
            </w:r>
          </w:p>
          <w:p w:rsidR="00B24A5F" w:rsidRPr="00B24A5F" w:rsidRDefault="00DE70FA" w:rsidP="00DE70FA">
            <w:r>
              <w:t>- Conduct an a</w:t>
            </w:r>
            <w:r w:rsidR="00B24A5F" w:rsidRPr="00B24A5F">
              <w:t>ssessment of the ethnic composition of the police in relation to the composition of the population</w:t>
            </w:r>
            <w:r w:rsidR="003A34FD">
              <w:t>;</w:t>
            </w:r>
            <w:r w:rsidR="00B24A5F" w:rsidRPr="00B24A5F">
              <w:t xml:space="preserve"> </w:t>
            </w:r>
          </w:p>
          <w:p w:rsidR="00B24A5F" w:rsidRPr="00B24A5F" w:rsidRDefault="00DE70FA" w:rsidP="00DE70FA">
            <w:r>
              <w:t>- Conduct consultations to de</w:t>
            </w:r>
            <w:r w:rsidR="00B24A5F" w:rsidRPr="00B24A5F">
              <w:t>velop a plan of action for pro-active recruitment, training and  career advancement for women and minorities in the police, including in priority locations</w:t>
            </w:r>
            <w:r w:rsidR="003A34FD">
              <w:t>;</w:t>
            </w:r>
          </w:p>
          <w:p w:rsidR="00B24A5F" w:rsidRPr="00B24A5F" w:rsidRDefault="00DE70FA" w:rsidP="00DE70FA">
            <w:r>
              <w:t>- Provide l</w:t>
            </w:r>
            <w:r w:rsidR="00B24A5F" w:rsidRPr="00B24A5F">
              <w:t xml:space="preserve">egal advice on the development of a new </w:t>
            </w:r>
            <w:proofErr w:type="spellStart"/>
            <w:r w:rsidR="00B24A5F" w:rsidRPr="00B24A5F">
              <w:t>MoI</w:t>
            </w:r>
            <w:proofErr w:type="spellEnd"/>
            <w:r w:rsidR="00B24A5F" w:rsidRPr="00B24A5F">
              <w:t xml:space="preserve"> Disciplinary Statute, </w:t>
            </w:r>
            <w:proofErr w:type="spellStart"/>
            <w:r w:rsidR="00B24A5F" w:rsidRPr="00B24A5F">
              <w:t>MoI</w:t>
            </w:r>
            <w:proofErr w:type="spellEnd"/>
            <w:r w:rsidR="00B24A5F" w:rsidRPr="00B24A5F">
              <w:t xml:space="preserve"> Guidelines on Service in the Police and other relevant normative documents</w:t>
            </w:r>
            <w:r w:rsidR="003A34FD">
              <w:t>;</w:t>
            </w:r>
          </w:p>
          <w:p w:rsidR="00244540" w:rsidRDefault="00244540" w:rsidP="00DE70FA">
            <w:r>
              <w:t xml:space="preserve">- </w:t>
            </w:r>
            <w:r w:rsidR="00B24A5F" w:rsidRPr="00B24A5F">
              <w:t xml:space="preserve">Consultations with the </w:t>
            </w:r>
            <w:proofErr w:type="spellStart"/>
            <w:r w:rsidR="00B24A5F" w:rsidRPr="00B24A5F">
              <w:t>MoI</w:t>
            </w:r>
            <w:proofErr w:type="spellEnd"/>
            <w:r w:rsidR="00B24A5F" w:rsidRPr="00B24A5F">
              <w:t xml:space="preserve"> and other stakeholders (including civil society and lawyers) on complaints handling procedures</w:t>
            </w:r>
            <w:r w:rsidR="003A34FD">
              <w:t>;</w:t>
            </w:r>
          </w:p>
          <w:p w:rsidR="00244540" w:rsidRDefault="00244540" w:rsidP="00DE70FA">
            <w:r>
              <w:t>- Conduct training for police officers on gender sensitivity</w:t>
            </w:r>
            <w:r w:rsidR="003A34FD">
              <w:t>;</w:t>
            </w:r>
          </w:p>
          <w:p w:rsidR="00CC0EED" w:rsidRDefault="00244540" w:rsidP="002C4C40">
            <w:r>
              <w:t>- S</w:t>
            </w:r>
            <w:r w:rsidR="00DE70FA">
              <w:t xml:space="preserve">elect </w:t>
            </w:r>
            <w:r>
              <w:t>p</w:t>
            </w:r>
            <w:r w:rsidR="00DE70FA" w:rsidRPr="00B24A5F">
              <w:t>ilot police stations</w:t>
            </w:r>
            <w:r>
              <w:t xml:space="preserve"> in priority districts and cities to support the development of police-public partnerships on crime prevention and public safety</w:t>
            </w:r>
            <w:r w:rsidR="003A34FD">
              <w:t>;</w:t>
            </w:r>
          </w:p>
          <w:p w:rsidR="002C4C40" w:rsidRPr="000D4837" w:rsidRDefault="002C4C40" w:rsidP="003A34FD">
            <w:pPr>
              <w:rPr>
                <w:rFonts w:cs="Times New Roman"/>
                <w:b/>
                <w:sz w:val="22"/>
                <w:szCs w:val="22"/>
              </w:rPr>
            </w:pPr>
            <w:r>
              <w:t xml:space="preserve">- </w:t>
            </w:r>
            <w:r w:rsidRPr="002C4C40">
              <w:t>Develop and introduce unified e-accounting system on disciplinary and other measures against police officers who violate the law and internal rules of conduct.</w:t>
            </w:r>
          </w:p>
        </w:tc>
      </w:tr>
      <w:tr w:rsidR="00CC0EED" w:rsidRPr="000D4837" w:rsidTr="004075A7">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Is there any need to adjust project strategies/ duration/budget etc</w:t>
            </w:r>
            <w:r w:rsidR="00DF782D">
              <w:rPr>
                <w:rFonts w:cs="Times New Roman"/>
                <w:i/>
                <w:color w:val="000000"/>
                <w:sz w:val="22"/>
                <w:szCs w:val="22"/>
              </w:rPr>
              <w:t>.</w:t>
            </w:r>
            <w:r w:rsidRPr="000D4837">
              <w:rPr>
                <w:rFonts w:cs="Times New Roman"/>
                <w:i/>
                <w:color w:val="000000"/>
                <w:sz w:val="22"/>
                <w:szCs w:val="22"/>
              </w:rPr>
              <w:t>?</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9965" w:type="dxa"/>
            <w:shd w:val="clear" w:color="auto" w:fill="auto"/>
          </w:tcPr>
          <w:p w:rsidR="00CC0EED" w:rsidRPr="000D4837" w:rsidRDefault="002C4C40" w:rsidP="000D4837">
            <w:pPr>
              <w:outlineLvl w:val="0"/>
              <w:rPr>
                <w:rFonts w:cs="Times New Roman"/>
                <w:b/>
                <w:sz w:val="22"/>
                <w:szCs w:val="22"/>
              </w:rPr>
            </w:pPr>
            <w:r>
              <w:t>N/A</w:t>
            </w:r>
          </w:p>
        </w:tc>
      </w:tr>
      <w:tr w:rsidR="00CC0EED" w:rsidRPr="000D4837" w:rsidTr="004075A7">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 xml:space="preserve">Are there any lessons learned </w:t>
            </w:r>
            <w:r w:rsidRPr="000D4837">
              <w:rPr>
                <w:rFonts w:cs="Times New Roman"/>
                <w:i/>
                <w:color w:val="000000"/>
                <w:sz w:val="22"/>
                <w:szCs w:val="22"/>
              </w:rPr>
              <w:lastRenderedPageBreak/>
              <w:t>from the project in the period reported?</w:t>
            </w:r>
          </w:p>
          <w:p w:rsidR="00096385" w:rsidRPr="000D4837" w:rsidRDefault="00096385" w:rsidP="000D4837">
            <w:pPr>
              <w:outlineLvl w:val="0"/>
              <w:rPr>
                <w:rFonts w:cs="Times New Roman"/>
                <w:b/>
                <w:sz w:val="22"/>
                <w:szCs w:val="22"/>
              </w:rPr>
            </w:pPr>
            <w:r>
              <w:rPr>
                <w:rFonts w:cs="Times New Roman"/>
                <w:i/>
                <w:color w:val="000000"/>
                <w:sz w:val="22"/>
                <w:szCs w:val="22"/>
              </w:rPr>
              <w:t>(500 words max.)</w:t>
            </w:r>
          </w:p>
        </w:tc>
        <w:tc>
          <w:tcPr>
            <w:tcW w:w="9965" w:type="dxa"/>
            <w:shd w:val="clear" w:color="auto" w:fill="auto"/>
          </w:tcPr>
          <w:p w:rsidR="00CC0EED" w:rsidRPr="000D4837" w:rsidRDefault="002C4C40" w:rsidP="000D4837">
            <w:pPr>
              <w:outlineLvl w:val="0"/>
              <w:rPr>
                <w:rFonts w:cs="Times New Roman"/>
                <w:b/>
                <w:sz w:val="22"/>
                <w:szCs w:val="22"/>
              </w:rPr>
            </w:pPr>
            <w:r>
              <w:lastRenderedPageBreak/>
              <w:t>N/A</w:t>
            </w:r>
          </w:p>
        </w:tc>
      </w:tr>
      <w:tr w:rsidR="00CC0EED" w:rsidRPr="000D4837" w:rsidTr="004075A7">
        <w:tc>
          <w:tcPr>
            <w:tcW w:w="3103" w:type="dxa"/>
            <w:shd w:val="clear" w:color="auto" w:fill="auto"/>
          </w:tcPr>
          <w:p w:rsidR="00CC0EED" w:rsidRDefault="00CC0EED" w:rsidP="000A26AD">
            <w:pPr>
              <w:outlineLvl w:val="0"/>
              <w:rPr>
                <w:rFonts w:cs="Times New Roman"/>
                <w:i/>
                <w:color w:val="000000"/>
                <w:sz w:val="22"/>
                <w:szCs w:val="22"/>
              </w:rPr>
            </w:pPr>
            <w:r w:rsidRPr="000D4837">
              <w:rPr>
                <w:rFonts w:cs="Times New Roman"/>
                <w:i/>
                <w:color w:val="000000"/>
                <w:sz w:val="22"/>
                <w:szCs w:val="22"/>
              </w:rPr>
              <w:lastRenderedPageBreak/>
              <w:t xml:space="preserve">What is the </w:t>
            </w:r>
            <w:r w:rsidR="000A26AD">
              <w:rPr>
                <w:rFonts w:cs="Times New Roman"/>
                <w:i/>
                <w:color w:val="000000"/>
                <w:sz w:val="22"/>
                <w:szCs w:val="22"/>
              </w:rPr>
              <w:t>project budget expenditure to date</w:t>
            </w:r>
            <w:r w:rsidRPr="000D4837">
              <w:rPr>
                <w:rFonts w:cs="Times New Roman"/>
                <w:i/>
                <w:color w:val="000000"/>
                <w:sz w:val="22"/>
                <w:szCs w:val="22"/>
              </w:rPr>
              <w:t xml:space="preserve"> (percentage of allocated project budget expensed by the date of the report)</w:t>
            </w:r>
            <w:r w:rsidR="000A26AD">
              <w:rPr>
                <w:rFonts w:cs="Times New Roman"/>
                <w:i/>
                <w:color w:val="000000"/>
                <w:sz w:val="22"/>
                <w:szCs w:val="22"/>
              </w:rPr>
              <w:t xml:space="preserve"> – preliminary figures only</w:t>
            </w:r>
            <w:r w:rsidRPr="000D4837">
              <w:rPr>
                <w:rFonts w:cs="Times New Roman"/>
                <w:i/>
                <w:color w:val="000000"/>
                <w:sz w:val="22"/>
                <w:szCs w:val="22"/>
              </w:rPr>
              <w:t>?</w:t>
            </w:r>
          </w:p>
          <w:p w:rsidR="00096385" w:rsidRPr="000D4837" w:rsidRDefault="00096385" w:rsidP="000A26AD">
            <w:pPr>
              <w:outlineLvl w:val="0"/>
              <w:rPr>
                <w:rFonts w:cs="Times New Roman"/>
                <w:b/>
                <w:sz w:val="22"/>
                <w:szCs w:val="22"/>
              </w:rPr>
            </w:pPr>
            <w:r>
              <w:rPr>
                <w:rFonts w:cs="Times New Roman"/>
                <w:i/>
                <w:color w:val="000000"/>
                <w:sz w:val="22"/>
                <w:szCs w:val="22"/>
              </w:rPr>
              <w:t>(250 words max.)</w:t>
            </w:r>
          </w:p>
        </w:tc>
        <w:tc>
          <w:tcPr>
            <w:tcW w:w="9965" w:type="dxa"/>
            <w:shd w:val="clear" w:color="auto" w:fill="auto"/>
          </w:tcPr>
          <w:p w:rsidR="00CC0EED" w:rsidRPr="000D4837" w:rsidRDefault="006230AE" w:rsidP="006230AE">
            <w:pPr>
              <w:outlineLvl w:val="0"/>
              <w:rPr>
                <w:rFonts w:cs="Times New Roman"/>
                <w:b/>
                <w:sz w:val="22"/>
                <w:szCs w:val="22"/>
              </w:rPr>
            </w:pPr>
            <w:r>
              <w:t>P</w:t>
            </w:r>
            <w:r w:rsidRPr="006230AE">
              <w:t xml:space="preserve">roject budget expenditure to date </w:t>
            </w:r>
            <w:r>
              <w:t xml:space="preserve">equals to </w:t>
            </w:r>
            <w:r w:rsidR="003A25E2">
              <w:t xml:space="preserve">$33 </w:t>
            </w:r>
            <w:r w:rsidR="003A25E2" w:rsidRPr="003A25E2">
              <w:t>450</w:t>
            </w:r>
            <w:r>
              <w:t xml:space="preserve"> (</w:t>
            </w:r>
            <w:r w:rsidRPr="006230AE">
              <w:t>10.27% of allocated funds for 2014</w:t>
            </w:r>
            <w:r>
              <w:t>)</w:t>
            </w:r>
          </w:p>
        </w:tc>
      </w:tr>
      <w:tr w:rsidR="00CC0EED" w:rsidRPr="000D4837" w:rsidTr="004075A7">
        <w:tc>
          <w:tcPr>
            <w:tcW w:w="3103" w:type="dxa"/>
            <w:shd w:val="clear" w:color="auto" w:fill="auto"/>
          </w:tcPr>
          <w:p w:rsidR="00CC0EED" w:rsidRDefault="00CC0EED" w:rsidP="000D4837">
            <w:pPr>
              <w:outlineLvl w:val="0"/>
              <w:rPr>
                <w:rFonts w:cs="Times New Roman"/>
                <w:i/>
                <w:color w:val="000000"/>
                <w:sz w:val="22"/>
                <w:szCs w:val="22"/>
              </w:rPr>
            </w:pPr>
            <w:r w:rsidRPr="000D4837">
              <w:rPr>
                <w:rFonts w:cs="Times New Roman"/>
                <w:i/>
                <w:color w:val="000000"/>
                <w:sz w:val="22"/>
                <w:szCs w:val="22"/>
              </w:rPr>
              <w:t>Any other information that the project needs to convey  to PBSO (and JSC) at this stage?</w:t>
            </w:r>
          </w:p>
          <w:p w:rsidR="00096385" w:rsidRPr="000D4837" w:rsidRDefault="00096385" w:rsidP="000D4837">
            <w:pPr>
              <w:outlineLvl w:val="0"/>
              <w:rPr>
                <w:rFonts w:cs="Times New Roman"/>
                <w:b/>
                <w:sz w:val="22"/>
                <w:szCs w:val="22"/>
              </w:rPr>
            </w:pPr>
            <w:r>
              <w:rPr>
                <w:rFonts w:cs="Times New Roman"/>
                <w:i/>
                <w:color w:val="000000"/>
                <w:sz w:val="22"/>
                <w:szCs w:val="22"/>
              </w:rPr>
              <w:t>(250 words max.)</w:t>
            </w:r>
          </w:p>
        </w:tc>
        <w:tc>
          <w:tcPr>
            <w:tcW w:w="9965" w:type="dxa"/>
            <w:shd w:val="clear" w:color="auto" w:fill="auto"/>
          </w:tcPr>
          <w:p w:rsidR="00CC0EED" w:rsidRPr="003A34FD" w:rsidRDefault="003A34FD" w:rsidP="003A34FD">
            <w:r>
              <w:t>P</w:t>
            </w:r>
            <w:r w:rsidRPr="003A34FD">
              <w:t>olice reform, which is an important “point of entry” for the establishment of a democratically accountable security sector that protects human rights, continues to be a major c</w:t>
            </w:r>
            <w:r>
              <w:t xml:space="preserve">hallenge in the Kyrgyz Republic. The Ministry of Interior of the Kyrgyz Republic has not yet developed a clear plan of </w:t>
            </w:r>
            <w:r w:rsidRPr="00E122FF">
              <w:t>concrete and comprehensive measures to ensure that persons belonging to minority ethnic groups are adequately represented in the police, at all levels</w:t>
            </w:r>
            <w:r>
              <w:t xml:space="preserve">. </w:t>
            </w:r>
          </w:p>
        </w:tc>
      </w:tr>
    </w:tbl>
    <w:p w:rsidR="00CC0EED" w:rsidRDefault="00CC0EED" w:rsidP="001D7143">
      <w:pPr>
        <w:outlineLvl w:val="0"/>
        <w:rPr>
          <w:rFonts w:cs="Times New Roman"/>
          <w:b/>
          <w:sz w:val="22"/>
          <w:szCs w:val="22"/>
        </w:rPr>
      </w:pPr>
    </w:p>
    <w:p w:rsidR="00CC0EED" w:rsidRDefault="00CC0EED" w:rsidP="001D7143">
      <w:pPr>
        <w:outlineLvl w:val="0"/>
        <w:rPr>
          <w:rFonts w:cs="Times New Roman"/>
          <w:sz w:val="22"/>
          <w:szCs w:val="22"/>
        </w:rPr>
      </w:pPr>
    </w:p>
    <w:p w:rsidR="00CC0EED" w:rsidRDefault="00CC0EED" w:rsidP="001D7143">
      <w:pPr>
        <w:outlineLvl w:val="0"/>
        <w:rPr>
          <w:rFonts w:cs="Times New Roman"/>
          <w:sz w:val="22"/>
          <w:szCs w:val="22"/>
        </w:rPr>
        <w:sectPr w:rsidR="00CC0EED" w:rsidSect="00B127F2">
          <w:pgSz w:w="15840" w:h="12240" w:orient="landscape"/>
          <w:pgMar w:top="1800" w:right="562" w:bottom="1530" w:left="562" w:header="720" w:footer="720" w:gutter="0"/>
          <w:pgNumType w:start="1"/>
          <w:cols w:space="720"/>
          <w:formProt w:val="0"/>
          <w:docGrid w:linePitch="360"/>
        </w:sectPr>
      </w:pPr>
    </w:p>
    <w:p w:rsidR="00A10B86" w:rsidRDefault="00BB2676" w:rsidP="00A10B86">
      <w:pPr>
        <w:pStyle w:val="BodyText"/>
        <w:jc w:val="both"/>
      </w:pPr>
      <w:r w:rsidRPr="00C531CB">
        <w:rPr>
          <w:b/>
        </w:rPr>
        <w:lastRenderedPageBreak/>
        <w:t>I</w:t>
      </w:r>
      <w:r w:rsidR="00335D95" w:rsidRPr="00C531CB">
        <w:rPr>
          <w:b/>
        </w:rPr>
        <w:t>NDICATOR BASED PERFORMANCE ASSESSMENT</w:t>
      </w:r>
      <w:r w:rsidR="00A10B86" w:rsidRPr="00D33A6D">
        <w:rPr>
          <w:b/>
          <w:i/>
          <w:sz w:val="22"/>
          <w:szCs w:val="22"/>
        </w:rPr>
        <w:t xml:space="preserve">: </w:t>
      </w:r>
      <w:r w:rsidR="00A10B86" w:rsidRPr="00D33A6D">
        <w:rPr>
          <w:bCs/>
          <w:i/>
          <w:sz w:val="22"/>
          <w:szCs w:val="22"/>
        </w:rPr>
        <w:t xml:space="preserve">Using the </w:t>
      </w:r>
      <w:r w:rsidR="00D95E36">
        <w:rPr>
          <w:b/>
          <w:bCs/>
          <w:i/>
          <w:sz w:val="22"/>
          <w:szCs w:val="22"/>
        </w:rPr>
        <w:t>Project</w:t>
      </w:r>
      <w:r w:rsidR="00D95E36" w:rsidRPr="00D33A6D">
        <w:rPr>
          <w:b/>
          <w:bCs/>
          <w:i/>
          <w:sz w:val="22"/>
          <w:szCs w:val="22"/>
        </w:rPr>
        <w:t xml:space="preserve"> </w:t>
      </w:r>
      <w:r w:rsidR="00A10B86" w:rsidRPr="00D33A6D">
        <w:rPr>
          <w:b/>
          <w:bCs/>
          <w:i/>
          <w:sz w:val="22"/>
          <w:szCs w:val="22"/>
        </w:rPr>
        <w:t xml:space="preserve">Results Framework </w:t>
      </w:r>
      <w:r w:rsidR="000A26AD">
        <w:rPr>
          <w:b/>
          <w:bCs/>
          <w:i/>
          <w:sz w:val="22"/>
          <w:szCs w:val="22"/>
        </w:rPr>
        <w:t>as per the approved project document</w:t>
      </w:r>
      <w:r w:rsidR="00A10B86" w:rsidRPr="00D33A6D">
        <w:rPr>
          <w:bCs/>
          <w:i/>
          <w:sz w:val="22"/>
          <w:szCs w:val="22"/>
        </w:rPr>
        <w:t xml:space="preserve">- provide an update on the achievement of </w:t>
      </w:r>
      <w:r w:rsidR="000A26AD">
        <w:rPr>
          <w:bCs/>
          <w:i/>
          <w:sz w:val="22"/>
          <w:szCs w:val="22"/>
        </w:rPr>
        <w:t xml:space="preserve">key </w:t>
      </w:r>
      <w:r w:rsidR="00A10B86" w:rsidRPr="00D33A6D">
        <w:rPr>
          <w:bCs/>
          <w:i/>
          <w:sz w:val="22"/>
          <w:szCs w:val="22"/>
        </w:rPr>
        <w:t xml:space="preserve">indicators at both the outcome and output level in the table below. Where it has not been possible to collect data on indicators, </w:t>
      </w:r>
      <w:r w:rsidR="00D95E36">
        <w:rPr>
          <w:bCs/>
          <w:i/>
          <w:sz w:val="22"/>
          <w:szCs w:val="22"/>
        </w:rPr>
        <w:t>state this and provide any explanation in the qualitative text above</w:t>
      </w:r>
      <w:r w:rsidR="00A10B86" w:rsidRPr="00D33A6D">
        <w:rPr>
          <w:bCs/>
          <w:i/>
          <w:sz w:val="22"/>
          <w:szCs w:val="22"/>
        </w:rPr>
        <w:t>.</w:t>
      </w:r>
      <w:r w:rsidR="00A10B86">
        <w:rPr>
          <w:bCs/>
        </w:rPr>
        <w:t xml:space="preserve"> </w:t>
      </w:r>
    </w:p>
    <w:p w:rsidR="002C4C40" w:rsidRDefault="002C4C40" w:rsidP="00A10B86">
      <w:pPr>
        <w:pStyle w:val="BodyText"/>
        <w:jc w:val="both"/>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1"/>
        <w:gridCol w:w="2410"/>
        <w:gridCol w:w="1559"/>
        <w:gridCol w:w="2410"/>
        <w:gridCol w:w="2552"/>
        <w:gridCol w:w="2148"/>
        <w:gridCol w:w="2078"/>
      </w:tblGrid>
      <w:tr w:rsidR="002C4C40" w:rsidRPr="007D00E3" w:rsidTr="00460E76">
        <w:tc>
          <w:tcPr>
            <w:tcW w:w="1971" w:type="dxa"/>
          </w:tcPr>
          <w:p w:rsidR="002C4C40" w:rsidRPr="002C4C40" w:rsidRDefault="002C4C40" w:rsidP="002C4C40"/>
        </w:tc>
        <w:tc>
          <w:tcPr>
            <w:tcW w:w="2410" w:type="dxa"/>
            <w:shd w:val="clear" w:color="auto" w:fill="EEECE1"/>
          </w:tcPr>
          <w:p w:rsidR="002C4C40" w:rsidRPr="002C4C40" w:rsidRDefault="002C4C40" w:rsidP="002C4C40">
            <w:r w:rsidRPr="002C4C40">
              <w:t>Performance Indicators</w:t>
            </w:r>
          </w:p>
        </w:tc>
        <w:tc>
          <w:tcPr>
            <w:tcW w:w="1559" w:type="dxa"/>
            <w:shd w:val="clear" w:color="auto" w:fill="EEECE1"/>
          </w:tcPr>
          <w:p w:rsidR="002C4C40" w:rsidRPr="002C4C40" w:rsidRDefault="002C4C40" w:rsidP="002C4C40">
            <w:r w:rsidRPr="002C4C40">
              <w:t>Indicator Baseline</w:t>
            </w:r>
          </w:p>
        </w:tc>
        <w:tc>
          <w:tcPr>
            <w:tcW w:w="2410" w:type="dxa"/>
            <w:shd w:val="clear" w:color="auto" w:fill="EEECE1"/>
          </w:tcPr>
          <w:p w:rsidR="002C4C40" w:rsidRPr="002C4C40" w:rsidRDefault="002C4C40" w:rsidP="002C4C40">
            <w:r w:rsidRPr="002C4C40">
              <w:t>End of project Indicator Target</w:t>
            </w:r>
          </w:p>
        </w:tc>
        <w:tc>
          <w:tcPr>
            <w:tcW w:w="2552" w:type="dxa"/>
          </w:tcPr>
          <w:p w:rsidR="002C4C40" w:rsidRPr="002C4C40" w:rsidRDefault="002C4C40" w:rsidP="002C4C40">
            <w:r w:rsidRPr="002C4C40">
              <w:t>Current indicator progress</w:t>
            </w:r>
          </w:p>
        </w:tc>
        <w:tc>
          <w:tcPr>
            <w:tcW w:w="2148" w:type="dxa"/>
          </w:tcPr>
          <w:p w:rsidR="002C4C40" w:rsidRPr="002C4C40" w:rsidRDefault="002C4C40" w:rsidP="002C4C40">
            <w:r w:rsidRPr="002C4C40">
              <w:t>Reasons for Variance/ Delay</w:t>
            </w:r>
          </w:p>
          <w:p w:rsidR="002C4C40" w:rsidRPr="002C4C40" w:rsidRDefault="002C4C40" w:rsidP="002C4C40">
            <w:r w:rsidRPr="002C4C40">
              <w:t>(if any)</w:t>
            </w:r>
          </w:p>
        </w:tc>
        <w:tc>
          <w:tcPr>
            <w:tcW w:w="2078" w:type="dxa"/>
          </w:tcPr>
          <w:p w:rsidR="002C4C40" w:rsidRPr="002C4C40" w:rsidRDefault="002C4C40" w:rsidP="002C4C40">
            <w:r w:rsidRPr="002C4C40">
              <w:t>Adjustment of target (if any)</w:t>
            </w:r>
          </w:p>
        </w:tc>
      </w:tr>
      <w:tr w:rsidR="002C4C40" w:rsidRPr="007D00E3" w:rsidTr="00460E76">
        <w:trPr>
          <w:trHeight w:val="548"/>
        </w:trPr>
        <w:tc>
          <w:tcPr>
            <w:tcW w:w="1971" w:type="dxa"/>
            <w:vMerge w:val="restart"/>
          </w:tcPr>
          <w:p w:rsidR="002C4C40" w:rsidRDefault="002C4C40" w:rsidP="006D2185">
            <w:r w:rsidRPr="00504BB3">
              <w:t>Outcome 1</w:t>
            </w:r>
          </w:p>
          <w:p w:rsidR="002C4C40" w:rsidRPr="00504BB3" w:rsidRDefault="002C4C40" w:rsidP="006D2185">
            <w:r w:rsidRPr="000B51EE">
              <w:t>The Government of the Kyrgyz Republic adopts and implements policies to increase participation and representation of minorities in the police and to ensure regular dialogue between police and minority communities</w:t>
            </w:r>
          </w:p>
        </w:tc>
        <w:tc>
          <w:tcPr>
            <w:tcW w:w="2410" w:type="dxa"/>
            <w:shd w:val="clear" w:color="auto" w:fill="EEECE1"/>
          </w:tcPr>
          <w:p w:rsidR="002C4C40" w:rsidRDefault="002C4C40" w:rsidP="006D2185">
            <w:r>
              <w:t>Indicator 1.1</w:t>
            </w:r>
          </w:p>
          <w:p w:rsidR="002C4C40" w:rsidRPr="00504BB3" w:rsidRDefault="002C4C40" w:rsidP="006D2185">
            <w:r w:rsidRPr="000B51EE">
              <w:t>Number of minorities enrolled in police schools</w:t>
            </w:r>
          </w:p>
          <w:p w:rsidR="002C4C40" w:rsidRDefault="002C4C40" w:rsidP="006D2185"/>
          <w:p w:rsidR="002C4C40" w:rsidRDefault="002C4C40" w:rsidP="006D2185"/>
          <w:p w:rsidR="002C4C40" w:rsidRPr="00F3492E" w:rsidRDefault="002C4C40" w:rsidP="006D2185"/>
        </w:tc>
        <w:tc>
          <w:tcPr>
            <w:tcW w:w="1559" w:type="dxa"/>
            <w:shd w:val="clear" w:color="auto" w:fill="EEECE1"/>
          </w:tcPr>
          <w:p w:rsidR="002C4C40" w:rsidRPr="007D00E3" w:rsidRDefault="00C93222" w:rsidP="006D2185">
            <w:r>
              <w:t>5.1%</w:t>
            </w:r>
          </w:p>
        </w:tc>
        <w:tc>
          <w:tcPr>
            <w:tcW w:w="2410" w:type="dxa"/>
            <w:shd w:val="clear" w:color="auto" w:fill="EEECE1"/>
          </w:tcPr>
          <w:p w:rsidR="002C4C40" w:rsidRPr="00504BB3" w:rsidRDefault="002C4C40" w:rsidP="006D2185">
            <w:r w:rsidRPr="00504BB3">
              <w:t>15-20% increase by 2016</w:t>
            </w:r>
          </w:p>
        </w:tc>
        <w:tc>
          <w:tcPr>
            <w:tcW w:w="2552" w:type="dxa"/>
          </w:tcPr>
          <w:p w:rsidR="002C4C40" w:rsidRPr="007D00E3" w:rsidRDefault="002C4C40" w:rsidP="006D2185">
            <w:r>
              <w:t xml:space="preserve">On track </w:t>
            </w:r>
          </w:p>
        </w:tc>
        <w:tc>
          <w:tcPr>
            <w:tcW w:w="2148" w:type="dxa"/>
          </w:tcPr>
          <w:p w:rsidR="002C4C40" w:rsidRPr="007D00E3" w:rsidRDefault="002C4C40" w:rsidP="006D2185">
            <w:r w:rsidRPr="00504BB3">
              <w:fldChar w:fldCharType="begin">
                <w:ffData>
                  <w:name w:val=""/>
                  <w:enabled/>
                  <w:calcOnExit w:val="0"/>
                  <w:textInput>
                    <w:maxLength w:val="100"/>
                  </w:textInput>
                </w:ffData>
              </w:fldChar>
            </w:r>
            <w:r w:rsidRPr="00504BB3">
              <w:instrText xml:space="preserve"> FORMTEXT </w:instrText>
            </w:r>
            <w:r w:rsidRPr="00504BB3">
              <w:fldChar w:fldCharType="separate"/>
            </w:r>
            <w:r w:rsidRPr="00504BB3">
              <w:t> </w:t>
            </w:r>
            <w:r w:rsidRPr="00504BB3">
              <w:t> </w:t>
            </w:r>
            <w:r w:rsidRPr="00504BB3">
              <w:t> </w:t>
            </w:r>
            <w:r w:rsidRPr="00504BB3">
              <w:t> </w:t>
            </w:r>
            <w:r w:rsidRPr="00504BB3">
              <w:t> </w:t>
            </w:r>
            <w:r w:rsidRPr="00504BB3">
              <w:fldChar w:fldCharType="end"/>
            </w:r>
          </w:p>
        </w:tc>
        <w:tc>
          <w:tcPr>
            <w:tcW w:w="2078" w:type="dxa"/>
          </w:tcPr>
          <w:p w:rsidR="002C4C40" w:rsidRDefault="002C4C40" w:rsidP="006D2185">
            <w:r w:rsidRPr="00504BB3">
              <w:fldChar w:fldCharType="begin">
                <w:ffData>
                  <w:name w:val=""/>
                  <w:enabled/>
                  <w:calcOnExit w:val="0"/>
                  <w:textInput>
                    <w:maxLength w:val="100"/>
                  </w:textInput>
                </w:ffData>
              </w:fldChar>
            </w:r>
            <w:r w:rsidRPr="00504BB3">
              <w:instrText xml:space="preserve"> FORMTEXT </w:instrText>
            </w:r>
            <w:r w:rsidRPr="00504BB3">
              <w:fldChar w:fldCharType="separate"/>
            </w:r>
            <w:r w:rsidRPr="00504BB3">
              <w:t> </w:t>
            </w:r>
            <w:r w:rsidRPr="00504BB3">
              <w:t> </w:t>
            </w:r>
            <w:r w:rsidRPr="00504BB3">
              <w:t> </w:t>
            </w:r>
            <w:r w:rsidRPr="00504BB3">
              <w:t> </w:t>
            </w:r>
            <w:r w:rsidRPr="00504BB3">
              <w:t> </w:t>
            </w:r>
            <w:r w:rsidRPr="00504BB3">
              <w:fldChar w:fldCharType="end"/>
            </w:r>
          </w:p>
        </w:tc>
      </w:tr>
      <w:tr w:rsidR="002C4C40" w:rsidRPr="007D00E3" w:rsidTr="00460E76">
        <w:trPr>
          <w:trHeight w:val="548"/>
        </w:trPr>
        <w:tc>
          <w:tcPr>
            <w:tcW w:w="1971" w:type="dxa"/>
            <w:vMerge/>
          </w:tcPr>
          <w:p w:rsidR="002C4C40" w:rsidRPr="00D33A6D" w:rsidRDefault="002C4C40" w:rsidP="006D2185"/>
        </w:tc>
        <w:tc>
          <w:tcPr>
            <w:tcW w:w="2410" w:type="dxa"/>
            <w:shd w:val="clear" w:color="auto" w:fill="EEECE1"/>
          </w:tcPr>
          <w:p w:rsidR="002C4C40" w:rsidRDefault="002C4C40" w:rsidP="006D2185">
            <w:r>
              <w:t>Indicator 1.2</w:t>
            </w:r>
          </w:p>
          <w:p w:rsidR="002C4C40" w:rsidRPr="00504BB3" w:rsidRDefault="002C4C40" w:rsidP="006D2185">
            <w:r w:rsidRPr="000B51EE">
              <w:t>Number of minorities employed in the police</w:t>
            </w:r>
          </w:p>
        </w:tc>
        <w:tc>
          <w:tcPr>
            <w:tcW w:w="1559" w:type="dxa"/>
            <w:shd w:val="clear" w:color="auto" w:fill="EEECE1"/>
          </w:tcPr>
          <w:p w:rsidR="002C4C40" w:rsidRDefault="002C4C40" w:rsidP="006D2185">
            <w:r>
              <w:t>5.1%</w:t>
            </w:r>
          </w:p>
        </w:tc>
        <w:tc>
          <w:tcPr>
            <w:tcW w:w="2410" w:type="dxa"/>
            <w:shd w:val="clear" w:color="auto" w:fill="EEECE1"/>
          </w:tcPr>
          <w:p w:rsidR="002C4C40" w:rsidRPr="00504BB3" w:rsidRDefault="002C4C40" w:rsidP="006D2185">
            <w:r w:rsidRPr="00504BB3">
              <w:t>10% increase by 2016</w:t>
            </w:r>
          </w:p>
        </w:tc>
        <w:tc>
          <w:tcPr>
            <w:tcW w:w="2552" w:type="dxa"/>
          </w:tcPr>
          <w:p w:rsidR="002C4C40" w:rsidRDefault="002C4C40" w:rsidP="006D2185">
            <w:r>
              <w:t>On track</w:t>
            </w:r>
          </w:p>
        </w:tc>
        <w:tc>
          <w:tcPr>
            <w:tcW w:w="2148" w:type="dxa"/>
          </w:tcPr>
          <w:p w:rsidR="002C4C40" w:rsidRDefault="002C4C40" w:rsidP="006D2185">
            <w:r w:rsidRPr="00504BB3">
              <w:fldChar w:fldCharType="begin">
                <w:ffData>
                  <w:name w:val=""/>
                  <w:enabled/>
                  <w:calcOnExit w:val="0"/>
                  <w:textInput>
                    <w:maxLength w:val="100"/>
                  </w:textInput>
                </w:ffData>
              </w:fldChar>
            </w:r>
            <w:r w:rsidRPr="00504BB3">
              <w:instrText xml:space="preserve"> FORMTEXT </w:instrText>
            </w:r>
            <w:r w:rsidRPr="00504BB3">
              <w:fldChar w:fldCharType="separate"/>
            </w:r>
            <w:r w:rsidRPr="00504BB3">
              <w:t> </w:t>
            </w:r>
            <w:r w:rsidRPr="00504BB3">
              <w:t> </w:t>
            </w:r>
            <w:r w:rsidRPr="00504BB3">
              <w:t> </w:t>
            </w:r>
            <w:r w:rsidRPr="00504BB3">
              <w:t> </w:t>
            </w:r>
            <w:r w:rsidRPr="00504BB3">
              <w:t> </w:t>
            </w:r>
            <w:r w:rsidRPr="00504BB3">
              <w:fldChar w:fldCharType="end"/>
            </w:r>
          </w:p>
        </w:tc>
        <w:tc>
          <w:tcPr>
            <w:tcW w:w="2078" w:type="dxa"/>
          </w:tcPr>
          <w:p w:rsidR="002C4C40" w:rsidRDefault="002C4C40" w:rsidP="006D2185">
            <w:r w:rsidRPr="00504BB3">
              <w:fldChar w:fldCharType="begin">
                <w:ffData>
                  <w:name w:val=""/>
                  <w:enabled/>
                  <w:calcOnExit w:val="0"/>
                  <w:textInput>
                    <w:maxLength w:val="100"/>
                  </w:textInput>
                </w:ffData>
              </w:fldChar>
            </w:r>
            <w:r w:rsidRPr="00504BB3">
              <w:instrText xml:space="preserve"> FORMTEXT </w:instrText>
            </w:r>
            <w:r w:rsidRPr="00504BB3">
              <w:fldChar w:fldCharType="separate"/>
            </w:r>
            <w:r w:rsidRPr="00504BB3">
              <w:t> </w:t>
            </w:r>
            <w:r w:rsidRPr="00504BB3">
              <w:t> </w:t>
            </w:r>
            <w:r w:rsidRPr="00504BB3">
              <w:t> </w:t>
            </w:r>
            <w:r w:rsidRPr="00504BB3">
              <w:t> </w:t>
            </w:r>
            <w:r w:rsidRPr="00504BB3">
              <w:t> </w:t>
            </w:r>
            <w:r w:rsidRPr="00504BB3">
              <w:fldChar w:fldCharType="end"/>
            </w:r>
          </w:p>
        </w:tc>
      </w:tr>
      <w:tr w:rsidR="002C4C40" w:rsidRPr="007D00E3" w:rsidTr="00460E76">
        <w:trPr>
          <w:trHeight w:val="548"/>
        </w:trPr>
        <w:tc>
          <w:tcPr>
            <w:tcW w:w="1971" w:type="dxa"/>
            <w:vMerge/>
          </w:tcPr>
          <w:p w:rsidR="002C4C40" w:rsidRPr="00D33A6D" w:rsidRDefault="002C4C40" w:rsidP="006D2185"/>
        </w:tc>
        <w:tc>
          <w:tcPr>
            <w:tcW w:w="2410" w:type="dxa"/>
            <w:shd w:val="clear" w:color="auto" w:fill="EEECE1"/>
          </w:tcPr>
          <w:p w:rsidR="002C4C40" w:rsidRPr="000B51EE" w:rsidRDefault="002C4C40" w:rsidP="006D2185">
            <w:r>
              <w:t>Indicator 1.3</w:t>
            </w:r>
          </w:p>
          <w:p w:rsidR="002C4C40" w:rsidRPr="00504BB3" w:rsidRDefault="002C4C40" w:rsidP="006D2185">
            <w:r w:rsidRPr="000B51EE">
              <w:t>Number of minorities in senior level positions</w:t>
            </w:r>
          </w:p>
        </w:tc>
        <w:tc>
          <w:tcPr>
            <w:tcW w:w="1559" w:type="dxa"/>
            <w:shd w:val="clear" w:color="auto" w:fill="EEECE1"/>
          </w:tcPr>
          <w:p w:rsidR="002C4C40" w:rsidRPr="00504BB3" w:rsidRDefault="00C93222" w:rsidP="006D2185">
            <w:r>
              <w:t xml:space="preserve">Statistics to be collected from </w:t>
            </w:r>
            <w:proofErr w:type="spellStart"/>
            <w:r>
              <w:t>MoI</w:t>
            </w:r>
            <w:proofErr w:type="spellEnd"/>
          </w:p>
        </w:tc>
        <w:tc>
          <w:tcPr>
            <w:tcW w:w="2410" w:type="dxa"/>
            <w:shd w:val="clear" w:color="auto" w:fill="EEECE1"/>
          </w:tcPr>
          <w:p w:rsidR="002C4C40" w:rsidRPr="00504BB3" w:rsidRDefault="002C4C40" w:rsidP="006D2185">
            <w:r w:rsidRPr="00504BB3">
              <w:t>3-5% increase by 2016</w:t>
            </w:r>
          </w:p>
        </w:tc>
        <w:tc>
          <w:tcPr>
            <w:tcW w:w="2552" w:type="dxa"/>
          </w:tcPr>
          <w:p w:rsidR="002C4C40" w:rsidRPr="00504BB3" w:rsidRDefault="002C4C40" w:rsidP="006D2185">
            <w:r>
              <w:t>On track</w:t>
            </w:r>
          </w:p>
        </w:tc>
        <w:tc>
          <w:tcPr>
            <w:tcW w:w="2148" w:type="dxa"/>
          </w:tcPr>
          <w:p w:rsidR="002C4C40" w:rsidRPr="00504BB3" w:rsidRDefault="002C4C40" w:rsidP="006D2185"/>
        </w:tc>
        <w:tc>
          <w:tcPr>
            <w:tcW w:w="2078" w:type="dxa"/>
          </w:tcPr>
          <w:p w:rsidR="002C4C40" w:rsidRPr="00504BB3" w:rsidRDefault="002C4C40" w:rsidP="006D2185"/>
        </w:tc>
      </w:tr>
      <w:tr w:rsidR="002C4C40" w:rsidRPr="007D00E3" w:rsidTr="00460E76">
        <w:trPr>
          <w:trHeight w:val="548"/>
        </w:trPr>
        <w:tc>
          <w:tcPr>
            <w:tcW w:w="1971" w:type="dxa"/>
          </w:tcPr>
          <w:p w:rsidR="002C4C40" w:rsidRPr="00D33A6D" w:rsidRDefault="002C4C40" w:rsidP="006D2185">
            <w:r w:rsidRPr="00D33A6D">
              <w:t>Output 1.1</w:t>
            </w:r>
          </w:p>
          <w:p w:rsidR="002C4C40" w:rsidRPr="00504BB3" w:rsidRDefault="002C4C40" w:rsidP="006D2185">
            <w:r w:rsidRPr="00504BB3">
              <w:t xml:space="preserve">Regulations on participation and representation of minorities, including plan for pro-active </w:t>
            </w:r>
            <w:r w:rsidRPr="00504BB3">
              <w:lastRenderedPageBreak/>
              <w:t>recruitment, training &amp; career advancement adopted</w:t>
            </w:r>
          </w:p>
        </w:tc>
        <w:tc>
          <w:tcPr>
            <w:tcW w:w="2410" w:type="dxa"/>
            <w:shd w:val="clear" w:color="auto" w:fill="EEECE1"/>
          </w:tcPr>
          <w:p w:rsidR="002C4C40" w:rsidRPr="00504BB3" w:rsidRDefault="002C4C40" w:rsidP="006D2185">
            <w:r w:rsidRPr="00F3492E">
              <w:lastRenderedPageBreak/>
              <w:t>Indica</w:t>
            </w:r>
            <w:r>
              <w:t>tor  1.1</w:t>
            </w:r>
          </w:p>
          <w:p w:rsidR="002C4C40" w:rsidRPr="00504BB3" w:rsidRDefault="002C4C40" w:rsidP="006D2185">
            <w:proofErr w:type="spellStart"/>
            <w:r w:rsidRPr="000B51EE">
              <w:t>MoI</w:t>
            </w:r>
            <w:proofErr w:type="spellEnd"/>
            <w:r w:rsidRPr="000B51EE">
              <w:t xml:space="preserve"> Resolution adopted and Action Plan developed</w:t>
            </w:r>
          </w:p>
        </w:tc>
        <w:tc>
          <w:tcPr>
            <w:tcW w:w="1559" w:type="dxa"/>
            <w:shd w:val="clear" w:color="auto" w:fill="EEECE1"/>
          </w:tcPr>
          <w:p w:rsidR="002C4C40" w:rsidRPr="00504BB3" w:rsidRDefault="002C4C40" w:rsidP="006D2185">
            <w:r w:rsidRPr="00504BB3">
              <w:t>No policy paper available</w:t>
            </w:r>
          </w:p>
        </w:tc>
        <w:tc>
          <w:tcPr>
            <w:tcW w:w="2410" w:type="dxa"/>
            <w:shd w:val="clear" w:color="auto" w:fill="EEECE1"/>
          </w:tcPr>
          <w:p w:rsidR="002C4C40" w:rsidRPr="00504BB3" w:rsidRDefault="002C4C40" w:rsidP="006D2185">
            <w:r w:rsidRPr="00504BB3">
              <w:t>Policy paper endorsed and effectively implemented</w:t>
            </w:r>
          </w:p>
        </w:tc>
        <w:tc>
          <w:tcPr>
            <w:tcW w:w="2552" w:type="dxa"/>
          </w:tcPr>
          <w:p w:rsidR="002C4C40" w:rsidRPr="007D00E3" w:rsidRDefault="00460E76" w:rsidP="006D2185">
            <w:r>
              <w:t xml:space="preserve">The current by-laws </w:t>
            </w:r>
            <w:r w:rsidR="002C4C40">
              <w:t xml:space="preserve">updated by the </w:t>
            </w:r>
            <w:proofErr w:type="spellStart"/>
            <w:r w:rsidR="002C4C40">
              <w:t>MoI</w:t>
            </w:r>
            <w:proofErr w:type="spellEnd"/>
            <w:r w:rsidR="002C4C40">
              <w:t xml:space="preserve"> based on the project expert recommendations (3) to include special measures to advance </w:t>
            </w:r>
            <w:r w:rsidR="002C4C40">
              <w:lastRenderedPageBreak/>
              <w:t>equal opportunities for women and minorities in the police</w:t>
            </w:r>
            <w:r w:rsidR="002C4C40" w:rsidRPr="00DC65E4">
              <w:t xml:space="preserve"> </w:t>
            </w:r>
          </w:p>
        </w:tc>
        <w:tc>
          <w:tcPr>
            <w:tcW w:w="2148" w:type="dxa"/>
          </w:tcPr>
          <w:p w:rsidR="002C4C40" w:rsidRPr="007D00E3" w:rsidRDefault="002C4C40" w:rsidP="006D2185">
            <w:r w:rsidRPr="00504BB3">
              <w:lastRenderedPageBreak/>
              <w:fldChar w:fldCharType="begin">
                <w:ffData>
                  <w:name w:val=""/>
                  <w:enabled/>
                  <w:calcOnExit w:val="0"/>
                  <w:textInput>
                    <w:maxLength w:val="100"/>
                  </w:textInput>
                </w:ffData>
              </w:fldChar>
            </w:r>
            <w:r w:rsidRPr="00504BB3">
              <w:instrText xml:space="preserve"> FORMTEXT </w:instrText>
            </w:r>
            <w:r w:rsidRPr="00504BB3">
              <w:fldChar w:fldCharType="separate"/>
            </w:r>
            <w:r w:rsidRPr="00504BB3">
              <w:t> </w:t>
            </w:r>
            <w:r w:rsidRPr="00504BB3">
              <w:t> </w:t>
            </w:r>
            <w:r w:rsidRPr="00504BB3">
              <w:t> </w:t>
            </w:r>
            <w:r w:rsidRPr="00504BB3">
              <w:t> </w:t>
            </w:r>
            <w:r w:rsidRPr="00504BB3">
              <w:t> </w:t>
            </w:r>
            <w:r w:rsidRPr="00504BB3">
              <w:fldChar w:fldCharType="end"/>
            </w:r>
          </w:p>
        </w:tc>
        <w:tc>
          <w:tcPr>
            <w:tcW w:w="2078" w:type="dxa"/>
          </w:tcPr>
          <w:p w:rsidR="002C4C40" w:rsidRDefault="002C4C40" w:rsidP="006D2185">
            <w:r w:rsidRPr="00504BB3">
              <w:fldChar w:fldCharType="begin">
                <w:ffData>
                  <w:name w:val=""/>
                  <w:enabled/>
                  <w:calcOnExit w:val="0"/>
                  <w:textInput>
                    <w:maxLength w:val="100"/>
                  </w:textInput>
                </w:ffData>
              </w:fldChar>
            </w:r>
            <w:r w:rsidRPr="00504BB3">
              <w:instrText xml:space="preserve"> FORMTEXT </w:instrText>
            </w:r>
            <w:r w:rsidRPr="00504BB3">
              <w:fldChar w:fldCharType="separate"/>
            </w:r>
            <w:r w:rsidRPr="00504BB3">
              <w:t> </w:t>
            </w:r>
            <w:r w:rsidRPr="00504BB3">
              <w:t> </w:t>
            </w:r>
            <w:r w:rsidRPr="00504BB3">
              <w:t> </w:t>
            </w:r>
            <w:r w:rsidRPr="00504BB3">
              <w:t> </w:t>
            </w:r>
            <w:r w:rsidRPr="00504BB3">
              <w:t> </w:t>
            </w:r>
            <w:r w:rsidRPr="00504BB3">
              <w:fldChar w:fldCharType="end"/>
            </w:r>
          </w:p>
        </w:tc>
      </w:tr>
      <w:tr w:rsidR="002C4C40" w:rsidRPr="007D00E3" w:rsidTr="00460E76">
        <w:trPr>
          <w:trHeight w:val="440"/>
        </w:trPr>
        <w:tc>
          <w:tcPr>
            <w:tcW w:w="1971" w:type="dxa"/>
          </w:tcPr>
          <w:p w:rsidR="002C4C40" w:rsidRDefault="002C4C40" w:rsidP="006D2185">
            <w:r w:rsidRPr="00D33A6D">
              <w:lastRenderedPageBreak/>
              <w:t>Output 1.2</w:t>
            </w:r>
          </w:p>
          <w:p w:rsidR="002C4C40" w:rsidRPr="00D33A6D" w:rsidRDefault="002C4C40" w:rsidP="006D2185">
            <w:r w:rsidRPr="007F4619">
              <w:t xml:space="preserve">Regular dialogue between the police and minority communities established  </w:t>
            </w:r>
          </w:p>
        </w:tc>
        <w:tc>
          <w:tcPr>
            <w:tcW w:w="2410" w:type="dxa"/>
            <w:shd w:val="clear" w:color="auto" w:fill="EEECE1"/>
          </w:tcPr>
          <w:p w:rsidR="002C4C40" w:rsidRPr="00F41BC2" w:rsidRDefault="002C4C40" w:rsidP="006D2185">
            <w:r>
              <w:t>Indicator  1.</w:t>
            </w:r>
            <w:r w:rsidRPr="00F41BC2">
              <w:t>1</w:t>
            </w:r>
          </w:p>
          <w:p w:rsidR="002C4C40" w:rsidRPr="00F41BC2" w:rsidRDefault="002C4C40" w:rsidP="006D2185">
            <w:r w:rsidRPr="00504BB3">
              <w:t>No. of public events conducted</w:t>
            </w:r>
          </w:p>
        </w:tc>
        <w:tc>
          <w:tcPr>
            <w:tcW w:w="1559" w:type="dxa"/>
            <w:shd w:val="clear" w:color="auto" w:fill="EEECE1"/>
          </w:tcPr>
          <w:p w:rsidR="002C4C40" w:rsidRPr="007D00E3" w:rsidRDefault="002C4C40" w:rsidP="006D2185">
            <w:r>
              <w:t>0</w:t>
            </w:r>
          </w:p>
        </w:tc>
        <w:tc>
          <w:tcPr>
            <w:tcW w:w="2410" w:type="dxa"/>
            <w:shd w:val="clear" w:color="auto" w:fill="EEECE1"/>
          </w:tcPr>
          <w:p w:rsidR="002C4C40" w:rsidRDefault="002C4C40" w:rsidP="006D2185">
            <w:r>
              <w:t>84</w:t>
            </w:r>
          </w:p>
        </w:tc>
        <w:tc>
          <w:tcPr>
            <w:tcW w:w="2552" w:type="dxa"/>
          </w:tcPr>
          <w:p w:rsidR="002C4C40" w:rsidRDefault="00E0245E" w:rsidP="006D2185">
            <w:r>
              <w:t>One</w:t>
            </w:r>
            <w:r w:rsidR="00460E76">
              <w:t xml:space="preserve"> </w:t>
            </w:r>
            <w:r w:rsidR="00460E76" w:rsidRPr="00460E76">
              <w:t xml:space="preserve">launch event at the </w:t>
            </w:r>
            <w:proofErr w:type="spellStart"/>
            <w:r w:rsidR="00460E76" w:rsidRPr="00460E76">
              <w:t>MoI</w:t>
            </w:r>
            <w:proofErr w:type="spellEnd"/>
            <w:r w:rsidR="00460E76" w:rsidRPr="00460E76">
              <w:t xml:space="preserve"> with participation from the KR government, civil society and international organizations</w:t>
            </w:r>
          </w:p>
        </w:tc>
        <w:tc>
          <w:tcPr>
            <w:tcW w:w="2148" w:type="dxa"/>
          </w:tcPr>
          <w:p w:rsidR="002C4C40" w:rsidRPr="007D00E3"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c>
          <w:tcPr>
            <w:tcW w:w="2078" w:type="dxa"/>
          </w:tcPr>
          <w:p w:rsidR="002C4C40"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r>
      <w:tr w:rsidR="002C4C40" w:rsidRPr="007D00E3" w:rsidTr="00460E76">
        <w:trPr>
          <w:trHeight w:val="422"/>
        </w:trPr>
        <w:tc>
          <w:tcPr>
            <w:tcW w:w="1971" w:type="dxa"/>
            <w:vMerge w:val="restart"/>
          </w:tcPr>
          <w:p w:rsidR="002C4C40" w:rsidRPr="00F41BC2" w:rsidRDefault="002C4C40" w:rsidP="006D2185">
            <w:r w:rsidRPr="00F41BC2">
              <w:t>Outcome 2</w:t>
            </w:r>
          </w:p>
          <w:p w:rsidR="002C4C40" w:rsidRPr="00F41BC2" w:rsidRDefault="002C4C40" w:rsidP="006D2185">
            <w:r w:rsidRPr="007F4619">
              <w:t>The Government of the Kyrgyz Republic adopts and implements policies to increase participation and representation of women in the police force and to ensure regular dialogue between police and women in local communities</w:t>
            </w:r>
          </w:p>
        </w:tc>
        <w:tc>
          <w:tcPr>
            <w:tcW w:w="2410" w:type="dxa"/>
            <w:shd w:val="clear" w:color="auto" w:fill="EEECE1"/>
          </w:tcPr>
          <w:p w:rsidR="002C4C40" w:rsidRPr="00F41BC2" w:rsidRDefault="002C4C40" w:rsidP="006D2185">
            <w:r>
              <w:t>Indicator 2.1</w:t>
            </w:r>
          </w:p>
          <w:p w:rsidR="002C4C40" w:rsidRPr="00F41BC2" w:rsidRDefault="002C4C40" w:rsidP="006D2185">
            <w:r w:rsidRPr="007F4619">
              <w:t>Number of women employed in the police</w:t>
            </w:r>
          </w:p>
        </w:tc>
        <w:tc>
          <w:tcPr>
            <w:tcW w:w="1559" w:type="dxa"/>
            <w:shd w:val="clear" w:color="auto" w:fill="EEECE1"/>
          </w:tcPr>
          <w:p w:rsidR="002C4C40" w:rsidRDefault="00A75473" w:rsidP="006D2185">
            <w:r>
              <w:t>13%</w:t>
            </w:r>
          </w:p>
        </w:tc>
        <w:tc>
          <w:tcPr>
            <w:tcW w:w="2410" w:type="dxa"/>
            <w:shd w:val="clear" w:color="auto" w:fill="EEECE1"/>
          </w:tcPr>
          <w:p w:rsidR="002C4C40" w:rsidRDefault="002C4C40" w:rsidP="006D2185">
            <w:r w:rsidRPr="007F4619">
              <w:t>10% increase by 2016</w:t>
            </w:r>
          </w:p>
        </w:tc>
        <w:tc>
          <w:tcPr>
            <w:tcW w:w="2552" w:type="dxa"/>
          </w:tcPr>
          <w:p w:rsidR="002C4C40" w:rsidRDefault="002C4C40" w:rsidP="006D2185">
            <w:r>
              <w:t>On track</w:t>
            </w:r>
          </w:p>
        </w:tc>
        <w:tc>
          <w:tcPr>
            <w:tcW w:w="2148" w:type="dxa"/>
          </w:tcPr>
          <w:p w:rsidR="002C4C40" w:rsidRPr="007D00E3"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c>
          <w:tcPr>
            <w:tcW w:w="2078" w:type="dxa"/>
          </w:tcPr>
          <w:p w:rsidR="002C4C40"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r>
      <w:tr w:rsidR="002C4C40" w:rsidRPr="007D00E3" w:rsidTr="00460E76">
        <w:trPr>
          <w:trHeight w:val="422"/>
        </w:trPr>
        <w:tc>
          <w:tcPr>
            <w:tcW w:w="1971" w:type="dxa"/>
            <w:vMerge/>
          </w:tcPr>
          <w:p w:rsidR="002C4C40" w:rsidRPr="00D33A6D" w:rsidRDefault="002C4C40" w:rsidP="006D2185"/>
        </w:tc>
        <w:tc>
          <w:tcPr>
            <w:tcW w:w="2410" w:type="dxa"/>
            <w:shd w:val="clear" w:color="auto" w:fill="EEECE1"/>
          </w:tcPr>
          <w:p w:rsidR="002C4C40" w:rsidRPr="00F41BC2" w:rsidRDefault="002C4C40" w:rsidP="006D2185">
            <w:r>
              <w:t>Indicator 2.2</w:t>
            </w:r>
            <w:r w:rsidRPr="00F41BC2">
              <w:t xml:space="preserve"> Number of women enrolled in police schools</w:t>
            </w:r>
          </w:p>
        </w:tc>
        <w:tc>
          <w:tcPr>
            <w:tcW w:w="1559" w:type="dxa"/>
            <w:shd w:val="clear" w:color="auto" w:fill="EEECE1"/>
          </w:tcPr>
          <w:p w:rsidR="002C4C40" w:rsidRDefault="002E1C80" w:rsidP="006D2185">
            <w:r>
              <w:t>13.5%</w:t>
            </w:r>
          </w:p>
        </w:tc>
        <w:tc>
          <w:tcPr>
            <w:tcW w:w="2410" w:type="dxa"/>
            <w:shd w:val="clear" w:color="auto" w:fill="EEECE1"/>
          </w:tcPr>
          <w:p w:rsidR="002C4C40" w:rsidRDefault="002C4C40" w:rsidP="006D2185">
            <w:r w:rsidRPr="007F4619">
              <w:t>15-20% increase by 2016</w:t>
            </w:r>
          </w:p>
        </w:tc>
        <w:tc>
          <w:tcPr>
            <w:tcW w:w="2552" w:type="dxa"/>
          </w:tcPr>
          <w:p w:rsidR="002C4C40" w:rsidRDefault="002C4C40" w:rsidP="006D2185">
            <w:r>
              <w:t>On track</w:t>
            </w:r>
          </w:p>
        </w:tc>
        <w:tc>
          <w:tcPr>
            <w:tcW w:w="2148" w:type="dxa"/>
          </w:tcPr>
          <w:p w:rsidR="002C4C40" w:rsidRPr="007D00E3"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c>
          <w:tcPr>
            <w:tcW w:w="2078" w:type="dxa"/>
          </w:tcPr>
          <w:p w:rsidR="002C4C40"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r>
      <w:tr w:rsidR="002C4C40" w:rsidRPr="007D00E3" w:rsidTr="00460E76">
        <w:trPr>
          <w:trHeight w:val="422"/>
        </w:trPr>
        <w:tc>
          <w:tcPr>
            <w:tcW w:w="1971" w:type="dxa"/>
            <w:vMerge/>
          </w:tcPr>
          <w:p w:rsidR="002C4C40" w:rsidRPr="00D33A6D" w:rsidRDefault="002C4C40" w:rsidP="006D2185"/>
        </w:tc>
        <w:tc>
          <w:tcPr>
            <w:tcW w:w="2410" w:type="dxa"/>
            <w:shd w:val="clear" w:color="auto" w:fill="EEECE1"/>
          </w:tcPr>
          <w:p w:rsidR="002C4C40" w:rsidRPr="00F41BC2" w:rsidRDefault="002C4C40" w:rsidP="006D2185">
            <w:r>
              <w:t>Indicator 2.</w:t>
            </w:r>
            <w:r w:rsidRPr="00F41BC2">
              <w:t>3</w:t>
            </w:r>
          </w:p>
          <w:p w:rsidR="002C4C40" w:rsidRPr="00F41BC2" w:rsidRDefault="002C4C40" w:rsidP="006D2185">
            <w:r w:rsidRPr="007F4619">
              <w:t>Number of women in senior level positions</w:t>
            </w:r>
          </w:p>
        </w:tc>
        <w:tc>
          <w:tcPr>
            <w:tcW w:w="1559" w:type="dxa"/>
            <w:shd w:val="clear" w:color="auto" w:fill="EEECE1"/>
          </w:tcPr>
          <w:p w:rsidR="002C4C40" w:rsidRPr="00F41BC2" w:rsidRDefault="002E1C80" w:rsidP="006D2185">
            <w:r>
              <w:t>7.6%</w:t>
            </w:r>
          </w:p>
        </w:tc>
        <w:tc>
          <w:tcPr>
            <w:tcW w:w="2410" w:type="dxa"/>
            <w:shd w:val="clear" w:color="auto" w:fill="EEECE1"/>
          </w:tcPr>
          <w:p w:rsidR="002C4C40" w:rsidRPr="00F41BC2" w:rsidRDefault="002C4C40" w:rsidP="006D2185">
            <w:r w:rsidRPr="007F4619">
              <w:t>3-5% increase by 2016</w:t>
            </w:r>
          </w:p>
        </w:tc>
        <w:tc>
          <w:tcPr>
            <w:tcW w:w="2552" w:type="dxa"/>
          </w:tcPr>
          <w:p w:rsidR="002C4C40" w:rsidRPr="00F41BC2" w:rsidRDefault="002C4C40" w:rsidP="006D2185">
            <w:r>
              <w:t>On track</w:t>
            </w:r>
          </w:p>
        </w:tc>
        <w:tc>
          <w:tcPr>
            <w:tcW w:w="2148" w:type="dxa"/>
          </w:tcPr>
          <w:p w:rsidR="002C4C40" w:rsidRPr="00F41BC2" w:rsidRDefault="002C4C40" w:rsidP="006D2185"/>
        </w:tc>
        <w:tc>
          <w:tcPr>
            <w:tcW w:w="2078" w:type="dxa"/>
          </w:tcPr>
          <w:p w:rsidR="002C4C40" w:rsidRPr="00F41BC2" w:rsidRDefault="002C4C40" w:rsidP="006D2185"/>
        </w:tc>
      </w:tr>
      <w:tr w:rsidR="002C4C40" w:rsidRPr="007D00E3" w:rsidTr="00460E76">
        <w:trPr>
          <w:trHeight w:val="422"/>
        </w:trPr>
        <w:tc>
          <w:tcPr>
            <w:tcW w:w="1971" w:type="dxa"/>
          </w:tcPr>
          <w:p w:rsidR="002C4C40" w:rsidRDefault="002C4C40" w:rsidP="006D2185">
            <w:r w:rsidRPr="00D33A6D">
              <w:t>Output 2.1</w:t>
            </w:r>
          </w:p>
          <w:p w:rsidR="002C4C40" w:rsidRPr="007F4619" w:rsidRDefault="002C4C40" w:rsidP="006D2185">
            <w:r w:rsidRPr="007F4619">
              <w:t xml:space="preserve">Regulations on participation of women, including </w:t>
            </w:r>
            <w:r w:rsidRPr="007F4619">
              <w:lastRenderedPageBreak/>
              <w:t>plan for pro-active recruitment, training &amp; career advancement adopted and effectively implemented</w:t>
            </w:r>
          </w:p>
        </w:tc>
        <w:tc>
          <w:tcPr>
            <w:tcW w:w="2410" w:type="dxa"/>
            <w:shd w:val="clear" w:color="auto" w:fill="EEECE1"/>
          </w:tcPr>
          <w:p w:rsidR="002C4C40" w:rsidRPr="007F4619" w:rsidRDefault="002C4C40" w:rsidP="006D2185">
            <w:r>
              <w:lastRenderedPageBreak/>
              <w:t>Indicator  2.1</w:t>
            </w:r>
          </w:p>
          <w:p w:rsidR="002C4C40" w:rsidRPr="007F4619" w:rsidRDefault="002C4C40" w:rsidP="006D2185">
            <w:proofErr w:type="spellStart"/>
            <w:r w:rsidRPr="007F4619">
              <w:t>MoI</w:t>
            </w:r>
            <w:proofErr w:type="spellEnd"/>
            <w:r w:rsidRPr="007F4619">
              <w:t xml:space="preserve"> Resolution adopted and Action Plan developed</w:t>
            </w:r>
          </w:p>
          <w:p w:rsidR="002C4C40" w:rsidRPr="00F3492E" w:rsidRDefault="002C4C40" w:rsidP="006D2185"/>
        </w:tc>
        <w:tc>
          <w:tcPr>
            <w:tcW w:w="1559" w:type="dxa"/>
            <w:shd w:val="clear" w:color="auto" w:fill="EEECE1"/>
          </w:tcPr>
          <w:p w:rsidR="002C4C40" w:rsidRPr="007F4619" w:rsidRDefault="002C4C40" w:rsidP="006D2185">
            <w:r w:rsidRPr="007F4619">
              <w:lastRenderedPageBreak/>
              <w:t>No policy paper available</w:t>
            </w:r>
          </w:p>
        </w:tc>
        <w:tc>
          <w:tcPr>
            <w:tcW w:w="2410" w:type="dxa"/>
            <w:shd w:val="clear" w:color="auto" w:fill="EEECE1"/>
          </w:tcPr>
          <w:p w:rsidR="002C4C40" w:rsidRPr="007F4619" w:rsidRDefault="002C4C40" w:rsidP="006D2185">
            <w:r w:rsidRPr="007F4619">
              <w:t>Policy paper endorsed and effectively implemented</w:t>
            </w:r>
          </w:p>
        </w:tc>
        <w:tc>
          <w:tcPr>
            <w:tcW w:w="2552" w:type="dxa"/>
          </w:tcPr>
          <w:p w:rsidR="002C4C40" w:rsidRPr="007D00E3" w:rsidRDefault="002C4C40" w:rsidP="006D2185">
            <w:r>
              <w:t xml:space="preserve">The current by-laws are updated by the </w:t>
            </w:r>
            <w:proofErr w:type="spellStart"/>
            <w:r>
              <w:t>MoI</w:t>
            </w:r>
            <w:proofErr w:type="spellEnd"/>
            <w:r>
              <w:t xml:space="preserve"> based on the project expert </w:t>
            </w:r>
            <w:r>
              <w:lastRenderedPageBreak/>
              <w:t>recommendations (3) to include special measures to advance equal opportunities for women and minorities in the police</w:t>
            </w:r>
            <w:r w:rsidRPr="00DC65E4">
              <w:t xml:space="preserve"> </w:t>
            </w:r>
          </w:p>
        </w:tc>
        <w:tc>
          <w:tcPr>
            <w:tcW w:w="2148" w:type="dxa"/>
          </w:tcPr>
          <w:p w:rsidR="002C4C40" w:rsidRPr="007D00E3" w:rsidRDefault="002C4C40" w:rsidP="006D2185">
            <w:r w:rsidRPr="007F4619">
              <w:lastRenderedPageBreak/>
              <w:fldChar w:fldCharType="begin">
                <w:ffData>
                  <w:name w:val=""/>
                  <w:enabled/>
                  <w:calcOnExit w:val="0"/>
                  <w:textInput>
                    <w:maxLength w:val="100"/>
                  </w:textInput>
                </w:ffData>
              </w:fldChar>
            </w:r>
            <w:r w:rsidRPr="007F4619">
              <w:instrText xml:space="preserve"> FORMTEXT </w:instrText>
            </w:r>
            <w:r w:rsidRPr="007F4619">
              <w:fldChar w:fldCharType="separate"/>
            </w:r>
            <w:r w:rsidRPr="007F4619">
              <w:t> </w:t>
            </w:r>
            <w:r w:rsidRPr="007F4619">
              <w:t> </w:t>
            </w:r>
            <w:r w:rsidRPr="007F4619">
              <w:t> </w:t>
            </w:r>
            <w:r w:rsidRPr="007F4619">
              <w:t> </w:t>
            </w:r>
            <w:r w:rsidRPr="007F4619">
              <w:t> </w:t>
            </w:r>
            <w:r w:rsidRPr="007F4619">
              <w:fldChar w:fldCharType="end"/>
            </w:r>
          </w:p>
        </w:tc>
        <w:tc>
          <w:tcPr>
            <w:tcW w:w="2078" w:type="dxa"/>
          </w:tcPr>
          <w:p w:rsidR="002C4C40" w:rsidRDefault="002C4C40" w:rsidP="006D2185">
            <w:r w:rsidRPr="007F4619">
              <w:fldChar w:fldCharType="begin">
                <w:ffData>
                  <w:name w:val=""/>
                  <w:enabled/>
                  <w:calcOnExit w:val="0"/>
                  <w:textInput>
                    <w:maxLength w:val="100"/>
                  </w:textInput>
                </w:ffData>
              </w:fldChar>
            </w:r>
            <w:r w:rsidRPr="007F4619">
              <w:instrText xml:space="preserve"> FORMTEXT </w:instrText>
            </w:r>
            <w:r w:rsidRPr="007F4619">
              <w:fldChar w:fldCharType="separate"/>
            </w:r>
            <w:r w:rsidRPr="007F4619">
              <w:t> </w:t>
            </w:r>
            <w:r w:rsidRPr="007F4619">
              <w:t> </w:t>
            </w:r>
            <w:r w:rsidRPr="007F4619">
              <w:t> </w:t>
            </w:r>
            <w:r w:rsidRPr="007F4619">
              <w:t> </w:t>
            </w:r>
            <w:r w:rsidRPr="007F4619">
              <w:t> </w:t>
            </w:r>
            <w:r w:rsidRPr="007F4619">
              <w:fldChar w:fldCharType="end"/>
            </w:r>
          </w:p>
        </w:tc>
      </w:tr>
      <w:tr w:rsidR="002C4C40" w:rsidRPr="007D00E3" w:rsidTr="00460E76">
        <w:trPr>
          <w:trHeight w:val="512"/>
        </w:trPr>
        <w:tc>
          <w:tcPr>
            <w:tcW w:w="1971" w:type="dxa"/>
          </w:tcPr>
          <w:p w:rsidR="002C4C40" w:rsidRDefault="002C4C40" w:rsidP="006D2185">
            <w:r w:rsidRPr="00D33A6D">
              <w:lastRenderedPageBreak/>
              <w:t>Output 2.2</w:t>
            </w:r>
          </w:p>
          <w:p w:rsidR="002C4C40" w:rsidRPr="00D33A6D" w:rsidRDefault="002C4C40" w:rsidP="006D2185">
            <w:r w:rsidRPr="007F4619">
              <w:t>Gender sensitive approaches in the work of the police service introduced</w:t>
            </w:r>
          </w:p>
        </w:tc>
        <w:tc>
          <w:tcPr>
            <w:tcW w:w="2410" w:type="dxa"/>
            <w:shd w:val="clear" w:color="auto" w:fill="EEECE1"/>
          </w:tcPr>
          <w:p w:rsidR="002C4C40" w:rsidRPr="007F4619" w:rsidRDefault="002C4C40" w:rsidP="006D2185">
            <w:r w:rsidRPr="00F3492E">
              <w:t>Indic</w:t>
            </w:r>
            <w:r w:rsidRPr="007F4619">
              <w:t>ator  2.2</w:t>
            </w:r>
          </w:p>
          <w:p w:rsidR="002C4C40" w:rsidRPr="007F4619" w:rsidRDefault="002C4C40" w:rsidP="006D2185">
            <w:r w:rsidRPr="007F4619">
              <w:t>No of police officers trained</w:t>
            </w:r>
          </w:p>
        </w:tc>
        <w:tc>
          <w:tcPr>
            <w:tcW w:w="1559" w:type="dxa"/>
            <w:shd w:val="clear" w:color="auto" w:fill="EEECE1"/>
          </w:tcPr>
          <w:p w:rsidR="002C4C40" w:rsidRPr="007F4619" w:rsidRDefault="002C4C40" w:rsidP="006D2185">
            <w:r>
              <w:t>0</w:t>
            </w:r>
          </w:p>
        </w:tc>
        <w:tc>
          <w:tcPr>
            <w:tcW w:w="2410" w:type="dxa"/>
            <w:shd w:val="clear" w:color="auto" w:fill="EEECE1"/>
          </w:tcPr>
          <w:p w:rsidR="002C4C40" w:rsidRPr="007F4619" w:rsidRDefault="002C4C40" w:rsidP="006D2185">
            <w:r>
              <w:t>140</w:t>
            </w:r>
          </w:p>
        </w:tc>
        <w:tc>
          <w:tcPr>
            <w:tcW w:w="2552" w:type="dxa"/>
          </w:tcPr>
          <w:p w:rsidR="002C4C40" w:rsidRPr="007D00E3" w:rsidRDefault="00E0245E" w:rsidP="00460E76">
            <w:r>
              <w:t>O</w:t>
            </w:r>
            <w:r w:rsidR="00971AF6">
              <w:t>ne</w:t>
            </w:r>
            <w:r w:rsidR="00460E76">
              <w:t xml:space="preserve"> basic</w:t>
            </w:r>
            <w:r w:rsidR="00460E76" w:rsidRPr="00460E76">
              <w:t xml:space="preserve"> </w:t>
            </w:r>
            <w:r w:rsidR="00460E76">
              <w:t>gender training  module developed for the 1st round training (30 trainees) for Aug.2014</w:t>
            </w:r>
          </w:p>
        </w:tc>
        <w:tc>
          <w:tcPr>
            <w:tcW w:w="2148" w:type="dxa"/>
          </w:tcPr>
          <w:p w:rsidR="002C4C40" w:rsidRPr="007D00E3" w:rsidRDefault="002C4C40" w:rsidP="006D2185">
            <w:r w:rsidRPr="007F4619">
              <w:fldChar w:fldCharType="begin">
                <w:ffData>
                  <w:name w:val=""/>
                  <w:enabled/>
                  <w:calcOnExit w:val="0"/>
                  <w:textInput>
                    <w:maxLength w:val="100"/>
                  </w:textInput>
                </w:ffData>
              </w:fldChar>
            </w:r>
            <w:r w:rsidRPr="007F4619">
              <w:instrText xml:space="preserve"> FORMTEXT </w:instrText>
            </w:r>
            <w:r w:rsidRPr="007F4619">
              <w:fldChar w:fldCharType="separate"/>
            </w:r>
            <w:r w:rsidRPr="007F4619">
              <w:t> </w:t>
            </w:r>
            <w:r w:rsidRPr="007F4619">
              <w:t> </w:t>
            </w:r>
            <w:r w:rsidRPr="007F4619">
              <w:t> </w:t>
            </w:r>
            <w:r w:rsidRPr="007F4619">
              <w:t> </w:t>
            </w:r>
            <w:r w:rsidRPr="007F4619">
              <w:t> </w:t>
            </w:r>
            <w:r w:rsidRPr="007F4619">
              <w:fldChar w:fldCharType="end"/>
            </w:r>
          </w:p>
        </w:tc>
        <w:tc>
          <w:tcPr>
            <w:tcW w:w="2078" w:type="dxa"/>
          </w:tcPr>
          <w:p w:rsidR="002C4C40" w:rsidRDefault="002C4C40" w:rsidP="006D2185">
            <w:r w:rsidRPr="007F4619">
              <w:fldChar w:fldCharType="begin">
                <w:ffData>
                  <w:name w:val=""/>
                  <w:enabled/>
                  <w:calcOnExit w:val="0"/>
                  <w:textInput>
                    <w:maxLength w:val="100"/>
                  </w:textInput>
                </w:ffData>
              </w:fldChar>
            </w:r>
            <w:r w:rsidRPr="007F4619">
              <w:instrText xml:space="preserve"> FORMTEXT </w:instrText>
            </w:r>
            <w:r w:rsidRPr="007F4619">
              <w:fldChar w:fldCharType="separate"/>
            </w:r>
            <w:r w:rsidRPr="007F4619">
              <w:t> </w:t>
            </w:r>
            <w:r w:rsidRPr="007F4619">
              <w:t> </w:t>
            </w:r>
            <w:r w:rsidRPr="007F4619">
              <w:t> </w:t>
            </w:r>
            <w:r w:rsidRPr="007F4619">
              <w:t> </w:t>
            </w:r>
            <w:r w:rsidRPr="007F4619">
              <w:t> </w:t>
            </w:r>
            <w:r w:rsidRPr="007F4619">
              <w:fldChar w:fldCharType="end"/>
            </w:r>
          </w:p>
        </w:tc>
      </w:tr>
      <w:tr w:rsidR="002C4C40" w:rsidRPr="007D00E3" w:rsidTr="00460E76">
        <w:trPr>
          <w:trHeight w:val="458"/>
        </w:trPr>
        <w:tc>
          <w:tcPr>
            <w:tcW w:w="1971" w:type="dxa"/>
            <w:vMerge w:val="restart"/>
          </w:tcPr>
          <w:p w:rsidR="002C4C40" w:rsidRDefault="002C4C40" w:rsidP="006D2185">
            <w:r w:rsidRPr="00373A8D">
              <w:t>Outcome 3</w:t>
            </w:r>
          </w:p>
          <w:p w:rsidR="002C4C40" w:rsidRPr="00373A8D" w:rsidRDefault="002C4C40" w:rsidP="006D2185">
            <w:r w:rsidRPr="007F4619">
              <w:t>Police  becomes more accountable and responsive to the grievances/needs of people  through established complaints handling procedures and more effective independent monitoring of police performance</w:t>
            </w:r>
          </w:p>
        </w:tc>
        <w:tc>
          <w:tcPr>
            <w:tcW w:w="2410" w:type="dxa"/>
            <w:shd w:val="clear" w:color="auto" w:fill="EEECE1"/>
          </w:tcPr>
          <w:p w:rsidR="002C4C40" w:rsidRPr="00373A8D" w:rsidRDefault="002C4C40" w:rsidP="006D2185">
            <w:r>
              <w:t>Indicator 3.1</w:t>
            </w:r>
          </w:p>
          <w:p w:rsidR="002C4C40" w:rsidRPr="00373A8D" w:rsidRDefault="002C4C40" w:rsidP="006D2185">
            <w:r w:rsidRPr="00373A8D">
              <w:t>Number of police officers sanctioned in disciplinary and criminal proceedings in relation to misconduct</w:t>
            </w:r>
          </w:p>
        </w:tc>
        <w:tc>
          <w:tcPr>
            <w:tcW w:w="1559" w:type="dxa"/>
            <w:shd w:val="clear" w:color="auto" w:fill="EEECE1"/>
          </w:tcPr>
          <w:p w:rsidR="002C4C40" w:rsidRPr="00373A8D" w:rsidRDefault="002C4C40" w:rsidP="006D2185">
            <w:r>
              <w:t>14%</w:t>
            </w:r>
          </w:p>
        </w:tc>
        <w:tc>
          <w:tcPr>
            <w:tcW w:w="2410" w:type="dxa"/>
            <w:shd w:val="clear" w:color="auto" w:fill="EEECE1"/>
          </w:tcPr>
          <w:p w:rsidR="002C4C40" w:rsidRPr="00373A8D" w:rsidRDefault="002C4C40" w:rsidP="006D2185">
            <w:r w:rsidRPr="00373A8D">
              <w:t>% 10-15 increase by 2016</w:t>
            </w:r>
          </w:p>
        </w:tc>
        <w:tc>
          <w:tcPr>
            <w:tcW w:w="2552" w:type="dxa"/>
          </w:tcPr>
          <w:p w:rsidR="002C4C40" w:rsidRPr="007D00E3" w:rsidRDefault="002C4C40" w:rsidP="006D2185">
            <w:r>
              <w:t>On track</w:t>
            </w:r>
          </w:p>
        </w:tc>
        <w:tc>
          <w:tcPr>
            <w:tcW w:w="2148" w:type="dxa"/>
          </w:tcPr>
          <w:p w:rsidR="002C4C40" w:rsidRPr="007D00E3" w:rsidRDefault="002C4C40" w:rsidP="006D2185">
            <w:r w:rsidRPr="00373A8D">
              <w:fldChar w:fldCharType="begin">
                <w:ffData>
                  <w:name w:val=""/>
                  <w:enabled/>
                  <w:calcOnExit w:val="0"/>
                  <w:textInput>
                    <w:maxLength w:val="100"/>
                  </w:textInput>
                </w:ffData>
              </w:fldChar>
            </w:r>
            <w:r w:rsidRPr="00373A8D">
              <w:instrText xml:space="preserve"> FORMTEXT </w:instrText>
            </w:r>
            <w:r w:rsidRPr="00373A8D">
              <w:fldChar w:fldCharType="separate"/>
            </w:r>
            <w:r w:rsidRPr="00373A8D">
              <w:t> </w:t>
            </w:r>
            <w:r w:rsidRPr="00373A8D">
              <w:t> </w:t>
            </w:r>
            <w:r w:rsidRPr="00373A8D">
              <w:t> </w:t>
            </w:r>
            <w:r w:rsidRPr="00373A8D">
              <w:t> </w:t>
            </w:r>
            <w:r w:rsidRPr="00373A8D">
              <w:t> </w:t>
            </w:r>
            <w:r w:rsidRPr="00373A8D">
              <w:fldChar w:fldCharType="end"/>
            </w:r>
          </w:p>
        </w:tc>
        <w:tc>
          <w:tcPr>
            <w:tcW w:w="2078" w:type="dxa"/>
          </w:tcPr>
          <w:p w:rsidR="002C4C40" w:rsidRDefault="002C4C40" w:rsidP="006D2185">
            <w:r w:rsidRPr="00373A8D">
              <w:fldChar w:fldCharType="begin">
                <w:ffData>
                  <w:name w:val=""/>
                  <w:enabled/>
                  <w:calcOnExit w:val="0"/>
                  <w:textInput>
                    <w:maxLength w:val="100"/>
                  </w:textInput>
                </w:ffData>
              </w:fldChar>
            </w:r>
            <w:r w:rsidRPr="00373A8D">
              <w:instrText xml:space="preserve"> FORMTEXT </w:instrText>
            </w:r>
            <w:r w:rsidRPr="00373A8D">
              <w:fldChar w:fldCharType="separate"/>
            </w:r>
            <w:r w:rsidRPr="00373A8D">
              <w:t> </w:t>
            </w:r>
            <w:r w:rsidRPr="00373A8D">
              <w:t> </w:t>
            </w:r>
            <w:r w:rsidRPr="00373A8D">
              <w:t> </w:t>
            </w:r>
            <w:r w:rsidRPr="00373A8D">
              <w:t> </w:t>
            </w:r>
            <w:r w:rsidRPr="00373A8D">
              <w:t> </w:t>
            </w:r>
            <w:r w:rsidRPr="00373A8D">
              <w:fldChar w:fldCharType="end"/>
            </w:r>
          </w:p>
        </w:tc>
      </w:tr>
      <w:tr w:rsidR="002C4C40" w:rsidRPr="007D00E3" w:rsidTr="00460E76">
        <w:trPr>
          <w:trHeight w:val="458"/>
        </w:trPr>
        <w:tc>
          <w:tcPr>
            <w:tcW w:w="1971" w:type="dxa"/>
            <w:vMerge/>
          </w:tcPr>
          <w:p w:rsidR="002C4C40" w:rsidRPr="00CC0EED" w:rsidRDefault="002C4C40" w:rsidP="006D2185"/>
        </w:tc>
        <w:tc>
          <w:tcPr>
            <w:tcW w:w="2410" w:type="dxa"/>
            <w:shd w:val="clear" w:color="auto" w:fill="EEECE1"/>
          </w:tcPr>
          <w:p w:rsidR="002C4C40" w:rsidRPr="00373A8D" w:rsidRDefault="002C4C40" w:rsidP="006D2185">
            <w:r>
              <w:t>Indicator 3.2</w:t>
            </w:r>
          </w:p>
          <w:p w:rsidR="002C4C40" w:rsidRPr="00373A8D" w:rsidRDefault="002C4C40" w:rsidP="006D2185">
            <w:r w:rsidRPr="00373A8D">
              <w:t>% of recommendations from oversight organizations implemented</w:t>
            </w:r>
          </w:p>
        </w:tc>
        <w:tc>
          <w:tcPr>
            <w:tcW w:w="1559" w:type="dxa"/>
            <w:shd w:val="clear" w:color="auto" w:fill="EEECE1"/>
          </w:tcPr>
          <w:p w:rsidR="002C4C40" w:rsidRPr="00373A8D" w:rsidRDefault="002C4C40" w:rsidP="006D2185">
            <w:r w:rsidRPr="00373A8D">
              <w:t>Very low level of implementation</w:t>
            </w:r>
          </w:p>
        </w:tc>
        <w:tc>
          <w:tcPr>
            <w:tcW w:w="2410" w:type="dxa"/>
            <w:shd w:val="clear" w:color="auto" w:fill="EEECE1"/>
          </w:tcPr>
          <w:p w:rsidR="002C4C40" w:rsidRPr="00373A8D" w:rsidRDefault="002C4C40" w:rsidP="006D2185">
            <w:r w:rsidRPr="00373A8D">
              <w:t xml:space="preserve">50% implementation rate </w:t>
            </w:r>
          </w:p>
        </w:tc>
        <w:tc>
          <w:tcPr>
            <w:tcW w:w="2552" w:type="dxa"/>
          </w:tcPr>
          <w:p w:rsidR="002C4C40" w:rsidRDefault="002C4C40" w:rsidP="006D2185">
            <w:r>
              <w:t>On track</w:t>
            </w:r>
          </w:p>
          <w:p w:rsidR="00C93222" w:rsidRDefault="00C93222" w:rsidP="00C93222"/>
          <w:p w:rsidR="00C93222" w:rsidRPr="00C93222" w:rsidRDefault="00C93222" w:rsidP="00C93222">
            <w:r>
              <w:t xml:space="preserve">Principal agreements on launching a series of joint advocacy and public awareness activities aimed at increasing effectiveness of public oversight reached with the </w:t>
            </w:r>
            <w:r>
              <w:lastRenderedPageBreak/>
              <w:t>Kyrgyz defense lawyers' association, NGOs and civil sector</w:t>
            </w:r>
            <w:r w:rsidR="004410DC">
              <w:t xml:space="preserve">, </w:t>
            </w:r>
            <w:r w:rsidRPr="00C93222">
              <w:t xml:space="preserve">Ombudsman </w:t>
            </w:r>
            <w:r w:rsidR="004410DC">
              <w:t xml:space="preserve">and donor community </w:t>
            </w:r>
          </w:p>
          <w:p w:rsidR="00C93222" w:rsidRPr="007D00E3" w:rsidRDefault="00C93222" w:rsidP="006D2185"/>
        </w:tc>
        <w:tc>
          <w:tcPr>
            <w:tcW w:w="2148" w:type="dxa"/>
          </w:tcPr>
          <w:p w:rsidR="002C4C40" w:rsidRPr="007D00E3" w:rsidRDefault="002C4C40" w:rsidP="006D2185">
            <w:r w:rsidRPr="00373A8D">
              <w:lastRenderedPageBreak/>
              <w:fldChar w:fldCharType="begin">
                <w:ffData>
                  <w:name w:val=""/>
                  <w:enabled/>
                  <w:calcOnExit w:val="0"/>
                  <w:textInput>
                    <w:maxLength w:val="100"/>
                  </w:textInput>
                </w:ffData>
              </w:fldChar>
            </w:r>
            <w:r w:rsidRPr="00373A8D">
              <w:instrText xml:space="preserve"> FORMTEXT </w:instrText>
            </w:r>
            <w:r w:rsidRPr="00373A8D">
              <w:fldChar w:fldCharType="separate"/>
            </w:r>
            <w:r w:rsidRPr="00373A8D">
              <w:t> </w:t>
            </w:r>
            <w:r w:rsidRPr="00373A8D">
              <w:t> </w:t>
            </w:r>
            <w:r w:rsidRPr="00373A8D">
              <w:t> </w:t>
            </w:r>
            <w:r w:rsidRPr="00373A8D">
              <w:t> </w:t>
            </w:r>
            <w:r w:rsidRPr="00373A8D">
              <w:t> </w:t>
            </w:r>
            <w:r w:rsidRPr="00373A8D">
              <w:fldChar w:fldCharType="end"/>
            </w:r>
          </w:p>
        </w:tc>
        <w:tc>
          <w:tcPr>
            <w:tcW w:w="2078" w:type="dxa"/>
          </w:tcPr>
          <w:p w:rsidR="002C4C40" w:rsidRDefault="002C4C40" w:rsidP="006D2185">
            <w:r w:rsidRPr="00373A8D">
              <w:fldChar w:fldCharType="begin">
                <w:ffData>
                  <w:name w:val=""/>
                  <w:enabled/>
                  <w:calcOnExit w:val="0"/>
                  <w:textInput>
                    <w:maxLength w:val="100"/>
                  </w:textInput>
                </w:ffData>
              </w:fldChar>
            </w:r>
            <w:r w:rsidRPr="00373A8D">
              <w:instrText xml:space="preserve"> FORMTEXT </w:instrText>
            </w:r>
            <w:r w:rsidRPr="00373A8D">
              <w:fldChar w:fldCharType="separate"/>
            </w:r>
            <w:r w:rsidRPr="00373A8D">
              <w:t> </w:t>
            </w:r>
            <w:r w:rsidRPr="00373A8D">
              <w:t> </w:t>
            </w:r>
            <w:r w:rsidRPr="00373A8D">
              <w:t> </w:t>
            </w:r>
            <w:r w:rsidRPr="00373A8D">
              <w:t> </w:t>
            </w:r>
            <w:r w:rsidRPr="00373A8D">
              <w:t> </w:t>
            </w:r>
            <w:r w:rsidRPr="00373A8D">
              <w:fldChar w:fldCharType="end"/>
            </w:r>
          </w:p>
        </w:tc>
      </w:tr>
      <w:tr w:rsidR="002C4C40" w:rsidRPr="007D00E3" w:rsidTr="00460E76">
        <w:trPr>
          <w:trHeight w:val="458"/>
        </w:trPr>
        <w:tc>
          <w:tcPr>
            <w:tcW w:w="1971" w:type="dxa"/>
          </w:tcPr>
          <w:p w:rsidR="002C4C40" w:rsidRDefault="002C4C40" w:rsidP="006D2185">
            <w:r w:rsidRPr="00CC0EED">
              <w:lastRenderedPageBreak/>
              <w:t>Output 3.1</w:t>
            </w:r>
          </w:p>
          <w:p w:rsidR="002C4C40" w:rsidRPr="00CC0EED" w:rsidRDefault="002C4C40" w:rsidP="006D2185">
            <w:r w:rsidRPr="00966407">
              <w:t>Complaint mechanism established to increase police accountability</w:t>
            </w:r>
          </w:p>
        </w:tc>
        <w:tc>
          <w:tcPr>
            <w:tcW w:w="2410" w:type="dxa"/>
            <w:shd w:val="clear" w:color="auto" w:fill="EEECE1"/>
          </w:tcPr>
          <w:p w:rsidR="002C4C40" w:rsidRPr="00F41BC2" w:rsidRDefault="002C4C40" w:rsidP="006D2185">
            <w:r>
              <w:t>Indicator 3.1</w:t>
            </w:r>
          </w:p>
          <w:p w:rsidR="002C4C40" w:rsidRPr="00F41BC2" w:rsidRDefault="002C4C40" w:rsidP="006D2185">
            <w:r w:rsidRPr="00966407">
              <w:t xml:space="preserve">Standard Operating Procedures approved by the </w:t>
            </w:r>
            <w:proofErr w:type="spellStart"/>
            <w:r w:rsidRPr="00966407">
              <w:t>MoI</w:t>
            </w:r>
            <w:proofErr w:type="spellEnd"/>
            <w:r w:rsidRPr="00966407">
              <w:t xml:space="preserve"> and piloted in priority districts; No. of designated reception areas created</w:t>
            </w:r>
          </w:p>
        </w:tc>
        <w:tc>
          <w:tcPr>
            <w:tcW w:w="1559" w:type="dxa"/>
            <w:shd w:val="clear" w:color="auto" w:fill="EEECE1"/>
          </w:tcPr>
          <w:p w:rsidR="002C4C40" w:rsidRDefault="002C4C40" w:rsidP="006D2185">
            <w:r>
              <w:t>0</w:t>
            </w:r>
          </w:p>
        </w:tc>
        <w:tc>
          <w:tcPr>
            <w:tcW w:w="2410" w:type="dxa"/>
            <w:shd w:val="clear" w:color="auto" w:fill="EEECE1"/>
          </w:tcPr>
          <w:p w:rsidR="002C4C40" w:rsidRDefault="002C4C40" w:rsidP="006D2185">
            <w:r>
              <w:t>14</w:t>
            </w:r>
          </w:p>
        </w:tc>
        <w:tc>
          <w:tcPr>
            <w:tcW w:w="2552" w:type="dxa"/>
          </w:tcPr>
          <w:p w:rsidR="002C4C40" w:rsidRPr="007D00E3" w:rsidRDefault="002C4C40" w:rsidP="006D2185">
            <w:r>
              <w:t xml:space="preserve">Development of the KR </w:t>
            </w:r>
            <w:proofErr w:type="spellStart"/>
            <w:r>
              <w:t>MoI</w:t>
            </w:r>
            <w:proofErr w:type="spellEnd"/>
            <w:r>
              <w:t xml:space="preserve"> unified e-accounting system (1) on disciplinary and other measures against police officers who violate the law and internal rules of conduct launched (to be completed by fall 2014)</w:t>
            </w:r>
          </w:p>
        </w:tc>
        <w:tc>
          <w:tcPr>
            <w:tcW w:w="2148" w:type="dxa"/>
          </w:tcPr>
          <w:p w:rsidR="002C4C40" w:rsidRPr="007D00E3"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c>
          <w:tcPr>
            <w:tcW w:w="2078" w:type="dxa"/>
          </w:tcPr>
          <w:p w:rsidR="002C4C40" w:rsidRDefault="002C4C40" w:rsidP="006D2185">
            <w:r w:rsidRPr="00F41BC2">
              <w:fldChar w:fldCharType="begin">
                <w:ffData>
                  <w:name w:val=""/>
                  <w:enabled/>
                  <w:calcOnExit w:val="0"/>
                  <w:textInput>
                    <w:maxLength w:val="100"/>
                  </w:textInput>
                </w:ffData>
              </w:fldChar>
            </w:r>
            <w:r w:rsidRPr="00F41BC2">
              <w:instrText xml:space="preserve"> FORMTEXT </w:instrText>
            </w:r>
            <w:r w:rsidRPr="00F41BC2">
              <w:fldChar w:fldCharType="separate"/>
            </w:r>
            <w:r w:rsidRPr="00F41BC2">
              <w:t> </w:t>
            </w:r>
            <w:r w:rsidRPr="00F41BC2">
              <w:t> </w:t>
            </w:r>
            <w:r w:rsidRPr="00F41BC2">
              <w:t> </w:t>
            </w:r>
            <w:r w:rsidRPr="00F41BC2">
              <w:t> </w:t>
            </w:r>
            <w:r w:rsidRPr="00F41BC2">
              <w:t> </w:t>
            </w:r>
            <w:r w:rsidRPr="00F41BC2">
              <w:fldChar w:fldCharType="end"/>
            </w:r>
          </w:p>
        </w:tc>
      </w:tr>
      <w:tr w:rsidR="002C4C40" w:rsidRPr="007D00E3" w:rsidTr="00460E76">
        <w:trPr>
          <w:trHeight w:val="458"/>
        </w:trPr>
        <w:tc>
          <w:tcPr>
            <w:tcW w:w="1971" w:type="dxa"/>
          </w:tcPr>
          <w:p w:rsidR="002C4C40" w:rsidRDefault="002C4C40" w:rsidP="006D2185">
            <w:r w:rsidRPr="00CC0EED">
              <w:t>Output 3.2</w:t>
            </w:r>
          </w:p>
          <w:p w:rsidR="002C4C40" w:rsidRPr="00CC0EED" w:rsidRDefault="002C4C40" w:rsidP="006D2185">
            <w:r w:rsidRPr="00966407">
              <w:t>Independent monitoring of police performance strengthened</w:t>
            </w:r>
          </w:p>
        </w:tc>
        <w:tc>
          <w:tcPr>
            <w:tcW w:w="2410" w:type="dxa"/>
            <w:shd w:val="clear" w:color="auto" w:fill="EEECE1"/>
          </w:tcPr>
          <w:p w:rsidR="002C4C40" w:rsidRPr="00966407" w:rsidRDefault="002C4C40" w:rsidP="006D2185">
            <w:r>
              <w:t>Indicator 3.2</w:t>
            </w:r>
          </w:p>
          <w:p w:rsidR="002C4C40" w:rsidRPr="00966407" w:rsidRDefault="002C4C40" w:rsidP="006D2185">
            <w:r w:rsidRPr="00966407">
              <w:t>No of reports on police performance published</w:t>
            </w:r>
          </w:p>
        </w:tc>
        <w:tc>
          <w:tcPr>
            <w:tcW w:w="1559" w:type="dxa"/>
            <w:shd w:val="clear" w:color="auto" w:fill="EEECE1"/>
          </w:tcPr>
          <w:p w:rsidR="002C4C40" w:rsidRPr="00966407" w:rsidRDefault="002C4C40" w:rsidP="006D2185">
            <w:r w:rsidRPr="00966407">
              <w:t xml:space="preserve">At least 1 report per year on police detention </w:t>
            </w:r>
          </w:p>
        </w:tc>
        <w:tc>
          <w:tcPr>
            <w:tcW w:w="2410" w:type="dxa"/>
            <w:shd w:val="clear" w:color="auto" w:fill="EEECE1"/>
          </w:tcPr>
          <w:p w:rsidR="002C4C40" w:rsidRPr="00966407" w:rsidRDefault="002C4C40" w:rsidP="006D2185">
            <w:proofErr w:type="gramStart"/>
            <w:r w:rsidRPr="00966407">
              <w:t>at</w:t>
            </w:r>
            <w:proofErr w:type="gramEnd"/>
            <w:r w:rsidRPr="00966407">
              <w:t xml:space="preserve"> least 2 thematic reports on police performance (system of complaints, gender sensitivity, interaction with the public, access to lawyers, etc.)</w:t>
            </w:r>
          </w:p>
        </w:tc>
        <w:tc>
          <w:tcPr>
            <w:tcW w:w="2552" w:type="dxa"/>
          </w:tcPr>
          <w:p w:rsidR="002C4C40" w:rsidRPr="007D00E3" w:rsidRDefault="002C4C40" w:rsidP="006D2185">
            <w:r>
              <w:t>On track</w:t>
            </w:r>
          </w:p>
        </w:tc>
        <w:tc>
          <w:tcPr>
            <w:tcW w:w="2148" w:type="dxa"/>
          </w:tcPr>
          <w:p w:rsidR="002C4C40" w:rsidRPr="007D00E3" w:rsidRDefault="002C4C40" w:rsidP="006D2185">
            <w:r w:rsidRPr="00966407">
              <w:fldChar w:fldCharType="begin">
                <w:ffData>
                  <w:name w:val=""/>
                  <w:enabled/>
                  <w:calcOnExit w:val="0"/>
                  <w:textInput>
                    <w:maxLength w:val="100"/>
                  </w:textInput>
                </w:ffData>
              </w:fldChar>
            </w:r>
            <w:r w:rsidRPr="00966407">
              <w:instrText xml:space="preserve"> FORMTEXT </w:instrText>
            </w:r>
            <w:r w:rsidRPr="00966407">
              <w:fldChar w:fldCharType="separate"/>
            </w:r>
            <w:r w:rsidRPr="00966407">
              <w:t> </w:t>
            </w:r>
            <w:r w:rsidRPr="00966407">
              <w:t> </w:t>
            </w:r>
            <w:r w:rsidRPr="00966407">
              <w:t> </w:t>
            </w:r>
            <w:r w:rsidRPr="00966407">
              <w:t> </w:t>
            </w:r>
            <w:r w:rsidRPr="00966407">
              <w:t> </w:t>
            </w:r>
            <w:r w:rsidRPr="00966407">
              <w:fldChar w:fldCharType="end"/>
            </w:r>
          </w:p>
        </w:tc>
        <w:tc>
          <w:tcPr>
            <w:tcW w:w="2078" w:type="dxa"/>
          </w:tcPr>
          <w:p w:rsidR="002C4C40" w:rsidRDefault="002C4C40" w:rsidP="006D2185">
            <w:r w:rsidRPr="00966407">
              <w:fldChar w:fldCharType="begin">
                <w:ffData>
                  <w:name w:val=""/>
                  <w:enabled/>
                  <w:calcOnExit w:val="0"/>
                  <w:textInput>
                    <w:maxLength w:val="100"/>
                  </w:textInput>
                </w:ffData>
              </w:fldChar>
            </w:r>
            <w:r w:rsidRPr="00966407">
              <w:instrText xml:space="preserve"> FORMTEXT </w:instrText>
            </w:r>
            <w:r w:rsidRPr="00966407">
              <w:fldChar w:fldCharType="separate"/>
            </w:r>
            <w:r w:rsidRPr="00966407">
              <w:t> </w:t>
            </w:r>
            <w:r w:rsidRPr="00966407">
              <w:t> </w:t>
            </w:r>
            <w:r w:rsidRPr="00966407">
              <w:t> </w:t>
            </w:r>
            <w:r w:rsidRPr="00966407">
              <w:t> </w:t>
            </w:r>
            <w:r w:rsidRPr="00966407">
              <w:t> </w:t>
            </w:r>
            <w:r w:rsidRPr="00966407">
              <w:fldChar w:fldCharType="end"/>
            </w:r>
          </w:p>
        </w:tc>
      </w:tr>
    </w:tbl>
    <w:p w:rsidR="002C4C40" w:rsidRPr="002C4C40" w:rsidRDefault="002C4C40" w:rsidP="002C4C40"/>
    <w:p w:rsidR="002C4C40" w:rsidRPr="002C4C40" w:rsidRDefault="002C4C40" w:rsidP="002C4C40"/>
    <w:p w:rsidR="002C4C40" w:rsidRPr="00EE1BD1" w:rsidRDefault="002C4C40" w:rsidP="00A10B86">
      <w:pPr>
        <w:pStyle w:val="BodyText"/>
        <w:jc w:val="both"/>
        <w:rPr>
          <w:bCs/>
        </w:rPr>
      </w:pPr>
    </w:p>
    <w:p w:rsidR="00132065" w:rsidRDefault="00132065" w:rsidP="001D7143">
      <w:pPr>
        <w:outlineLvl w:val="0"/>
        <w:rPr>
          <w:rFonts w:cs="Times New Roman"/>
          <w:sz w:val="22"/>
          <w:szCs w:val="22"/>
        </w:rPr>
      </w:pPr>
    </w:p>
    <w:sectPr w:rsidR="00132065" w:rsidSect="00D45676">
      <w:pgSz w:w="15840" w:h="12240" w:orient="landscape"/>
      <w:pgMar w:top="1800" w:right="567" w:bottom="1800" w:left="567"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D4E" w:rsidRDefault="00813D4E">
      <w:r>
        <w:separator/>
      </w:r>
    </w:p>
  </w:endnote>
  <w:endnote w:type="continuationSeparator" w:id="0">
    <w:p w:rsidR="00813D4E" w:rsidRDefault="0081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40" w:rsidRDefault="00244540"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44540" w:rsidRDefault="00244540" w:rsidP="00A540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40" w:rsidRDefault="00244540" w:rsidP="00A540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43AC">
      <w:rPr>
        <w:rStyle w:val="PageNumber"/>
        <w:noProof/>
      </w:rPr>
      <w:t>1</w:t>
    </w:r>
    <w:r>
      <w:rPr>
        <w:rStyle w:val="PageNumber"/>
      </w:rPr>
      <w:fldChar w:fldCharType="end"/>
    </w:r>
  </w:p>
  <w:p w:rsidR="00244540" w:rsidRDefault="00244540" w:rsidP="00A5405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D4E" w:rsidRDefault="00813D4E">
      <w:r>
        <w:separator/>
      </w:r>
    </w:p>
  </w:footnote>
  <w:footnote w:type="continuationSeparator" w:id="0">
    <w:p w:rsidR="00813D4E" w:rsidRDefault="00813D4E">
      <w:r>
        <w:continuationSeparator/>
      </w:r>
    </w:p>
  </w:footnote>
  <w:footnote w:id="1">
    <w:p w:rsidR="00244540" w:rsidRPr="00CC0EED" w:rsidRDefault="00244540">
      <w:pPr>
        <w:pStyle w:val="FootnoteText"/>
        <w:rPr>
          <w:sz w:val="16"/>
          <w:szCs w:val="16"/>
        </w:rPr>
      </w:pPr>
      <w:r w:rsidRPr="00CC0EED">
        <w:rPr>
          <w:rStyle w:val="FootnoteReference"/>
          <w:sz w:val="16"/>
          <w:szCs w:val="16"/>
        </w:rPr>
        <w:footnoteRef/>
      </w:r>
      <w:r w:rsidRPr="00CC0EED">
        <w:rPr>
          <w:sz w:val="16"/>
          <w:szCs w:val="16"/>
        </w:rPr>
        <w:t xml:space="preserve"> Please note that where there are multiple agencies, only one consolidated project report should be submitted. </w:t>
      </w:r>
    </w:p>
  </w:footnote>
  <w:footnote w:id="2">
    <w:p w:rsidR="00244540" w:rsidRPr="00CC0EED" w:rsidRDefault="00244540">
      <w:pPr>
        <w:pStyle w:val="FootnoteText"/>
        <w:rPr>
          <w:sz w:val="16"/>
          <w:szCs w:val="16"/>
        </w:rPr>
      </w:pPr>
      <w:r w:rsidRPr="00CC0EED">
        <w:rPr>
          <w:rStyle w:val="FootnoteReference"/>
          <w:sz w:val="16"/>
          <w:szCs w:val="16"/>
        </w:rPr>
        <w:footnoteRef/>
      </w:r>
      <w:r w:rsidRPr="00CC0EED">
        <w:rPr>
          <w:sz w:val="16"/>
          <w:szCs w:val="16"/>
        </w:rPr>
        <w:t xml:space="preserve"> Approved budget is the amount transferred to Recipient Organisations. </w:t>
      </w:r>
    </w:p>
  </w:footnote>
  <w:footnote w:id="3">
    <w:p w:rsidR="00244540" w:rsidRPr="00CC0EED" w:rsidRDefault="00244540" w:rsidP="006C1B11">
      <w:pPr>
        <w:jc w:val="both"/>
        <w:outlineLvl w:val="0"/>
        <w:rPr>
          <w:rFonts w:ascii="Arial" w:hAnsi="Arial" w:cs="Arial"/>
          <w:sz w:val="16"/>
          <w:szCs w:val="16"/>
        </w:rPr>
      </w:pPr>
      <w:r w:rsidRPr="00CC0EED">
        <w:rPr>
          <w:rStyle w:val="FootnoteReference"/>
          <w:sz w:val="16"/>
          <w:szCs w:val="16"/>
        </w:rPr>
        <w:footnoteRef/>
      </w:r>
      <w:r w:rsidRPr="00CC0EED">
        <w:rPr>
          <w:sz w:val="16"/>
          <w:szCs w:val="16"/>
        </w:rPr>
        <w:t xml:space="preserve"> Funds committed are defined as the commitments made through legal contracts for services and works according to the financial regulations and procedures of the Recipient Organisations. </w:t>
      </w:r>
      <w:r>
        <w:rPr>
          <w:sz w:val="16"/>
          <w:szCs w:val="16"/>
        </w:rPr>
        <w:t>Provide preliminary data only.</w:t>
      </w:r>
      <w:r w:rsidRPr="00CC0EED">
        <w:rPr>
          <w:sz w:val="16"/>
          <w:szCs w:val="16"/>
        </w:rPr>
        <w:t xml:space="preserve"> </w:t>
      </w:r>
    </w:p>
    <w:p w:rsidR="00244540" w:rsidRPr="00CC0EED" w:rsidRDefault="00244540" w:rsidP="006C1B11">
      <w:pPr>
        <w:jc w:val="both"/>
        <w:outlineLvl w:val="0"/>
        <w:rPr>
          <w:sz w:val="16"/>
          <w:szCs w:val="16"/>
        </w:rPr>
      </w:pPr>
      <w:r>
        <w:rPr>
          <w:rStyle w:val="FootnoteReference"/>
          <w:sz w:val="16"/>
          <w:szCs w:val="16"/>
        </w:rPr>
        <w:t>4</w:t>
      </w:r>
      <w:r w:rsidRPr="00CC0EED">
        <w:rPr>
          <w:sz w:val="16"/>
          <w:szCs w:val="16"/>
        </w:rPr>
        <w:t xml:space="preserve"> Actual payments (contracts, services, works) made on commitments.  </w:t>
      </w:r>
    </w:p>
    <w:p w:rsidR="00244540" w:rsidRPr="00CC0EED" w:rsidRDefault="00244540" w:rsidP="00F05D7B">
      <w:pPr>
        <w:pStyle w:val="FootnoteText"/>
        <w:rPr>
          <w:sz w:val="16"/>
          <w:szCs w:val="16"/>
        </w:rPr>
      </w:pPr>
      <w:r w:rsidRPr="00CC0EED">
        <w:rPr>
          <w:sz w:val="16"/>
          <w:szCs w:val="16"/>
          <w:lang w:val="en-US"/>
        </w:rPr>
        <w:t xml:space="preserve">5 </w:t>
      </w:r>
      <w:r w:rsidRPr="00CC0EED">
        <w:rPr>
          <w:sz w:val="16"/>
          <w:szCs w:val="16"/>
        </w:rPr>
        <w:t>PBF focus areas are:</w:t>
      </w:r>
    </w:p>
    <w:p w:rsidR="00244540" w:rsidRPr="00CC0EED" w:rsidRDefault="00244540" w:rsidP="00F05D7B">
      <w:pPr>
        <w:pStyle w:val="FootnoteText"/>
        <w:rPr>
          <w:sz w:val="16"/>
          <w:szCs w:val="16"/>
        </w:rPr>
      </w:pPr>
      <w:r w:rsidRPr="00CC0EED">
        <w:rPr>
          <w:i/>
          <w:sz w:val="16"/>
          <w:szCs w:val="16"/>
        </w:rPr>
        <w:t>1: Support the implementation of peace agreements and political dialogue (Priority Area 1)</w:t>
      </w:r>
      <w:r w:rsidRPr="00CC0EED">
        <w:rPr>
          <w:sz w:val="16"/>
          <w:szCs w:val="16"/>
        </w:rPr>
        <w:t xml:space="preserve">: </w:t>
      </w:r>
    </w:p>
    <w:p w:rsidR="00244540" w:rsidRPr="00CC0EED" w:rsidRDefault="00244540" w:rsidP="00F05D7B">
      <w:pPr>
        <w:pStyle w:val="FootnoteText"/>
        <w:rPr>
          <w:sz w:val="16"/>
          <w:szCs w:val="16"/>
        </w:rPr>
      </w:pPr>
      <w:r w:rsidRPr="00CC0EED">
        <w:rPr>
          <w:sz w:val="16"/>
          <w:szCs w:val="16"/>
        </w:rPr>
        <w:t xml:space="preserve">(1.1) </w:t>
      </w:r>
      <w:r w:rsidRPr="00CC0EED">
        <w:rPr>
          <w:bCs/>
          <w:sz w:val="16"/>
          <w:szCs w:val="16"/>
        </w:rPr>
        <w:t xml:space="preserve">SSR, </w:t>
      </w:r>
      <w:r w:rsidRPr="00CC0EED">
        <w:rPr>
          <w:sz w:val="16"/>
          <w:szCs w:val="16"/>
        </w:rPr>
        <w:t xml:space="preserve"> (1.2)</w:t>
      </w:r>
      <w:r w:rsidRPr="00CC0EED">
        <w:rPr>
          <w:bCs/>
          <w:sz w:val="16"/>
          <w:szCs w:val="16"/>
        </w:rPr>
        <w:t xml:space="preserve"> RoL</w:t>
      </w:r>
      <w:r w:rsidRPr="00CC0EED">
        <w:rPr>
          <w:sz w:val="16"/>
          <w:szCs w:val="16"/>
        </w:rPr>
        <w:t xml:space="preserve">; (1.3) DDR; (1.4) Political Dialogue; </w:t>
      </w:r>
    </w:p>
    <w:p w:rsidR="00244540" w:rsidRPr="00CC0EED" w:rsidRDefault="00244540" w:rsidP="00F05D7B">
      <w:pPr>
        <w:pStyle w:val="FootnoteText"/>
        <w:rPr>
          <w:sz w:val="16"/>
          <w:szCs w:val="16"/>
        </w:rPr>
      </w:pPr>
      <w:r w:rsidRPr="00CC0EED">
        <w:rPr>
          <w:i/>
          <w:sz w:val="16"/>
          <w:szCs w:val="16"/>
        </w:rPr>
        <w:t>2: Promote coexistence and peaceful resolution of conflicts (Priority Area 2)</w:t>
      </w:r>
      <w:r w:rsidRPr="00CC0EED">
        <w:rPr>
          <w:sz w:val="16"/>
          <w:szCs w:val="16"/>
        </w:rPr>
        <w:t xml:space="preserve">: </w:t>
      </w:r>
    </w:p>
    <w:p w:rsidR="00244540" w:rsidRPr="00CC0EED" w:rsidRDefault="00244540" w:rsidP="00F05D7B">
      <w:pPr>
        <w:pStyle w:val="FootnoteText"/>
        <w:rPr>
          <w:sz w:val="16"/>
          <w:szCs w:val="16"/>
        </w:rPr>
      </w:pPr>
      <w:r w:rsidRPr="00CC0EED">
        <w:rPr>
          <w:sz w:val="16"/>
          <w:szCs w:val="16"/>
        </w:rPr>
        <w:t xml:space="preserve">(2.1) National reconciliation; (2.1) Democratic Governance; (2.3) Management of natural resources; </w:t>
      </w:r>
    </w:p>
    <w:p w:rsidR="00244540" w:rsidRPr="00CC0EED" w:rsidRDefault="00244540" w:rsidP="00F05D7B">
      <w:pPr>
        <w:pStyle w:val="FootnoteText"/>
        <w:rPr>
          <w:sz w:val="16"/>
          <w:szCs w:val="16"/>
        </w:rPr>
      </w:pPr>
      <w:r w:rsidRPr="00CC0EED">
        <w:rPr>
          <w:i/>
          <w:sz w:val="16"/>
          <w:szCs w:val="16"/>
        </w:rPr>
        <w:t>3:</w:t>
      </w:r>
      <w:r w:rsidRPr="00CC0EED">
        <w:rPr>
          <w:bCs/>
          <w:i/>
          <w:sz w:val="16"/>
          <w:szCs w:val="16"/>
        </w:rPr>
        <w:t>Revitalise the economy and generate immediate peace dividends (Priority Area 3)</w:t>
      </w:r>
      <w:r w:rsidRPr="00CC0EED">
        <w:rPr>
          <w:sz w:val="16"/>
          <w:szCs w:val="16"/>
        </w:rPr>
        <w:t xml:space="preserve">; </w:t>
      </w:r>
    </w:p>
    <w:p w:rsidR="00244540" w:rsidRPr="00CC0EED" w:rsidRDefault="00244540" w:rsidP="00F05D7B">
      <w:pPr>
        <w:pStyle w:val="FootnoteText"/>
        <w:rPr>
          <w:sz w:val="16"/>
          <w:szCs w:val="16"/>
        </w:rPr>
      </w:pPr>
      <w:r w:rsidRPr="00CC0EED">
        <w:rPr>
          <w:sz w:val="16"/>
          <w:szCs w:val="16"/>
        </w:rPr>
        <w:t>(3.1) Short-term employment generation; (3.2) Sustainable livelihoods</w:t>
      </w:r>
    </w:p>
    <w:p w:rsidR="00244540" w:rsidRPr="00CC0EED" w:rsidRDefault="00244540" w:rsidP="00F05D7B">
      <w:pPr>
        <w:pStyle w:val="FootnoteText"/>
        <w:rPr>
          <w:bCs/>
          <w:i/>
          <w:sz w:val="16"/>
          <w:szCs w:val="16"/>
        </w:rPr>
      </w:pPr>
      <w:r w:rsidRPr="00CC0EED">
        <w:rPr>
          <w:i/>
          <w:sz w:val="16"/>
          <w:szCs w:val="16"/>
        </w:rPr>
        <w:t>4)</w:t>
      </w:r>
      <w:r w:rsidRPr="00CC0EED">
        <w:rPr>
          <w:bCs/>
          <w:i/>
          <w:sz w:val="16"/>
          <w:szCs w:val="16"/>
        </w:rPr>
        <w:t xml:space="preserve"> (Re)-establish essential administrative services (Priority Area 4)</w:t>
      </w:r>
    </w:p>
    <w:p w:rsidR="00244540" w:rsidRPr="00CC0EED" w:rsidRDefault="00244540" w:rsidP="00F05D7B">
      <w:pPr>
        <w:pStyle w:val="FootnoteText"/>
        <w:rPr>
          <w:sz w:val="16"/>
          <w:szCs w:val="16"/>
        </w:rPr>
      </w:pPr>
      <w:r w:rsidRPr="00CC0EED">
        <w:rPr>
          <w:bCs/>
          <w:sz w:val="16"/>
          <w:szCs w:val="16"/>
        </w:rPr>
        <w:t>(4.1) Public administration; (4.2) Public service delivery (including infrastructure)</w:t>
      </w:r>
      <w:r w:rsidRPr="00CC0EED">
        <w:rPr>
          <w:sz w:val="16"/>
          <w:szCs w:val="16"/>
        </w:rPr>
        <w:t>.</w:t>
      </w:r>
    </w:p>
    <w:p w:rsidR="00244540" w:rsidRPr="00132065" w:rsidRDefault="00244540" w:rsidP="00CC0EED">
      <w:pPr>
        <w:pStyle w:val="FootnoteText"/>
      </w:pPr>
    </w:p>
  </w:footnote>
  <w:footnote w:id="4">
    <w:p w:rsidR="00244540" w:rsidRPr="00132065" w:rsidRDefault="00244540" w:rsidP="006C1B11">
      <w:pPr>
        <w:pStyle w:val="FootnoteText"/>
        <w:rPr>
          <w:lang w:val="en-US"/>
        </w:rPr>
      </w:pPr>
    </w:p>
  </w:footnote>
  <w:footnote w:id="5">
    <w:p w:rsidR="00244540" w:rsidRPr="00190A73" w:rsidRDefault="00244540">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5E8FD2"/>
    <w:lvl w:ilvl="0">
      <w:numFmt w:val="decimal"/>
      <w:lvlText w:val="*"/>
      <w:lvlJc w:val="left"/>
    </w:lvl>
  </w:abstractNum>
  <w:abstractNum w:abstractNumId="1">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457CE"/>
    <w:multiLevelType w:val="hybridMultilevel"/>
    <w:tmpl w:val="6EA66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0F43B8B"/>
    <w:multiLevelType w:val="hybridMultilevel"/>
    <w:tmpl w:val="7478878C"/>
    <w:lvl w:ilvl="0" w:tplc="8A7066D4">
      <w:start w:val="12"/>
      <w:numFmt w:val="bullet"/>
      <w:lvlText w:val=""/>
      <w:lvlJc w:val="left"/>
      <w:pPr>
        <w:ind w:left="720" w:hanging="360"/>
      </w:pPr>
      <w:rPr>
        <w:rFonts w:ascii="Symbol" w:eastAsia="Calibr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AA3770"/>
    <w:multiLevelType w:val="hybridMultilevel"/>
    <w:tmpl w:val="C1C068B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1"/>
  </w:num>
  <w:num w:numId="6">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7">
    <w:abstractNumId w:val="10"/>
  </w:num>
  <w:num w:numId="8">
    <w:abstractNumId w:val="5"/>
  </w:num>
  <w:num w:numId="9">
    <w:abstractNumId w:val="2"/>
  </w:num>
  <w:num w:numId="10">
    <w:abstractNumId w:val="8"/>
  </w:num>
  <w:num w:numId="11">
    <w:abstractNumId w:val="11"/>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ANNieyp1d+5hi/rkkFZwSPAgIg=" w:salt="jMtwp2szs8iKX31n+ylmt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5C"/>
    <w:rsid w:val="0000020D"/>
    <w:rsid w:val="0000541A"/>
    <w:rsid w:val="00012AC4"/>
    <w:rsid w:val="00013482"/>
    <w:rsid w:val="00013ABE"/>
    <w:rsid w:val="00021D13"/>
    <w:rsid w:val="00030833"/>
    <w:rsid w:val="000329B3"/>
    <w:rsid w:val="00042300"/>
    <w:rsid w:val="000427F4"/>
    <w:rsid w:val="000435E1"/>
    <w:rsid w:val="00044965"/>
    <w:rsid w:val="00056D4E"/>
    <w:rsid w:val="00091C14"/>
    <w:rsid w:val="00092840"/>
    <w:rsid w:val="00096385"/>
    <w:rsid w:val="000A26AD"/>
    <w:rsid w:val="000B45E6"/>
    <w:rsid w:val="000D4837"/>
    <w:rsid w:val="000D7682"/>
    <w:rsid w:val="000E0EC7"/>
    <w:rsid w:val="000E6C55"/>
    <w:rsid w:val="000F1A92"/>
    <w:rsid w:val="001029BC"/>
    <w:rsid w:val="00103AEF"/>
    <w:rsid w:val="00110C5D"/>
    <w:rsid w:val="00116A91"/>
    <w:rsid w:val="00123B4F"/>
    <w:rsid w:val="00130144"/>
    <w:rsid w:val="00132065"/>
    <w:rsid w:val="00137EB9"/>
    <w:rsid w:val="00143D1B"/>
    <w:rsid w:val="00144A01"/>
    <w:rsid w:val="001512C4"/>
    <w:rsid w:val="00173ECA"/>
    <w:rsid w:val="00174E6B"/>
    <w:rsid w:val="001771A9"/>
    <w:rsid w:val="00190A73"/>
    <w:rsid w:val="00191AD3"/>
    <w:rsid w:val="0019708A"/>
    <w:rsid w:val="001972FE"/>
    <w:rsid w:val="001A0610"/>
    <w:rsid w:val="001A11EE"/>
    <w:rsid w:val="001A2A5D"/>
    <w:rsid w:val="001B04AD"/>
    <w:rsid w:val="001B5A17"/>
    <w:rsid w:val="001C61B0"/>
    <w:rsid w:val="001C7060"/>
    <w:rsid w:val="001D6150"/>
    <w:rsid w:val="001D61DA"/>
    <w:rsid w:val="001D7143"/>
    <w:rsid w:val="001E2EB3"/>
    <w:rsid w:val="001E3396"/>
    <w:rsid w:val="001E75AB"/>
    <w:rsid w:val="001F1904"/>
    <w:rsid w:val="001F453B"/>
    <w:rsid w:val="001F762C"/>
    <w:rsid w:val="00203EC6"/>
    <w:rsid w:val="00210D22"/>
    <w:rsid w:val="002376E6"/>
    <w:rsid w:val="00241631"/>
    <w:rsid w:val="00244540"/>
    <w:rsid w:val="0025112D"/>
    <w:rsid w:val="002519F5"/>
    <w:rsid w:val="00264E6C"/>
    <w:rsid w:val="00293F4B"/>
    <w:rsid w:val="00295766"/>
    <w:rsid w:val="00297B76"/>
    <w:rsid w:val="002A2DF4"/>
    <w:rsid w:val="002A7578"/>
    <w:rsid w:val="002C09FC"/>
    <w:rsid w:val="002C31F6"/>
    <w:rsid w:val="002C37C8"/>
    <w:rsid w:val="002C4C40"/>
    <w:rsid w:val="002C5F9B"/>
    <w:rsid w:val="002D29E1"/>
    <w:rsid w:val="002D53B1"/>
    <w:rsid w:val="002D6A0E"/>
    <w:rsid w:val="002D727B"/>
    <w:rsid w:val="002D7C74"/>
    <w:rsid w:val="002E1C80"/>
    <w:rsid w:val="002E208C"/>
    <w:rsid w:val="002E686E"/>
    <w:rsid w:val="002F43AC"/>
    <w:rsid w:val="003005BA"/>
    <w:rsid w:val="00335D95"/>
    <w:rsid w:val="00340D86"/>
    <w:rsid w:val="003471AD"/>
    <w:rsid w:val="00352BD5"/>
    <w:rsid w:val="00363DA8"/>
    <w:rsid w:val="00374586"/>
    <w:rsid w:val="003757A8"/>
    <w:rsid w:val="00382635"/>
    <w:rsid w:val="00385014"/>
    <w:rsid w:val="00392194"/>
    <w:rsid w:val="003961FA"/>
    <w:rsid w:val="003A25E2"/>
    <w:rsid w:val="003A34FD"/>
    <w:rsid w:val="003A5D48"/>
    <w:rsid w:val="003B5F94"/>
    <w:rsid w:val="003C1095"/>
    <w:rsid w:val="003C2AB0"/>
    <w:rsid w:val="003F0ED1"/>
    <w:rsid w:val="0040243B"/>
    <w:rsid w:val="00404B54"/>
    <w:rsid w:val="004075A7"/>
    <w:rsid w:val="004136E2"/>
    <w:rsid w:val="0042476D"/>
    <w:rsid w:val="0043302C"/>
    <w:rsid w:val="004359CD"/>
    <w:rsid w:val="00436939"/>
    <w:rsid w:val="004400F5"/>
    <w:rsid w:val="004405F5"/>
    <w:rsid w:val="004410DC"/>
    <w:rsid w:val="00442896"/>
    <w:rsid w:val="00460E76"/>
    <w:rsid w:val="004617D3"/>
    <w:rsid w:val="004678C1"/>
    <w:rsid w:val="00482E50"/>
    <w:rsid w:val="00495391"/>
    <w:rsid w:val="004B4B20"/>
    <w:rsid w:val="004C0D69"/>
    <w:rsid w:val="004C653B"/>
    <w:rsid w:val="004D5527"/>
    <w:rsid w:val="004D7D52"/>
    <w:rsid w:val="004E38CF"/>
    <w:rsid w:val="004E6410"/>
    <w:rsid w:val="004F1173"/>
    <w:rsid w:val="004F5AF6"/>
    <w:rsid w:val="004F7216"/>
    <w:rsid w:val="00510044"/>
    <w:rsid w:val="005146A6"/>
    <w:rsid w:val="005203FC"/>
    <w:rsid w:val="00521DFA"/>
    <w:rsid w:val="00536D57"/>
    <w:rsid w:val="00544B11"/>
    <w:rsid w:val="00570021"/>
    <w:rsid w:val="00575A6B"/>
    <w:rsid w:val="005825A1"/>
    <w:rsid w:val="00592C2F"/>
    <w:rsid w:val="00595964"/>
    <w:rsid w:val="005A52B3"/>
    <w:rsid w:val="005A6802"/>
    <w:rsid w:val="005C114F"/>
    <w:rsid w:val="005D3179"/>
    <w:rsid w:val="005D4986"/>
    <w:rsid w:val="005E0931"/>
    <w:rsid w:val="005E2170"/>
    <w:rsid w:val="005E7E27"/>
    <w:rsid w:val="005F044B"/>
    <w:rsid w:val="00600450"/>
    <w:rsid w:val="006154D2"/>
    <w:rsid w:val="00616452"/>
    <w:rsid w:val="006230AE"/>
    <w:rsid w:val="006246F3"/>
    <w:rsid w:val="00625DE5"/>
    <w:rsid w:val="00627C33"/>
    <w:rsid w:val="00646D24"/>
    <w:rsid w:val="00662BA1"/>
    <w:rsid w:val="00665D7A"/>
    <w:rsid w:val="00671FD7"/>
    <w:rsid w:val="00675948"/>
    <w:rsid w:val="006A57FB"/>
    <w:rsid w:val="006A7CC1"/>
    <w:rsid w:val="006B6A2D"/>
    <w:rsid w:val="006B72D0"/>
    <w:rsid w:val="006C1B11"/>
    <w:rsid w:val="006D2889"/>
    <w:rsid w:val="006D6FF6"/>
    <w:rsid w:val="006E3151"/>
    <w:rsid w:val="006F087D"/>
    <w:rsid w:val="006F4CC1"/>
    <w:rsid w:val="006F6DA0"/>
    <w:rsid w:val="00707F58"/>
    <w:rsid w:val="0071127C"/>
    <w:rsid w:val="00714481"/>
    <w:rsid w:val="00715A62"/>
    <w:rsid w:val="00721DE4"/>
    <w:rsid w:val="007246DC"/>
    <w:rsid w:val="00724794"/>
    <w:rsid w:val="007454B5"/>
    <w:rsid w:val="0075400A"/>
    <w:rsid w:val="0078370F"/>
    <w:rsid w:val="0079057F"/>
    <w:rsid w:val="007952C4"/>
    <w:rsid w:val="007A1A70"/>
    <w:rsid w:val="007A1C35"/>
    <w:rsid w:val="007C1EFF"/>
    <w:rsid w:val="007D167D"/>
    <w:rsid w:val="007E0630"/>
    <w:rsid w:val="007E0D7E"/>
    <w:rsid w:val="007E2A06"/>
    <w:rsid w:val="007E55C0"/>
    <w:rsid w:val="007E5DF3"/>
    <w:rsid w:val="007F431F"/>
    <w:rsid w:val="007F7CA7"/>
    <w:rsid w:val="00806A8B"/>
    <w:rsid w:val="00810CA3"/>
    <w:rsid w:val="00813D4E"/>
    <w:rsid w:val="00815A0D"/>
    <w:rsid w:val="00815EBA"/>
    <w:rsid w:val="00837D7F"/>
    <w:rsid w:val="00840CAE"/>
    <w:rsid w:val="00851B17"/>
    <w:rsid w:val="0085516E"/>
    <w:rsid w:val="0086448F"/>
    <w:rsid w:val="008701E2"/>
    <w:rsid w:val="00870590"/>
    <w:rsid w:val="00884694"/>
    <w:rsid w:val="00897466"/>
    <w:rsid w:val="008A4275"/>
    <w:rsid w:val="008C1BE0"/>
    <w:rsid w:val="008C456F"/>
    <w:rsid w:val="008D2C49"/>
    <w:rsid w:val="008D4EF4"/>
    <w:rsid w:val="008D5521"/>
    <w:rsid w:val="008D6E2F"/>
    <w:rsid w:val="008E7AB9"/>
    <w:rsid w:val="008F3667"/>
    <w:rsid w:val="00900057"/>
    <w:rsid w:val="009220FD"/>
    <w:rsid w:val="00930D93"/>
    <w:rsid w:val="00934B57"/>
    <w:rsid w:val="00936D64"/>
    <w:rsid w:val="00937667"/>
    <w:rsid w:val="0094344C"/>
    <w:rsid w:val="00950E56"/>
    <w:rsid w:val="00971523"/>
    <w:rsid w:val="00971AF6"/>
    <w:rsid w:val="00973165"/>
    <w:rsid w:val="00974B53"/>
    <w:rsid w:val="009807C5"/>
    <w:rsid w:val="00984005"/>
    <w:rsid w:val="00994899"/>
    <w:rsid w:val="009961D3"/>
    <w:rsid w:val="009A26AA"/>
    <w:rsid w:val="009B6029"/>
    <w:rsid w:val="009C5B46"/>
    <w:rsid w:val="009D62F0"/>
    <w:rsid w:val="009E5E7F"/>
    <w:rsid w:val="00A02B08"/>
    <w:rsid w:val="00A10B86"/>
    <w:rsid w:val="00A10FB7"/>
    <w:rsid w:val="00A24F45"/>
    <w:rsid w:val="00A30741"/>
    <w:rsid w:val="00A46F02"/>
    <w:rsid w:val="00A54051"/>
    <w:rsid w:val="00A55520"/>
    <w:rsid w:val="00A5589E"/>
    <w:rsid w:val="00A56208"/>
    <w:rsid w:val="00A6726A"/>
    <w:rsid w:val="00A70C6C"/>
    <w:rsid w:val="00A71369"/>
    <w:rsid w:val="00A72972"/>
    <w:rsid w:val="00A7299B"/>
    <w:rsid w:val="00A75473"/>
    <w:rsid w:val="00A76F5F"/>
    <w:rsid w:val="00A8085B"/>
    <w:rsid w:val="00A95323"/>
    <w:rsid w:val="00AA3C77"/>
    <w:rsid w:val="00AA5C9E"/>
    <w:rsid w:val="00AB683C"/>
    <w:rsid w:val="00AD2D0D"/>
    <w:rsid w:val="00AD637E"/>
    <w:rsid w:val="00AF1BE0"/>
    <w:rsid w:val="00B0317B"/>
    <w:rsid w:val="00B127F2"/>
    <w:rsid w:val="00B139A3"/>
    <w:rsid w:val="00B20899"/>
    <w:rsid w:val="00B21324"/>
    <w:rsid w:val="00B24A5F"/>
    <w:rsid w:val="00B256C0"/>
    <w:rsid w:val="00B259D6"/>
    <w:rsid w:val="00B272FD"/>
    <w:rsid w:val="00B46145"/>
    <w:rsid w:val="00B5560A"/>
    <w:rsid w:val="00B8493F"/>
    <w:rsid w:val="00B928C8"/>
    <w:rsid w:val="00B95203"/>
    <w:rsid w:val="00B9627A"/>
    <w:rsid w:val="00BA40EC"/>
    <w:rsid w:val="00BA4DB4"/>
    <w:rsid w:val="00BA50CC"/>
    <w:rsid w:val="00BB024E"/>
    <w:rsid w:val="00BB2676"/>
    <w:rsid w:val="00BB4A83"/>
    <w:rsid w:val="00BB5393"/>
    <w:rsid w:val="00BB5CE8"/>
    <w:rsid w:val="00BC0233"/>
    <w:rsid w:val="00BC4465"/>
    <w:rsid w:val="00BD0981"/>
    <w:rsid w:val="00BD1934"/>
    <w:rsid w:val="00BD1B96"/>
    <w:rsid w:val="00BD2B91"/>
    <w:rsid w:val="00BE1D65"/>
    <w:rsid w:val="00BE2E36"/>
    <w:rsid w:val="00BE7B5E"/>
    <w:rsid w:val="00BF3FD2"/>
    <w:rsid w:val="00C00EF9"/>
    <w:rsid w:val="00C02406"/>
    <w:rsid w:val="00C10D0C"/>
    <w:rsid w:val="00C123BB"/>
    <w:rsid w:val="00C3296E"/>
    <w:rsid w:val="00C3536F"/>
    <w:rsid w:val="00C3631B"/>
    <w:rsid w:val="00C42544"/>
    <w:rsid w:val="00C42A9D"/>
    <w:rsid w:val="00C5228F"/>
    <w:rsid w:val="00C531CB"/>
    <w:rsid w:val="00C61A63"/>
    <w:rsid w:val="00C623E0"/>
    <w:rsid w:val="00C85971"/>
    <w:rsid w:val="00C865E9"/>
    <w:rsid w:val="00C93222"/>
    <w:rsid w:val="00CA49EB"/>
    <w:rsid w:val="00CB1230"/>
    <w:rsid w:val="00CB7DDB"/>
    <w:rsid w:val="00CC0EED"/>
    <w:rsid w:val="00CD6669"/>
    <w:rsid w:val="00CE7AEF"/>
    <w:rsid w:val="00CF4802"/>
    <w:rsid w:val="00D01718"/>
    <w:rsid w:val="00D035FC"/>
    <w:rsid w:val="00D171EA"/>
    <w:rsid w:val="00D33A6D"/>
    <w:rsid w:val="00D43493"/>
    <w:rsid w:val="00D4424E"/>
    <w:rsid w:val="00D45676"/>
    <w:rsid w:val="00D501C6"/>
    <w:rsid w:val="00D54092"/>
    <w:rsid w:val="00D562E1"/>
    <w:rsid w:val="00D63B8F"/>
    <w:rsid w:val="00D750CE"/>
    <w:rsid w:val="00D76427"/>
    <w:rsid w:val="00D81843"/>
    <w:rsid w:val="00D91529"/>
    <w:rsid w:val="00D9439D"/>
    <w:rsid w:val="00D95E36"/>
    <w:rsid w:val="00DB2E7B"/>
    <w:rsid w:val="00DB3A52"/>
    <w:rsid w:val="00DC060C"/>
    <w:rsid w:val="00DC65E4"/>
    <w:rsid w:val="00DC74A3"/>
    <w:rsid w:val="00DD3F57"/>
    <w:rsid w:val="00DE70FA"/>
    <w:rsid w:val="00DF2DD5"/>
    <w:rsid w:val="00DF782D"/>
    <w:rsid w:val="00DF7898"/>
    <w:rsid w:val="00E0245E"/>
    <w:rsid w:val="00E12B33"/>
    <w:rsid w:val="00E27706"/>
    <w:rsid w:val="00E3059E"/>
    <w:rsid w:val="00E35FEE"/>
    <w:rsid w:val="00E36F2F"/>
    <w:rsid w:val="00E40574"/>
    <w:rsid w:val="00E41377"/>
    <w:rsid w:val="00E43C6E"/>
    <w:rsid w:val="00E4425C"/>
    <w:rsid w:val="00E51726"/>
    <w:rsid w:val="00E71AFA"/>
    <w:rsid w:val="00E7332A"/>
    <w:rsid w:val="00E83E14"/>
    <w:rsid w:val="00E86307"/>
    <w:rsid w:val="00E92010"/>
    <w:rsid w:val="00E927A2"/>
    <w:rsid w:val="00EB11A7"/>
    <w:rsid w:val="00EB1C3E"/>
    <w:rsid w:val="00EC161B"/>
    <w:rsid w:val="00EC6055"/>
    <w:rsid w:val="00EF0836"/>
    <w:rsid w:val="00EF1102"/>
    <w:rsid w:val="00EF585F"/>
    <w:rsid w:val="00F05D7B"/>
    <w:rsid w:val="00F209F5"/>
    <w:rsid w:val="00F229FD"/>
    <w:rsid w:val="00F3046E"/>
    <w:rsid w:val="00F457D4"/>
    <w:rsid w:val="00F50D5F"/>
    <w:rsid w:val="00F568C5"/>
    <w:rsid w:val="00F5703A"/>
    <w:rsid w:val="00F60E89"/>
    <w:rsid w:val="00F73530"/>
    <w:rsid w:val="00F95435"/>
    <w:rsid w:val="00FA4DFF"/>
    <w:rsid w:val="00FB6D19"/>
    <w:rsid w:val="00FB7D55"/>
    <w:rsid w:val="00FC2E04"/>
    <w:rsid w:val="00FD1A06"/>
    <w:rsid w:val="00FD7C05"/>
    <w:rsid w:val="00FF0380"/>
    <w:rsid w:val="00FF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lang w:val="en-US" w:eastAsia="en-US"/>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uiPriority w:val="34"/>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eastAsia="en-US"/>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lang w:val="en-US" w:eastAsia="en-US"/>
    </w:rPr>
  </w:style>
  <w:style w:type="character" w:styleId="Strong">
    <w:name w:val="Strong"/>
    <w:basedOn w:val="DefaultParagraphFont"/>
    <w:qFormat/>
    <w:rsid w:val="00DC74A3"/>
    <w:rPr>
      <w:b/>
      <w:bCs/>
    </w:rPr>
  </w:style>
  <w:style w:type="character" w:styleId="Emphasis">
    <w:name w:val="Emphasis"/>
    <w:basedOn w:val="DefaultParagraphFont"/>
    <w:qFormat/>
    <w:rsid w:val="00DC74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425C"/>
    <w:rPr>
      <w:rFonts w:cs="Tahoma"/>
      <w:sz w:val="24"/>
      <w:lang w:val="en-US" w:eastAsia="en-US"/>
    </w:rPr>
  </w:style>
  <w:style w:type="paragraph" w:styleId="Heading1">
    <w:name w:val="heading 1"/>
    <w:basedOn w:val="Normal"/>
    <w:next w:val="Normal"/>
    <w:link w:val="Heading1Char"/>
    <w:qFormat/>
    <w:rsid w:val="001C61B0"/>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A8085B"/>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4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4425C"/>
    <w:pPr>
      <w:spacing w:after="120"/>
    </w:pPr>
  </w:style>
  <w:style w:type="paragraph" w:styleId="Header">
    <w:name w:val="header"/>
    <w:basedOn w:val="Normal"/>
    <w:link w:val="HeaderChar"/>
    <w:rsid w:val="00E4425C"/>
    <w:pPr>
      <w:widowControl w:val="0"/>
      <w:tabs>
        <w:tab w:val="center" w:pos="4320"/>
        <w:tab w:val="right" w:pos="8640"/>
      </w:tabs>
    </w:pPr>
    <w:rPr>
      <w:rFonts w:cs="Times New Roman"/>
      <w:snapToGrid w:val="0"/>
    </w:rPr>
  </w:style>
  <w:style w:type="character" w:customStyle="1" w:styleId="HeaderChar">
    <w:name w:val="Header Char"/>
    <w:link w:val="Header"/>
    <w:rsid w:val="00E4425C"/>
    <w:rPr>
      <w:snapToGrid w:val="0"/>
      <w:sz w:val="24"/>
      <w:lang w:val="en-US" w:eastAsia="en-US" w:bidi="ar-SA"/>
    </w:rPr>
  </w:style>
  <w:style w:type="paragraph" w:styleId="ListParagraph">
    <w:name w:val="List Paragraph"/>
    <w:basedOn w:val="Normal"/>
    <w:uiPriority w:val="34"/>
    <w:qFormat/>
    <w:rsid w:val="00721DE4"/>
    <w:pPr>
      <w:widowControl w:val="0"/>
      <w:spacing w:line="240" w:lineRule="atLeast"/>
      <w:ind w:left="720"/>
      <w:jc w:val="both"/>
    </w:pPr>
    <w:rPr>
      <w:rFonts w:ascii="Century" w:eastAsia="MS Mincho" w:hAnsi="Century" w:cs="Times New Roman"/>
      <w:kern w:val="2"/>
      <w:sz w:val="21"/>
      <w:szCs w:val="22"/>
      <w:lang w:eastAsia="ja-JP"/>
    </w:rPr>
  </w:style>
  <w:style w:type="character" w:customStyle="1" w:styleId="pseditboxdisponly">
    <w:name w:val="pseditbox_disponly"/>
    <w:basedOn w:val="DefaultParagraphFont"/>
    <w:rsid w:val="00A72972"/>
  </w:style>
  <w:style w:type="paragraph" w:customStyle="1" w:styleId="Char">
    <w:name w:val="Char"/>
    <w:basedOn w:val="Normal"/>
    <w:rsid w:val="007E0630"/>
    <w:pPr>
      <w:spacing w:after="160" w:line="240" w:lineRule="exact"/>
    </w:pPr>
    <w:rPr>
      <w:rFonts w:ascii="Arial" w:hAnsi="Arial" w:cs="Arial"/>
      <w:sz w:val="20"/>
      <w:lang w:val="en-GB"/>
    </w:rPr>
  </w:style>
  <w:style w:type="paragraph" w:styleId="BalloonText">
    <w:name w:val="Balloon Text"/>
    <w:basedOn w:val="Normal"/>
    <w:semiHidden/>
    <w:rsid w:val="00DF7898"/>
    <w:rPr>
      <w:rFonts w:ascii="Tahoma" w:hAnsi="Tahoma"/>
      <w:sz w:val="16"/>
      <w:szCs w:val="16"/>
    </w:rPr>
  </w:style>
  <w:style w:type="paragraph" w:styleId="Footer">
    <w:name w:val="footer"/>
    <w:basedOn w:val="Normal"/>
    <w:rsid w:val="00A54051"/>
    <w:pPr>
      <w:tabs>
        <w:tab w:val="center" w:pos="4320"/>
        <w:tab w:val="right" w:pos="8640"/>
      </w:tabs>
    </w:pPr>
  </w:style>
  <w:style w:type="character" w:styleId="PageNumber">
    <w:name w:val="page number"/>
    <w:basedOn w:val="DefaultParagraphFont"/>
    <w:rsid w:val="00A54051"/>
  </w:style>
  <w:style w:type="character" w:customStyle="1" w:styleId="Heading2Char">
    <w:name w:val="Heading 2 Char"/>
    <w:link w:val="Heading2"/>
    <w:rsid w:val="00A8085B"/>
    <w:rPr>
      <w:rFonts w:ascii="Cambria" w:hAnsi="Cambria"/>
      <w:b/>
      <w:bCs/>
      <w:i/>
      <w:iCs/>
      <w:sz w:val="28"/>
      <w:szCs w:val="28"/>
      <w:lang w:val="en-US" w:eastAsia="en-US" w:bidi="ar-SA"/>
    </w:rPr>
  </w:style>
  <w:style w:type="character" w:customStyle="1" w:styleId="Heading1Char">
    <w:name w:val="Heading 1 Char"/>
    <w:link w:val="Heading1"/>
    <w:rsid w:val="001C61B0"/>
    <w:rPr>
      <w:rFonts w:ascii="Cambria" w:hAnsi="Cambria"/>
      <w:b/>
      <w:bCs/>
      <w:kern w:val="32"/>
      <w:sz w:val="32"/>
      <w:szCs w:val="32"/>
      <w:lang w:val="en-US" w:eastAsia="en-US" w:bidi="ar-SA"/>
    </w:rPr>
  </w:style>
  <w:style w:type="paragraph" w:styleId="NoSpacing">
    <w:name w:val="No Spacing"/>
    <w:qFormat/>
    <w:rsid w:val="00021D13"/>
    <w:pPr>
      <w:ind w:left="1440" w:right="720"/>
    </w:pPr>
    <w:rPr>
      <w:rFonts w:ascii="Calibri" w:eastAsia="Calibri" w:hAnsi="Calibri"/>
      <w:sz w:val="22"/>
      <w:szCs w:val="22"/>
      <w:lang w:val="en-GB" w:eastAsia="en-US"/>
    </w:rPr>
  </w:style>
  <w:style w:type="paragraph" w:styleId="FootnoteText">
    <w:name w:val="footnote text"/>
    <w:aliases w:val="ft,ADB,single space"/>
    <w:basedOn w:val="Normal"/>
    <w:link w:val="FootnoteTextChar"/>
    <w:uiPriority w:val="99"/>
    <w:rsid w:val="00E71AFA"/>
    <w:pPr>
      <w:widowControl w:val="0"/>
    </w:pPr>
    <w:rPr>
      <w:rFonts w:cs="Times New Roman"/>
      <w:snapToGrid w:val="0"/>
      <w:sz w:val="20"/>
      <w:lang w:val="en-GB"/>
    </w:rPr>
  </w:style>
  <w:style w:type="character" w:customStyle="1" w:styleId="FootnoteTextChar">
    <w:name w:val="Footnote Text Char"/>
    <w:aliases w:val="ft Char,ADB Char,single space Char"/>
    <w:link w:val="FootnoteText"/>
    <w:uiPriority w:val="99"/>
    <w:rsid w:val="00E71AFA"/>
    <w:rPr>
      <w:snapToGrid/>
      <w:lang w:val="en-GB"/>
    </w:rPr>
  </w:style>
  <w:style w:type="character" w:styleId="FootnoteReference">
    <w:name w:val="footnote reference"/>
    <w:rsid w:val="00E71AFA"/>
    <w:rPr>
      <w:vertAlign w:val="superscript"/>
    </w:rPr>
  </w:style>
  <w:style w:type="character" w:styleId="CommentReference">
    <w:name w:val="annotation reference"/>
    <w:semiHidden/>
    <w:rsid w:val="00884694"/>
    <w:rPr>
      <w:sz w:val="16"/>
      <w:szCs w:val="16"/>
    </w:rPr>
  </w:style>
  <w:style w:type="paragraph" w:styleId="CommentText">
    <w:name w:val="annotation text"/>
    <w:basedOn w:val="Normal"/>
    <w:semiHidden/>
    <w:rsid w:val="00884694"/>
    <w:rPr>
      <w:sz w:val="20"/>
    </w:rPr>
  </w:style>
  <w:style w:type="paragraph" w:styleId="CommentSubject">
    <w:name w:val="annotation subject"/>
    <w:basedOn w:val="CommentText"/>
    <w:next w:val="CommentText"/>
    <w:semiHidden/>
    <w:rsid w:val="00884694"/>
    <w:rPr>
      <w:b/>
      <w:bCs/>
    </w:rPr>
  </w:style>
  <w:style w:type="paragraph" w:styleId="Revision">
    <w:name w:val="Revision"/>
    <w:hidden/>
    <w:uiPriority w:val="99"/>
    <w:semiHidden/>
    <w:rsid w:val="00837D7F"/>
    <w:rPr>
      <w:rFonts w:cs="Tahoma"/>
      <w:sz w:val="24"/>
      <w:lang w:val="en-US" w:eastAsia="en-US"/>
    </w:rPr>
  </w:style>
  <w:style w:type="character" w:styleId="Strong">
    <w:name w:val="Strong"/>
    <w:basedOn w:val="DefaultParagraphFont"/>
    <w:qFormat/>
    <w:rsid w:val="00DC74A3"/>
    <w:rPr>
      <w:b/>
      <w:bCs/>
    </w:rPr>
  </w:style>
  <w:style w:type="character" w:styleId="Emphasis">
    <w:name w:val="Emphasis"/>
    <w:basedOn w:val="DefaultParagraphFont"/>
    <w:qFormat/>
    <w:rsid w:val="00DC7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093939">
      <w:bodyDiv w:val="1"/>
      <w:marLeft w:val="0"/>
      <w:marRight w:val="0"/>
      <w:marTop w:val="0"/>
      <w:marBottom w:val="0"/>
      <w:divBdr>
        <w:top w:val="none" w:sz="0" w:space="0" w:color="auto"/>
        <w:left w:val="none" w:sz="0" w:space="0" w:color="auto"/>
        <w:bottom w:val="none" w:sz="0" w:space="0" w:color="auto"/>
        <w:right w:val="none" w:sz="0" w:space="0" w:color="auto"/>
      </w:divBdr>
    </w:div>
    <w:div w:id="717167542">
      <w:bodyDiv w:val="1"/>
      <w:marLeft w:val="0"/>
      <w:marRight w:val="0"/>
      <w:marTop w:val="0"/>
      <w:marBottom w:val="0"/>
      <w:divBdr>
        <w:top w:val="none" w:sz="0" w:space="0" w:color="auto"/>
        <w:left w:val="none" w:sz="0" w:space="0" w:color="auto"/>
        <w:bottom w:val="none" w:sz="0" w:space="0" w:color="auto"/>
        <w:right w:val="none" w:sz="0" w:space="0" w:color="auto"/>
      </w:divBdr>
    </w:div>
    <w:div w:id="749430036">
      <w:bodyDiv w:val="1"/>
      <w:marLeft w:val="0"/>
      <w:marRight w:val="0"/>
      <w:marTop w:val="0"/>
      <w:marBottom w:val="0"/>
      <w:divBdr>
        <w:top w:val="none" w:sz="0" w:space="0" w:color="auto"/>
        <w:left w:val="none" w:sz="0" w:space="0" w:color="auto"/>
        <w:bottom w:val="none" w:sz="0" w:space="0" w:color="auto"/>
        <w:right w:val="none" w:sz="0" w:space="0" w:color="auto"/>
      </w:divBdr>
    </w:div>
    <w:div w:id="1068572606">
      <w:bodyDiv w:val="1"/>
      <w:marLeft w:val="0"/>
      <w:marRight w:val="0"/>
      <w:marTop w:val="0"/>
      <w:marBottom w:val="0"/>
      <w:divBdr>
        <w:top w:val="none" w:sz="0" w:space="0" w:color="auto"/>
        <w:left w:val="none" w:sz="0" w:space="0" w:color="auto"/>
        <w:bottom w:val="none" w:sz="0" w:space="0" w:color="auto"/>
        <w:right w:val="none" w:sz="0" w:space="0" w:color="auto"/>
      </w:divBdr>
    </w:div>
    <w:div w:id="1144665137">
      <w:bodyDiv w:val="1"/>
      <w:marLeft w:val="0"/>
      <w:marRight w:val="0"/>
      <w:marTop w:val="0"/>
      <w:marBottom w:val="0"/>
      <w:divBdr>
        <w:top w:val="none" w:sz="0" w:space="0" w:color="auto"/>
        <w:left w:val="none" w:sz="0" w:space="0" w:color="auto"/>
        <w:bottom w:val="none" w:sz="0" w:space="0" w:color="auto"/>
        <w:right w:val="none" w:sz="0" w:space="0" w:color="auto"/>
      </w:divBdr>
    </w:div>
    <w:div w:id="1221400589">
      <w:bodyDiv w:val="1"/>
      <w:marLeft w:val="0"/>
      <w:marRight w:val="0"/>
      <w:marTop w:val="0"/>
      <w:marBottom w:val="0"/>
      <w:divBdr>
        <w:top w:val="none" w:sz="0" w:space="0" w:color="auto"/>
        <w:left w:val="none" w:sz="0" w:space="0" w:color="auto"/>
        <w:bottom w:val="none" w:sz="0" w:space="0" w:color="auto"/>
        <w:right w:val="none" w:sz="0" w:space="0" w:color="auto"/>
      </w:divBdr>
    </w:div>
    <w:div w:id="1560284984">
      <w:bodyDiv w:val="1"/>
      <w:marLeft w:val="0"/>
      <w:marRight w:val="0"/>
      <w:marTop w:val="0"/>
      <w:marBottom w:val="0"/>
      <w:divBdr>
        <w:top w:val="none" w:sz="0" w:space="0" w:color="auto"/>
        <w:left w:val="none" w:sz="0" w:space="0" w:color="auto"/>
        <w:bottom w:val="none" w:sz="0" w:space="0" w:color="auto"/>
        <w:right w:val="none" w:sz="0" w:space="0" w:color="auto"/>
      </w:divBdr>
    </w:div>
    <w:div w:id="202552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E8F64-F633-41FA-80AB-816A15CC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2496</Words>
  <Characters>14618</Characters>
  <Application>Microsoft Office Word</Application>
  <DocSecurity>4</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Sierra Leone PBF projects</vt:lpstr>
      <vt:lpstr>Sierra Leone PBF projects</vt:lpstr>
    </vt:vector>
  </TitlesOfParts>
  <Company>UNDP</Company>
  <LinksUpToDate>false</LinksUpToDate>
  <CharactersWithSpaces>17080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 PBF projects</dc:title>
  <dc:creator>Aloysious</dc:creator>
  <cp:lastModifiedBy>Mitsy Jean-Louis</cp:lastModifiedBy>
  <cp:revision>2</cp:revision>
  <cp:lastPrinted>2012-08-02T04:56:00Z</cp:lastPrinted>
  <dcterms:created xsi:type="dcterms:W3CDTF">2014-08-08T16:22:00Z</dcterms:created>
  <dcterms:modified xsi:type="dcterms:W3CDTF">2014-08-08T16:22:00Z</dcterms:modified>
</cp:coreProperties>
</file>