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Layout w:type="fixed"/>
        <w:tblCellMar>
          <w:left w:w="0" w:type="dxa"/>
          <w:right w:w="0" w:type="dxa"/>
        </w:tblCellMar>
        <w:tblLook w:val="04A0" w:firstRow="1" w:lastRow="0" w:firstColumn="1" w:lastColumn="0" w:noHBand="0" w:noVBand="1"/>
      </w:tblPr>
      <w:tblGrid>
        <w:gridCol w:w="2520"/>
        <w:gridCol w:w="4590"/>
        <w:gridCol w:w="2430"/>
      </w:tblGrid>
      <w:tr w:rsidR="007A4A00" w:rsidRPr="00D90F80" w14:paraId="03299BB9" w14:textId="77777777" w:rsidTr="007A4A00">
        <w:trPr>
          <w:trHeight w:val="1980"/>
        </w:trPr>
        <w:tc>
          <w:tcPr>
            <w:tcW w:w="2520" w:type="dxa"/>
            <w:vAlign w:val="bottom"/>
            <w:hideMark/>
          </w:tcPr>
          <w:p w14:paraId="7DC59C92" w14:textId="77777777" w:rsidR="007A4A00" w:rsidRPr="00D90F80" w:rsidRDefault="007A4A00">
            <w:pPr>
              <w:pStyle w:val="UN-00Logosoncoveralignedleft"/>
              <w:spacing w:line="276" w:lineRule="auto"/>
              <w:rPr>
                <w:sz w:val="20"/>
              </w:rPr>
            </w:pPr>
            <w:r w:rsidRPr="00D90F80">
              <w:rPr>
                <w:noProof/>
                <w:sz w:val="20"/>
              </w:rPr>
              <w:drawing>
                <wp:inline distT="0" distB="0" distL="0" distR="0" wp14:anchorId="7B15BA71" wp14:editId="0B9E750B">
                  <wp:extent cx="1552575" cy="1028700"/>
                  <wp:effectExtent l="0" t="0" r="9525" b="0"/>
                  <wp:docPr id="2" name="Picture 2" descr="yemen-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men-fl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028700"/>
                          </a:xfrm>
                          <a:prstGeom prst="rect">
                            <a:avLst/>
                          </a:prstGeom>
                          <a:noFill/>
                          <a:ln>
                            <a:noFill/>
                          </a:ln>
                        </pic:spPr>
                      </pic:pic>
                    </a:graphicData>
                  </a:graphic>
                </wp:inline>
              </w:drawing>
            </w:r>
          </w:p>
        </w:tc>
        <w:tc>
          <w:tcPr>
            <w:tcW w:w="4590" w:type="dxa"/>
            <w:vAlign w:val="bottom"/>
          </w:tcPr>
          <w:p w14:paraId="211482E7" w14:textId="77777777" w:rsidR="007A4A00" w:rsidRPr="00D90F80" w:rsidRDefault="007A4A0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spacing w:val="-3"/>
                <w:sz w:val="20"/>
                <w:lang w:val="en-US"/>
              </w:rPr>
            </w:pPr>
            <w:r w:rsidRPr="00D90F80">
              <w:rPr>
                <w:spacing w:val="-3"/>
                <w:sz w:val="20"/>
                <w:lang w:val="en-US"/>
              </w:rPr>
              <w:t>Yemen National Dialogue and Constitutional Reform Trust Fund (YNDCRTF)</w:t>
            </w:r>
          </w:p>
          <w:p w14:paraId="2AEEA71E" w14:textId="77777777" w:rsidR="007A4A00" w:rsidRPr="00D90F80" w:rsidRDefault="007A4A00">
            <w:pPr>
              <w:pStyle w:val="UN-50Logosoncovercentered"/>
              <w:spacing w:line="276" w:lineRule="auto"/>
              <w:rPr>
                <w:noProof/>
                <w:sz w:val="20"/>
              </w:rPr>
            </w:pPr>
          </w:p>
        </w:tc>
        <w:tc>
          <w:tcPr>
            <w:tcW w:w="2430" w:type="dxa"/>
            <w:vAlign w:val="bottom"/>
            <w:hideMark/>
          </w:tcPr>
          <w:p w14:paraId="208E0384" w14:textId="77777777" w:rsidR="007A4A00" w:rsidRPr="00D90F80" w:rsidRDefault="007A4A00">
            <w:pPr>
              <w:pStyle w:val="UN-00Logosoncoveralignedright"/>
              <w:spacing w:line="276" w:lineRule="auto"/>
              <w:jc w:val="center"/>
              <w:rPr>
                <w:sz w:val="20"/>
              </w:rPr>
            </w:pPr>
            <w:r w:rsidRPr="00D90F80">
              <w:rPr>
                <w:noProof/>
                <w:sz w:val="20"/>
              </w:rPr>
              <w:drawing>
                <wp:inline distT="0" distB="0" distL="0" distR="0" wp14:anchorId="58FCE15D" wp14:editId="785E99BA">
                  <wp:extent cx="1190625" cy="1038225"/>
                  <wp:effectExtent l="0" t="0" r="9525" b="9525"/>
                  <wp:docPr id="1" name="Picture 1" descr="cid:image001.gif@01C775DC.3F182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775DC.3F1823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90625" cy="1038225"/>
                          </a:xfrm>
                          <a:prstGeom prst="rect">
                            <a:avLst/>
                          </a:prstGeom>
                          <a:noFill/>
                          <a:ln>
                            <a:noFill/>
                          </a:ln>
                        </pic:spPr>
                      </pic:pic>
                    </a:graphicData>
                  </a:graphic>
                </wp:inline>
              </w:drawing>
            </w:r>
          </w:p>
        </w:tc>
      </w:tr>
    </w:tbl>
    <w:p w14:paraId="6E47C798" w14:textId="77777777" w:rsidR="00817B1D" w:rsidRPr="00D90F80" w:rsidRDefault="00817B1D" w:rsidP="00077BBA">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b/>
          <w:bCs/>
          <w:sz w:val="20"/>
        </w:rPr>
      </w:pPr>
    </w:p>
    <w:p w14:paraId="7F0B0156" w14:textId="77777777" w:rsidR="00F45AA3" w:rsidRDefault="00F45AA3" w:rsidP="00817B1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0"/>
        </w:rPr>
      </w:pPr>
    </w:p>
    <w:p w14:paraId="643F4C6E" w14:textId="77777777" w:rsidR="00F45AA3" w:rsidRDefault="00F45AA3" w:rsidP="00817B1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0"/>
        </w:rPr>
      </w:pPr>
    </w:p>
    <w:p w14:paraId="5203F7E5" w14:textId="77777777" w:rsidR="00817B1D" w:rsidRPr="00F45AA3" w:rsidRDefault="00817B1D" w:rsidP="00817B1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Cs w:val="24"/>
        </w:rPr>
      </w:pPr>
      <w:r w:rsidRPr="00F45AA3">
        <w:rPr>
          <w:b/>
          <w:bCs/>
          <w:szCs w:val="24"/>
        </w:rPr>
        <w:t>PROJECT</w:t>
      </w:r>
      <w:r w:rsidRPr="00F45AA3">
        <w:rPr>
          <w:b/>
          <w:bCs/>
          <w:szCs w:val="24"/>
          <w:vertAlign w:val="superscript"/>
        </w:rPr>
        <w:t xml:space="preserve">1 </w:t>
      </w:r>
      <w:r w:rsidRPr="00F45AA3">
        <w:rPr>
          <w:b/>
          <w:bCs/>
          <w:szCs w:val="24"/>
        </w:rPr>
        <w:t>QUARTERLY PROGRESS UPDATE</w:t>
      </w:r>
    </w:p>
    <w:p w14:paraId="7D49E68D" w14:textId="77777777" w:rsidR="00817B1D" w:rsidRPr="00F45AA3" w:rsidRDefault="00817B1D" w:rsidP="00817B1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i/>
          <w:spacing w:val="-3"/>
          <w:szCs w:val="24"/>
        </w:rPr>
      </w:pPr>
      <w:r w:rsidRPr="00F45AA3">
        <w:rPr>
          <w:i/>
          <w:spacing w:val="-3"/>
          <w:szCs w:val="24"/>
        </w:rPr>
        <w:t>(for posting on the YNDCRTF web site)</w:t>
      </w:r>
    </w:p>
    <w:p w14:paraId="171EB1AD" w14:textId="6EC8903A" w:rsidR="00817B1D" w:rsidRPr="00F45AA3" w:rsidRDefault="00817B1D" w:rsidP="00647B2B">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i/>
          <w:szCs w:val="24"/>
        </w:rPr>
      </w:pPr>
      <w:r w:rsidRPr="00F45AA3">
        <w:rPr>
          <w:b/>
          <w:bCs/>
          <w:i/>
          <w:szCs w:val="24"/>
        </w:rPr>
        <w:t>as of [</w:t>
      </w:r>
      <w:r w:rsidR="0021317B">
        <w:rPr>
          <w:b/>
          <w:bCs/>
          <w:i/>
          <w:szCs w:val="24"/>
        </w:rPr>
        <w:t>1</w:t>
      </w:r>
      <w:r w:rsidR="0021317B" w:rsidRPr="00F9614B">
        <w:rPr>
          <w:b/>
          <w:bCs/>
          <w:i/>
          <w:szCs w:val="24"/>
          <w:vertAlign w:val="superscript"/>
        </w:rPr>
        <w:t>st</w:t>
      </w:r>
      <w:r w:rsidR="0021317B">
        <w:rPr>
          <w:b/>
          <w:bCs/>
          <w:i/>
          <w:szCs w:val="24"/>
        </w:rPr>
        <w:t xml:space="preserve"> </w:t>
      </w:r>
      <w:r w:rsidR="00316C1E">
        <w:rPr>
          <w:b/>
          <w:bCs/>
          <w:i/>
          <w:szCs w:val="24"/>
        </w:rPr>
        <w:t xml:space="preserve">April </w:t>
      </w:r>
      <w:bookmarkStart w:id="0" w:name="_GoBack"/>
      <w:r w:rsidR="0021317B">
        <w:rPr>
          <w:b/>
          <w:bCs/>
          <w:i/>
          <w:szCs w:val="24"/>
        </w:rPr>
        <w:t>2015-</w:t>
      </w:r>
      <w:r w:rsidR="00647B2B">
        <w:rPr>
          <w:b/>
          <w:bCs/>
          <w:i/>
          <w:szCs w:val="24"/>
        </w:rPr>
        <w:t>30</w:t>
      </w:r>
      <w:r w:rsidR="0021317B">
        <w:rPr>
          <w:b/>
          <w:bCs/>
          <w:i/>
          <w:szCs w:val="24"/>
        </w:rPr>
        <w:t xml:space="preserve"> </w:t>
      </w:r>
      <w:r w:rsidR="00647B2B">
        <w:rPr>
          <w:b/>
          <w:bCs/>
          <w:i/>
          <w:szCs w:val="24"/>
          <w:vertAlign w:val="superscript"/>
        </w:rPr>
        <w:t>th</w:t>
      </w:r>
      <w:r w:rsidR="0021317B">
        <w:rPr>
          <w:b/>
          <w:bCs/>
          <w:i/>
          <w:szCs w:val="24"/>
        </w:rPr>
        <w:t xml:space="preserve"> </w:t>
      </w:r>
      <w:r w:rsidR="00316C1E">
        <w:rPr>
          <w:b/>
          <w:bCs/>
          <w:i/>
          <w:szCs w:val="24"/>
        </w:rPr>
        <w:t>Ju</w:t>
      </w:r>
      <w:r w:rsidR="00647B2B">
        <w:rPr>
          <w:b/>
          <w:bCs/>
          <w:i/>
          <w:szCs w:val="24"/>
        </w:rPr>
        <w:t>ne</w:t>
      </w:r>
      <w:r w:rsidR="00316C1E">
        <w:rPr>
          <w:b/>
          <w:bCs/>
          <w:i/>
          <w:szCs w:val="24"/>
        </w:rPr>
        <w:t xml:space="preserve"> </w:t>
      </w:r>
      <w:r w:rsidR="0021317B">
        <w:rPr>
          <w:b/>
          <w:bCs/>
          <w:i/>
          <w:szCs w:val="24"/>
        </w:rPr>
        <w:t>2015</w:t>
      </w:r>
      <w:bookmarkEnd w:id="0"/>
      <w:r w:rsidRPr="00F45AA3">
        <w:rPr>
          <w:b/>
          <w:bCs/>
          <w:i/>
          <w:szCs w:val="24"/>
        </w:rPr>
        <w:t>]</w:t>
      </w:r>
    </w:p>
    <w:p w14:paraId="584B4A12" w14:textId="77777777" w:rsidR="00F45AA3" w:rsidRDefault="00F45AA3" w:rsidP="005A7BD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i/>
          <w:sz w:val="20"/>
        </w:rPr>
      </w:pPr>
    </w:p>
    <w:p w14:paraId="5B658647" w14:textId="77777777" w:rsidR="00F45AA3" w:rsidRPr="00D90F80" w:rsidRDefault="00F45AA3" w:rsidP="005A7BD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i/>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365"/>
        <w:gridCol w:w="1225"/>
        <w:gridCol w:w="1246"/>
        <w:gridCol w:w="1593"/>
        <w:gridCol w:w="1571"/>
      </w:tblGrid>
      <w:tr w:rsidR="00817B1D" w:rsidRPr="00F45AA3" w14:paraId="46E2A0B4" w14:textId="77777777" w:rsidTr="00F45AA3">
        <w:trPr>
          <w:trHeight w:val="647"/>
        </w:trPr>
        <w:tc>
          <w:tcPr>
            <w:tcW w:w="206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F92F678" w14:textId="77777777" w:rsidR="00817B1D" w:rsidRPr="00F45AA3" w:rsidRDefault="00817B1D">
            <w:pPr>
              <w:rPr>
                <w:b/>
                <w:szCs w:val="24"/>
              </w:rPr>
            </w:pPr>
            <w:r w:rsidRPr="00F45AA3">
              <w:rPr>
                <w:b/>
                <w:szCs w:val="24"/>
              </w:rPr>
              <w:t xml:space="preserve">Participating UN or Non-UN Organization:  </w:t>
            </w:r>
          </w:p>
        </w:tc>
        <w:tc>
          <w:tcPr>
            <w:tcW w:w="7000" w:type="dxa"/>
            <w:gridSpan w:val="5"/>
            <w:tcBorders>
              <w:top w:val="single" w:sz="4" w:space="0" w:color="auto"/>
              <w:left w:val="single" w:sz="4" w:space="0" w:color="auto"/>
              <w:bottom w:val="single" w:sz="4" w:space="0" w:color="auto"/>
              <w:right w:val="single" w:sz="4" w:space="0" w:color="auto"/>
            </w:tcBorders>
            <w:vAlign w:val="center"/>
          </w:tcPr>
          <w:p w14:paraId="14060B0D" w14:textId="15724A79" w:rsidR="00817B1D" w:rsidRPr="00F45AA3" w:rsidRDefault="00030BF7" w:rsidP="00C55E7A">
            <w:pPr>
              <w:rPr>
                <w:b/>
                <w:szCs w:val="24"/>
              </w:rPr>
            </w:pPr>
            <w:r w:rsidRPr="00F45AA3">
              <w:rPr>
                <w:bCs/>
                <w:szCs w:val="24"/>
              </w:rPr>
              <w:t xml:space="preserve">UNOPS (Coordinating </w:t>
            </w:r>
            <w:r w:rsidR="00EE652D" w:rsidRPr="00F45AA3">
              <w:rPr>
                <w:bCs/>
                <w:szCs w:val="24"/>
              </w:rPr>
              <w:t>Agency</w:t>
            </w:r>
            <w:r w:rsidR="00835C7D">
              <w:rPr>
                <w:bCs/>
                <w:szCs w:val="24"/>
              </w:rPr>
              <w:t xml:space="preserve">: Office of the Special Envoy </w:t>
            </w:r>
            <w:r w:rsidR="00C55E7A">
              <w:rPr>
                <w:bCs/>
                <w:szCs w:val="24"/>
              </w:rPr>
              <w:t xml:space="preserve">of </w:t>
            </w:r>
            <w:r w:rsidR="00835C7D">
              <w:rPr>
                <w:bCs/>
                <w:szCs w:val="24"/>
              </w:rPr>
              <w:t>the Secretary</w:t>
            </w:r>
            <w:r w:rsidR="00C55E7A">
              <w:rPr>
                <w:bCs/>
                <w:szCs w:val="24"/>
              </w:rPr>
              <w:t>-</w:t>
            </w:r>
            <w:r w:rsidR="00835C7D">
              <w:rPr>
                <w:bCs/>
                <w:szCs w:val="24"/>
              </w:rPr>
              <w:t xml:space="preserve">General </w:t>
            </w:r>
            <w:r w:rsidR="00C55E7A">
              <w:rPr>
                <w:bCs/>
                <w:szCs w:val="24"/>
              </w:rPr>
              <w:t>for</w:t>
            </w:r>
            <w:r w:rsidR="00835C7D">
              <w:rPr>
                <w:bCs/>
                <w:szCs w:val="24"/>
              </w:rPr>
              <w:t>Yemen (OSESG))</w:t>
            </w:r>
            <w:r w:rsidR="00765E16">
              <w:rPr>
                <w:bCs/>
                <w:szCs w:val="24"/>
              </w:rPr>
              <w:t>;UNICEF;</w:t>
            </w:r>
          </w:p>
        </w:tc>
      </w:tr>
      <w:tr w:rsidR="00817B1D" w:rsidRPr="00F45AA3" w14:paraId="10D08182" w14:textId="77777777" w:rsidTr="00F45AA3">
        <w:trPr>
          <w:trHeight w:val="843"/>
        </w:trPr>
        <w:tc>
          <w:tcPr>
            <w:tcW w:w="206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F3BEEF5" w14:textId="77777777" w:rsidR="00817B1D" w:rsidRPr="00F45AA3" w:rsidRDefault="00817B1D">
            <w:pPr>
              <w:rPr>
                <w:b/>
                <w:bCs/>
                <w:szCs w:val="24"/>
              </w:rPr>
            </w:pPr>
            <w:r w:rsidRPr="00F45AA3">
              <w:rPr>
                <w:b/>
                <w:szCs w:val="24"/>
              </w:rPr>
              <w:t xml:space="preserve">Implementing Partner(s): </w:t>
            </w:r>
          </w:p>
        </w:tc>
        <w:tc>
          <w:tcPr>
            <w:tcW w:w="7000" w:type="dxa"/>
            <w:gridSpan w:val="5"/>
            <w:tcBorders>
              <w:top w:val="single" w:sz="4" w:space="0" w:color="auto"/>
              <w:left w:val="single" w:sz="4" w:space="0" w:color="auto"/>
              <w:bottom w:val="single" w:sz="4" w:space="0" w:color="auto"/>
              <w:right w:val="single" w:sz="4" w:space="0" w:color="auto"/>
            </w:tcBorders>
            <w:vAlign w:val="center"/>
          </w:tcPr>
          <w:p w14:paraId="394B177A" w14:textId="13C9A1CA" w:rsidR="00F45AA3" w:rsidRPr="0002404E" w:rsidRDefault="00D90F80" w:rsidP="00650173">
            <w:pPr>
              <w:rPr>
                <w:bCs/>
                <w:szCs w:val="24"/>
              </w:rPr>
            </w:pPr>
            <w:r w:rsidRPr="0002404E">
              <w:rPr>
                <w:bCs/>
                <w:szCs w:val="24"/>
              </w:rPr>
              <w:t xml:space="preserve">Constitution Drafting Committee General Secretariat </w:t>
            </w:r>
            <w:r w:rsidR="00650173" w:rsidRPr="0002404E">
              <w:rPr>
                <w:bCs/>
                <w:szCs w:val="24"/>
              </w:rPr>
              <w:t>(The Secretariat)</w:t>
            </w:r>
            <w:r w:rsidR="008E7B9F" w:rsidRPr="0002404E">
              <w:rPr>
                <w:bCs/>
                <w:szCs w:val="24"/>
              </w:rPr>
              <w:t xml:space="preserve"> </w:t>
            </w:r>
          </w:p>
        </w:tc>
      </w:tr>
      <w:tr w:rsidR="00817B1D" w:rsidRPr="00F45AA3" w14:paraId="601CE129" w14:textId="77777777" w:rsidTr="00F45AA3">
        <w:trPr>
          <w:trHeight w:val="686"/>
        </w:trPr>
        <w:tc>
          <w:tcPr>
            <w:tcW w:w="206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A051811" w14:textId="77777777" w:rsidR="00817B1D" w:rsidRPr="00F45AA3" w:rsidRDefault="00817B1D">
            <w:pPr>
              <w:rPr>
                <w:b/>
                <w:szCs w:val="24"/>
              </w:rPr>
            </w:pPr>
            <w:r w:rsidRPr="00F45AA3">
              <w:rPr>
                <w:b/>
                <w:szCs w:val="24"/>
              </w:rPr>
              <w:t xml:space="preserve">Project Number: </w:t>
            </w:r>
          </w:p>
        </w:tc>
        <w:tc>
          <w:tcPr>
            <w:tcW w:w="7000" w:type="dxa"/>
            <w:gridSpan w:val="5"/>
            <w:tcBorders>
              <w:top w:val="single" w:sz="4" w:space="0" w:color="auto"/>
              <w:left w:val="single" w:sz="4" w:space="0" w:color="auto"/>
              <w:bottom w:val="single" w:sz="4" w:space="0" w:color="auto"/>
              <w:right w:val="single" w:sz="4" w:space="0" w:color="auto"/>
            </w:tcBorders>
            <w:vAlign w:val="center"/>
          </w:tcPr>
          <w:p w14:paraId="207914BA" w14:textId="3DED39B1" w:rsidR="00817B1D" w:rsidRPr="00F45AA3" w:rsidRDefault="00C403B7">
            <w:pPr>
              <w:rPr>
                <w:b/>
                <w:szCs w:val="24"/>
              </w:rPr>
            </w:pPr>
            <w:r w:rsidRPr="00C403B7">
              <w:rPr>
                <w:bCs/>
                <w:szCs w:val="24"/>
              </w:rPr>
              <w:t>89810</w:t>
            </w:r>
          </w:p>
        </w:tc>
      </w:tr>
      <w:tr w:rsidR="00817B1D" w:rsidRPr="00F45AA3" w14:paraId="4AE11A35" w14:textId="77777777" w:rsidTr="00F45AA3">
        <w:trPr>
          <w:trHeight w:val="710"/>
        </w:trPr>
        <w:tc>
          <w:tcPr>
            <w:tcW w:w="206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EF6C792" w14:textId="77777777" w:rsidR="00817B1D" w:rsidRPr="00F45AA3" w:rsidRDefault="00817B1D">
            <w:pPr>
              <w:rPr>
                <w:b/>
                <w:szCs w:val="24"/>
              </w:rPr>
            </w:pPr>
            <w:r w:rsidRPr="00F45AA3">
              <w:rPr>
                <w:b/>
                <w:szCs w:val="24"/>
              </w:rPr>
              <w:t>Project Title:</w:t>
            </w:r>
          </w:p>
        </w:tc>
        <w:tc>
          <w:tcPr>
            <w:tcW w:w="7000" w:type="dxa"/>
            <w:gridSpan w:val="5"/>
            <w:tcBorders>
              <w:top w:val="single" w:sz="4" w:space="0" w:color="auto"/>
              <w:left w:val="single" w:sz="4" w:space="0" w:color="auto"/>
              <w:bottom w:val="single" w:sz="4" w:space="0" w:color="auto"/>
              <w:right w:val="single" w:sz="4" w:space="0" w:color="auto"/>
            </w:tcBorders>
            <w:vAlign w:val="center"/>
          </w:tcPr>
          <w:p w14:paraId="6C531888" w14:textId="164CF4C2" w:rsidR="00817B1D" w:rsidRPr="00F45AA3" w:rsidRDefault="00D90F80" w:rsidP="00155885">
            <w:pPr>
              <w:rPr>
                <w:b/>
                <w:szCs w:val="24"/>
              </w:rPr>
            </w:pPr>
            <w:r w:rsidRPr="00F45AA3">
              <w:rPr>
                <w:bCs/>
                <w:szCs w:val="24"/>
              </w:rPr>
              <w:t>Constitution</w:t>
            </w:r>
            <w:r w:rsidR="008E7B9F" w:rsidRPr="00F45AA3">
              <w:rPr>
                <w:bCs/>
                <w:szCs w:val="24"/>
              </w:rPr>
              <w:t xml:space="preserve">-Drafting </w:t>
            </w:r>
            <w:r w:rsidRPr="00F45AA3">
              <w:rPr>
                <w:bCs/>
                <w:szCs w:val="24"/>
              </w:rPr>
              <w:t xml:space="preserve">Process Project </w:t>
            </w:r>
          </w:p>
        </w:tc>
      </w:tr>
      <w:tr w:rsidR="00817B1D" w:rsidRPr="00F45AA3" w14:paraId="2D3B0637" w14:textId="77777777" w:rsidTr="00F45AA3">
        <w:trPr>
          <w:trHeight w:val="836"/>
        </w:trPr>
        <w:tc>
          <w:tcPr>
            <w:tcW w:w="206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8B74663" w14:textId="77777777" w:rsidR="00817B1D" w:rsidRPr="00F45AA3" w:rsidRDefault="00817B1D">
            <w:pPr>
              <w:rPr>
                <w:b/>
                <w:szCs w:val="24"/>
              </w:rPr>
            </w:pPr>
            <w:r w:rsidRPr="00F45AA3">
              <w:rPr>
                <w:b/>
                <w:szCs w:val="24"/>
              </w:rPr>
              <w:t>Total Approved Project Budget:</w:t>
            </w:r>
          </w:p>
        </w:tc>
        <w:tc>
          <w:tcPr>
            <w:tcW w:w="7000" w:type="dxa"/>
            <w:gridSpan w:val="5"/>
            <w:tcBorders>
              <w:top w:val="single" w:sz="4" w:space="0" w:color="auto"/>
              <w:left w:val="single" w:sz="4" w:space="0" w:color="auto"/>
              <w:bottom w:val="single" w:sz="4" w:space="0" w:color="auto"/>
              <w:right w:val="single" w:sz="4" w:space="0" w:color="auto"/>
            </w:tcBorders>
            <w:vAlign w:val="center"/>
          </w:tcPr>
          <w:p w14:paraId="6A14035A" w14:textId="77777777" w:rsidR="00817B1D" w:rsidRPr="00F45AA3" w:rsidRDefault="00817B1D">
            <w:pPr>
              <w:rPr>
                <w:b/>
                <w:szCs w:val="24"/>
              </w:rPr>
            </w:pPr>
          </w:p>
          <w:p w14:paraId="1CD1872A" w14:textId="48710B31" w:rsidR="00817B1D" w:rsidRPr="00F45AA3" w:rsidRDefault="00863F85" w:rsidP="00B63696">
            <w:pPr>
              <w:rPr>
                <w:b/>
                <w:szCs w:val="24"/>
              </w:rPr>
            </w:pPr>
            <w:r w:rsidRPr="00F45AA3">
              <w:rPr>
                <w:b/>
                <w:szCs w:val="24"/>
              </w:rPr>
              <w:t>US$</w:t>
            </w:r>
            <w:r w:rsidRPr="00F45AA3">
              <w:rPr>
                <w:szCs w:val="24"/>
              </w:rPr>
              <w:t xml:space="preserve"> </w:t>
            </w:r>
            <w:r>
              <w:rPr>
                <w:szCs w:val="24"/>
              </w:rPr>
              <w:t>9,842,984</w:t>
            </w:r>
          </w:p>
        </w:tc>
      </w:tr>
      <w:tr w:rsidR="00817B1D" w:rsidRPr="00F45AA3" w14:paraId="12E092BF" w14:textId="77777777" w:rsidTr="00F45AA3">
        <w:trPr>
          <w:trHeight w:val="562"/>
        </w:trPr>
        <w:tc>
          <w:tcPr>
            <w:tcW w:w="206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C6A290C" w14:textId="77777777" w:rsidR="00817B1D" w:rsidRPr="00F45AA3" w:rsidRDefault="00817B1D">
            <w:pPr>
              <w:rPr>
                <w:b/>
                <w:szCs w:val="24"/>
              </w:rPr>
            </w:pPr>
            <w:r w:rsidRPr="00F45AA3">
              <w:rPr>
                <w:b/>
                <w:szCs w:val="24"/>
              </w:rPr>
              <w:t>Location:</w:t>
            </w:r>
          </w:p>
        </w:tc>
        <w:tc>
          <w:tcPr>
            <w:tcW w:w="7000" w:type="dxa"/>
            <w:gridSpan w:val="5"/>
            <w:tcBorders>
              <w:top w:val="single" w:sz="4" w:space="0" w:color="auto"/>
              <w:left w:val="single" w:sz="4" w:space="0" w:color="auto"/>
              <w:bottom w:val="single" w:sz="4" w:space="0" w:color="auto"/>
              <w:right w:val="single" w:sz="4" w:space="0" w:color="auto"/>
            </w:tcBorders>
            <w:vAlign w:val="center"/>
          </w:tcPr>
          <w:p w14:paraId="1FB58CA0" w14:textId="6FC18FE2" w:rsidR="00817B1D" w:rsidRPr="00F45AA3" w:rsidRDefault="00D90F80" w:rsidP="008571F2">
            <w:pPr>
              <w:rPr>
                <w:b/>
                <w:szCs w:val="24"/>
              </w:rPr>
            </w:pPr>
            <w:r w:rsidRPr="00F45AA3">
              <w:rPr>
                <w:bCs/>
                <w:szCs w:val="24"/>
              </w:rPr>
              <w:t>Yemen</w:t>
            </w:r>
            <w:r w:rsidR="008571F2">
              <w:rPr>
                <w:bCs/>
                <w:szCs w:val="24"/>
              </w:rPr>
              <w:t>-wide</w:t>
            </w:r>
          </w:p>
        </w:tc>
      </w:tr>
      <w:tr w:rsidR="00817B1D" w:rsidRPr="00F45AA3" w14:paraId="545C7458" w14:textId="77777777" w:rsidTr="00F45AA3">
        <w:trPr>
          <w:trHeight w:val="62"/>
        </w:trPr>
        <w:tc>
          <w:tcPr>
            <w:tcW w:w="206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C6A5AD7" w14:textId="77777777" w:rsidR="00817B1D" w:rsidRPr="00F45AA3" w:rsidRDefault="00817B1D">
            <w:pPr>
              <w:rPr>
                <w:b/>
                <w:szCs w:val="24"/>
              </w:rPr>
            </w:pPr>
            <w:r w:rsidRPr="00F45AA3">
              <w:rPr>
                <w:b/>
                <w:szCs w:val="24"/>
              </w:rPr>
              <w:t>SC Approval Date:</w:t>
            </w:r>
          </w:p>
        </w:tc>
        <w:tc>
          <w:tcPr>
            <w:tcW w:w="7000" w:type="dxa"/>
            <w:gridSpan w:val="5"/>
            <w:tcBorders>
              <w:top w:val="single" w:sz="4" w:space="0" w:color="auto"/>
              <w:left w:val="single" w:sz="4" w:space="0" w:color="auto"/>
              <w:bottom w:val="single" w:sz="4" w:space="0" w:color="auto"/>
              <w:right w:val="single" w:sz="4" w:space="0" w:color="auto"/>
            </w:tcBorders>
            <w:vAlign w:val="center"/>
          </w:tcPr>
          <w:p w14:paraId="7B7BC938" w14:textId="77777777" w:rsidR="00EA46B1" w:rsidRDefault="00EA46B1" w:rsidP="00EA46B1">
            <w:r>
              <w:t>12 March 2014 (SC Project approval)</w:t>
            </w:r>
          </w:p>
          <w:p w14:paraId="272BBF73" w14:textId="77777777" w:rsidR="00817B1D" w:rsidRPr="00F45AA3" w:rsidRDefault="00817B1D">
            <w:pPr>
              <w:rPr>
                <w:b/>
                <w:szCs w:val="24"/>
              </w:rPr>
            </w:pPr>
          </w:p>
        </w:tc>
      </w:tr>
      <w:tr w:rsidR="005249FC" w:rsidRPr="00F45AA3" w14:paraId="2188D2EE" w14:textId="77777777" w:rsidTr="00F45AA3">
        <w:trPr>
          <w:trHeight w:val="743"/>
        </w:trPr>
        <w:tc>
          <w:tcPr>
            <w:tcW w:w="206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9E83E70" w14:textId="77777777" w:rsidR="00817B1D" w:rsidRPr="00F45AA3" w:rsidRDefault="00817B1D">
            <w:pPr>
              <w:rPr>
                <w:b/>
                <w:szCs w:val="24"/>
              </w:rPr>
            </w:pPr>
            <w:r w:rsidRPr="00F45AA3">
              <w:rPr>
                <w:b/>
                <w:szCs w:val="24"/>
              </w:rPr>
              <w:t>Project Duration:</w:t>
            </w:r>
          </w:p>
        </w:tc>
        <w:tc>
          <w:tcPr>
            <w:tcW w:w="1365" w:type="dxa"/>
            <w:tcBorders>
              <w:top w:val="single" w:sz="4" w:space="0" w:color="auto"/>
              <w:left w:val="single" w:sz="4" w:space="0" w:color="auto"/>
              <w:bottom w:val="single" w:sz="4" w:space="0" w:color="auto"/>
              <w:right w:val="single" w:sz="4" w:space="0" w:color="auto"/>
            </w:tcBorders>
            <w:vAlign w:val="center"/>
          </w:tcPr>
          <w:p w14:paraId="5DB05329" w14:textId="77777777" w:rsidR="00817B1D" w:rsidRPr="00F45AA3" w:rsidRDefault="00817B1D">
            <w:pPr>
              <w:rPr>
                <w:b/>
                <w:szCs w:val="24"/>
              </w:rPr>
            </w:pPr>
          </w:p>
          <w:p w14:paraId="6D4A65A8" w14:textId="6CBCC69F" w:rsidR="00817B1D" w:rsidRPr="00F45AA3" w:rsidRDefault="00EA46B1" w:rsidP="002D73EB">
            <w:pPr>
              <w:rPr>
                <w:b/>
                <w:szCs w:val="24"/>
              </w:rPr>
            </w:pPr>
            <w:r>
              <w:rPr>
                <w:b/>
                <w:szCs w:val="24"/>
              </w:rPr>
              <w:t>21 Months</w:t>
            </w:r>
            <w:r w:rsidR="002D73EB" w:rsidRPr="00F45AA3">
              <w:rPr>
                <w:b/>
                <w:szCs w:val="24"/>
              </w:rPr>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A2AC19C" w14:textId="77777777" w:rsidR="00817B1D" w:rsidRPr="00F45AA3" w:rsidRDefault="00817B1D">
            <w:pPr>
              <w:jc w:val="center"/>
              <w:rPr>
                <w:b/>
                <w:szCs w:val="24"/>
              </w:rPr>
            </w:pPr>
            <w:r w:rsidRPr="00F45AA3">
              <w:rPr>
                <w:b/>
                <w:szCs w:val="24"/>
              </w:rPr>
              <w:t>Starting Date:</w:t>
            </w:r>
          </w:p>
        </w:tc>
        <w:tc>
          <w:tcPr>
            <w:tcW w:w="1246" w:type="dxa"/>
            <w:tcBorders>
              <w:top w:val="single" w:sz="4" w:space="0" w:color="auto"/>
              <w:left w:val="single" w:sz="4" w:space="0" w:color="auto"/>
              <w:bottom w:val="single" w:sz="4" w:space="0" w:color="auto"/>
              <w:right w:val="single" w:sz="4" w:space="0" w:color="auto"/>
            </w:tcBorders>
            <w:vAlign w:val="center"/>
          </w:tcPr>
          <w:p w14:paraId="355266F2" w14:textId="77777777" w:rsidR="00817B1D" w:rsidRPr="00F45AA3" w:rsidRDefault="00D90F80" w:rsidP="00D90F80">
            <w:pPr>
              <w:rPr>
                <w:b/>
                <w:bCs/>
                <w:szCs w:val="24"/>
              </w:rPr>
            </w:pPr>
            <w:r w:rsidRPr="00F45AA3">
              <w:rPr>
                <w:b/>
                <w:bCs/>
                <w:szCs w:val="24"/>
              </w:rPr>
              <w:t>20 March 2014</w:t>
            </w:r>
          </w:p>
        </w:tc>
        <w:tc>
          <w:tcPr>
            <w:tcW w:w="15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544339F" w14:textId="77777777" w:rsidR="00817B1D" w:rsidRPr="00F45AA3" w:rsidRDefault="00817B1D">
            <w:pPr>
              <w:jc w:val="center"/>
              <w:rPr>
                <w:b/>
                <w:szCs w:val="24"/>
              </w:rPr>
            </w:pPr>
            <w:r w:rsidRPr="00F45AA3">
              <w:rPr>
                <w:b/>
                <w:szCs w:val="24"/>
                <w:shd w:val="clear" w:color="auto" w:fill="E6E6E6"/>
              </w:rPr>
              <w:t xml:space="preserve">Completion Date:  </w:t>
            </w:r>
            <w:r w:rsidRPr="00F45AA3">
              <w:rPr>
                <w:b/>
                <w:szCs w:val="24"/>
              </w:rPr>
              <w:t xml:space="preserve">   </w:t>
            </w:r>
          </w:p>
        </w:tc>
        <w:tc>
          <w:tcPr>
            <w:tcW w:w="1571" w:type="dxa"/>
            <w:tcBorders>
              <w:top w:val="single" w:sz="4" w:space="0" w:color="auto"/>
              <w:left w:val="single" w:sz="4" w:space="0" w:color="auto"/>
              <w:bottom w:val="single" w:sz="4" w:space="0" w:color="auto"/>
              <w:right w:val="single" w:sz="4" w:space="0" w:color="auto"/>
            </w:tcBorders>
            <w:vAlign w:val="center"/>
          </w:tcPr>
          <w:p w14:paraId="147D2F35" w14:textId="39BEE5B2" w:rsidR="00817B1D" w:rsidRPr="00F45AA3" w:rsidRDefault="00EA46B1">
            <w:pPr>
              <w:rPr>
                <w:b/>
                <w:bCs/>
                <w:szCs w:val="24"/>
              </w:rPr>
            </w:pPr>
            <w:r>
              <w:rPr>
                <w:b/>
                <w:bCs/>
                <w:szCs w:val="24"/>
              </w:rPr>
              <w:t>31 Dec</w:t>
            </w:r>
            <w:r w:rsidRPr="00F45AA3">
              <w:rPr>
                <w:b/>
                <w:bCs/>
                <w:szCs w:val="24"/>
              </w:rPr>
              <w:t xml:space="preserve"> 2015</w:t>
            </w:r>
          </w:p>
        </w:tc>
      </w:tr>
      <w:tr w:rsidR="00817B1D" w:rsidRPr="00F45AA3" w14:paraId="54F6402A" w14:textId="77777777" w:rsidTr="00F45AA3">
        <w:trPr>
          <w:trHeight w:val="698"/>
        </w:trPr>
        <w:tc>
          <w:tcPr>
            <w:tcW w:w="206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910C3AA" w14:textId="77777777" w:rsidR="00817B1D" w:rsidRPr="00F45AA3" w:rsidRDefault="00817B1D">
            <w:pPr>
              <w:rPr>
                <w:b/>
                <w:szCs w:val="24"/>
              </w:rPr>
            </w:pPr>
            <w:r w:rsidRPr="00F45AA3">
              <w:rPr>
                <w:b/>
                <w:szCs w:val="24"/>
              </w:rPr>
              <w:t xml:space="preserve">Funds Committed: </w:t>
            </w:r>
          </w:p>
        </w:tc>
        <w:tc>
          <w:tcPr>
            <w:tcW w:w="3836" w:type="dxa"/>
            <w:gridSpan w:val="3"/>
            <w:tcBorders>
              <w:top w:val="single" w:sz="4" w:space="0" w:color="auto"/>
              <w:left w:val="single" w:sz="4" w:space="0" w:color="auto"/>
              <w:bottom w:val="single" w:sz="4" w:space="0" w:color="auto"/>
              <w:right w:val="single" w:sz="4" w:space="0" w:color="auto"/>
            </w:tcBorders>
            <w:vAlign w:val="center"/>
            <w:hideMark/>
          </w:tcPr>
          <w:p w14:paraId="55CF68D1" w14:textId="282D49AA" w:rsidR="00CC458E" w:rsidRPr="00CC458E" w:rsidRDefault="00CC458E" w:rsidP="00FB5D6C">
            <w:pPr>
              <w:rPr>
                <w:b/>
                <w:bCs/>
                <w:color w:val="000000"/>
                <w:szCs w:val="24"/>
                <w:lang w:val="en-US"/>
              </w:rPr>
            </w:pPr>
            <w:r>
              <w:rPr>
                <w:b/>
                <w:bCs/>
                <w:color w:val="000000"/>
                <w:szCs w:val="24"/>
              </w:rPr>
              <w:t xml:space="preserve"> $</w:t>
            </w:r>
            <w:r w:rsidRPr="00CC458E">
              <w:rPr>
                <w:b/>
                <w:bCs/>
                <w:color w:val="000000"/>
                <w:szCs w:val="24"/>
              </w:rPr>
              <w:t xml:space="preserve">  </w:t>
            </w:r>
            <w:r w:rsidR="00FB5D6C">
              <w:rPr>
                <w:b/>
                <w:bCs/>
                <w:color w:val="000000"/>
                <w:szCs w:val="24"/>
              </w:rPr>
              <w:t>5,117,544.59</w:t>
            </w:r>
            <w:r w:rsidRPr="00CC458E">
              <w:rPr>
                <w:b/>
                <w:bCs/>
                <w:color w:val="000000"/>
                <w:szCs w:val="24"/>
              </w:rPr>
              <w:t xml:space="preserve"> </w:t>
            </w:r>
          </w:p>
          <w:p w14:paraId="332F0403" w14:textId="5D52A6B2" w:rsidR="00817B1D" w:rsidRPr="00F45AA3" w:rsidRDefault="00817B1D" w:rsidP="000D54A2">
            <w:pPr>
              <w:rPr>
                <w:b/>
                <w:color w:val="000000"/>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DB9A3DC" w14:textId="77777777" w:rsidR="00817B1D" w:rsidRPr="00F45AA3" w:rsidRDefault="00817B1D">
            <w:pPr>
              <w:jc w:val="center"/>
              <w:rPr>
                <w:b/>
                <w:szCs w:val="24"/>
              </w:rPr>
            </w:pPr>
            <w:r w:rsidRPr="00F45AA3">
              <w:rPr>
                <w:b/>
                <w:szCs w:val="24"/>
              </w:rPr>
              <w:t>Percentage of Approved:</w:t>
            </w:r>
          </w:p>
        </w:tc>
        <w:tc>
          <w:tcPr>
            <w:tcW w:w="1571" w:type="dxa"/>
            <w:tcBorders>
              <w:top w:val="single" w:sz="4" w:space="0" w:color="auto"/>
              <w:left w:val="single" w:sz="4" w:space="0" w:color="auto"/>
              <w:bottom w:val="single" w:sz="4" w:space="0" w:color="auto"/>
              <w:right w:val="single" w:sz="4" w:space="0" w:color="auto"/>
            </w:tcBorders>
            <w:vAlign w:val="center"/>
          </w:tcPr>
          <w:p w14:paraId="45CFEE50" w14:textId="434B33CE" w:rsidR="00817B1D" w:rsidRPr="00F45AA3" w:rsidRDefault="00FB5D6C" w:rsidP="009D7718">
            <w:pPr>
              <w:rPr>
                <w:b/>
                <w:szCs w:val="24"/>
              </w:rPr>
            </w:pPr>
            <w:r>
              <w:rPr>
                <w:b/>
                <w:szCs w:val="24"/>
              </w:rPr>
              <w:t>52</w:t>
            </w:r>
            <w:r w:rsidR="00CC458E">
              <w:rPr>
                <w:b/>
                <w:szCs w:val="24"/>
              </w:rPr>
              <w:t>%</w:t>
            </w:r>
          </w:p>
        </w:tc>
      </w:tr>
      <w:tr w:rsidR="00352BD5" w:rsidRPr="00F45AA3" w14:paraId="3DF45CD7" w14:textId="77777777" w:rsidTr="00F45AA3">
        <w:trPr>
          <w:trHeight w:val="694"/>
        </w:trPr>
        <w:tc>
          <w:tcPr>
            <w:tcW w:w="206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6086194" w14:textId="77777777" w:rsidR="00352BD5" w:rsidRPr="00F45AA3" w:rsidRDefault="00352BD5" w:rsidP="00352BD5">
            <w:pPr>
              <w:rPr>
                <w:b/>
                <w:szCs w:val="24"/>
              </w:rPr>
            </w:pPr>
            <w:r w:rsidRPr="00F45AA3">
              <w:rPr>
                <w:b/>
                <w:szCs w:val="24"/>
              </w:rPr>
              <w:t>Funds Disbursed:</w:t>
            </w:r>
          </w:p>
        </w:tc>
        <w:tc>
          <w:tcPr>
            <w:tcW w:w="3836" w:type="dxa"/>
            <w:gridSpan w:val="3"/>
            <w:tcBorders>
              <w:top w:val="single" w:sz="4" w:space="0" w:color="auto"/>
              <w:left w:val="single" w:sz="4" w:space="0" w:color="auto"/>
              <w:bottom w:val="single" w:sz="4" w:space="0" w:color="auto"/>
              <w:right w:val="single" w:sz="4" w:space="0" w:color="auto"/>
            </w:tcBorders>
            <w:vAlign w:val="center"/>
            <w:hideMark/>
          </w:tcPr>
          <w:p w14:paraId="2A355781" w14:textId="49A084E4" w:rsidR="00CC458E" w:rsidRPr="00CC458E" w:rsidRDefault="00CC458E" w:rsidP="00FB5D6C">
            <w:pPr>
              <w:rPr>
                <w:b/>
                <w:bCs/>
                <w:color w:val="000000"/>
                <w:szCs w:val="24"/>
                <w:lang w:val="en-US"/>
              </w:rPr>
            </w:pPr>
            <w:r>
              <w:rPr>
                <w:b/>
                <w:bCs/>
                <w:color w:val="000000"/>
                <w:szCs w:val="24"/>
              </w:rPr>
              <w:t xml:space="preserve"> $</w:t>
            </w:r>
            <w:r w:rsidRPr="00CC458E">
              <w:rPr>
                <w:b/>
                <w:bCs/>
                <w:color w:val="000000"/>
                <w:szCs w:val="24"/>
              </w:rPr>
              <w:t xml:space="preserve">  </w:t>
            </w:r>
            <w:r w:rsidR="00FB5D6C">
              <w:rPr>
                <w:b/>
                <w:bCs/>
                <w:color w:val="000000"/>
                <w:szCs w:val="24"/>
              </w:rPr>
              <w:t>4,914,765.52</w:t>
            </w:r>
            <w:r w:rsidRPr="00CC458E">
              <w:rPr>
                <w:b/>
                <w:bCs/>
                <w:color w:val="000000"/>
                <w:szCs w:val="24"/>
              </w:rPr>
              <w:t xml:space="preserve"> </w:t>
            </w:r>
          </w:p>
          <w:p w14:paraId="0A9427D6" w14:textId="6818984F" w:rsidR="00352BD5" w:rsidRPr="00F45AA3" w:rsidRDefault="00352BD5" w:rsidP="00352BD5">
            <w:pPr>
              <w:rPr>
                <w:b/>
                <w:color w:val="000000"/>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0C8F1A4" w14:textId="77777777" w:rsidR="00352BD5" w:rsidRPr="00F45AA3" w:rsidRDefault="00352BD5" w:rsidP="00352BD5">
            <w:pPr>
              <w:jc w:val="center"/>
              <w:rPr>
                <w:b/>
                <w:szCs w:val="24"/>
              </w:rPr>
            </w:pPr>
            <w:r w:rsidRPr="00F45AA3">
              <w:rPr>
                <w:b/>
                <w:szCs w:val="24"/>
              </w:rPr>
              <w:t>Percentage of Approved:</w:t>
            </w:r>
          </w:p>
        </w:tc>
        <w:tc>
          <w:tcPr>
            <w:tcW w:w="1571" w:type="dxa"/>
            <w:tcBorders>
              <w:top w:val="single" w:sz="4" w:space="0" w:color="auto"/>
              <w:left w:val="single" w:sz="4" w:space="0" w:color="auto"/>
              <w:bottom w:val="single" w:sz="4" w:space="0" w:color="auto"/>
              <w:right w:val="single" w:sz="4" w:space="0" w:color="auto"/>
            </w:tcBorders>
            <w:vAlign w:val="center"/>
          </w:tcPr>
          <w:p w14:paraId="67EB038E" w14:textId="41C49000" w:rsidR="00352BD5" w:rsidRPr="00F45AA3" w:rsidRDefault="00FB5D6C" w:rsidP="00FB5D6C">
            <w:pPr>
              <w:rPr>
                <w:b/>
                <w:szCs w:val="24"/>
              </w:rPr>
            </w:pPr>
            <w:r>
              <w:rPr>
                <w:b/>
                <w:szCs w:val="24"/>
              </w:rPr>
              <w:t>49.9</w:t>
            </w:r>
            <w:r w:rsidR="00CC458E">
              <w:rPr>
                <w:b/>
                <w:szCs w:val="24"/>
              </w:rPr>
              <w:t>%</w:t>
            </w:r>
          </w:p>
        </w:tc>
      </w:tr>
      <w:tr w:rsidR="00352BD5" w:rsidRPr="00F45AA3" w14:paraId="069988C5" w14:textId="77777777" w:rsidTr="00F45AA3">
        <w:trPr>
          <w:trHeight w:val="973"/>
        </w:trPr>
        <w:tc>
          <w:tcPr>
            <w:tcW w:w="206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29A806A" w14:textId="77777777" w:rsidR="00352BD5" w:rsidRPr="00F45AA3" w:rsidRDefault="00352BD5" w:rsidP="00352BD5">
            <w:pPr>
              <w:rPr>
                <w:b/>
                <w:szCs w:val="24"/>
              </w:rPr>
            </w:pPr>
            <w:r w:rsidRPr="00F45AA3">
              <w:rPr>
                <w:b/>
                <w:szCs w:val="24"/>
              </w:rPr>
              <w:t>Expected Project Duration:</w:t>
            </w:r>
          </w:p>
        </w:tc>
        <w:tc>
          <w:tcPr>
            <w:tcW w:w="1365" w:type="dxa"/>
            <w:tcBorders>
              <w:top w:val="single" w:sz="4" w:space="0" w:color="auto"/>
              <w:left w:val="single" w:sz="4" w:space="0" w:color="auto"/>
              <w:bottom w:val="single" w:sz="4" w:space="0" w:color="auto"/>
              <w:right w:val="single" w:sz="4" w:space="0" w:color="auto"/>
            </w:tcBorders>
            <w:vAlign w:val="center"/>
          </w:tcPr>
          <w:p w14:paraId="38BEC046" w14:textId="75F4A9CA" w:rsidR="00352BD5" w:rsidRPr="00F45AA3" w:rsidRDefault="00EA46B1" w:rsidP="00EA46B1">
            <w:pPr>
              <w:rPr>
                <w:b/>
                <w:szCs w:val="24"/>
              </w:rPr>
            </w:pPr>
            <w:r>
              <w:rPr>
                <w:b/>
                <w:szCs w:val="24"/>
              </w:rPr>
              <w:t xml:space="preserve">21 </w:t>
            </w:r>
            <w:r w:rsidR="00352BD5" w:rsidRPr="00F45AA3">
              <w:rPr>
                <w:b/>
                <w:szCs w:val="24"/>
              </w:rPr>
              <w:t xml:space="preserve"> months </w:t>
            </w:r>
          </w:p>
          <w:p w14:paraId="08E31806" w14:textId="77777777" w:rsidR="00352BD5" w:rsidRPr="00F45AA3" w:rsidRDefault="00352BD5" w:rsidP="00352BD5">
            <w:pPr>
              <w:rPr>
                <w:b/>
                <w:szCs w:val="24"/>
              </w:rPr>
            </w:pPr>
          </w:p>
        </w:tc>
        <w:tc>
          <w:tcPr>
            <w:tcW w:w="122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B1D4273" w14:textId="77777777" w:rsidR="00352BD5" w:rsidRPr="00F45AA3" w:rsidRDefault="00352BD5" w:rsidP="00352BD5">
            <w:pPr>
              <w:jc w:val="center"/>
              <w:rPr>
                <w:b/>
                <w:szCs w:val="24"/>
              </w:rPr>
            </w:pPr>
            <w:r w:rsidRPr="00F45AA3">
              <w:rPr>
                <w:b/>
                <w:szCs w:val="24"/>
                <w:shd w:val="clear" w:color="auto" w:fill="E6E6E6"/>
              </w:rPr>
              <w:t xml:space="preserve">Forecast Final Date:  </w:t>
            </w:r>
            <w:r w:rsidRPr="00F45AA3">
              <w:rPr>
                <w:b/>
                <w:szCs w:val="24"/>
              </w:rPr>
              <w:t xml:space="preserve">   </w:t>
            </w:r>
          </w:p>
        </w:tc>
        <w:tc>
          <w:tcPr>
            <w:tcW w:w="1246" w:type="dxa"/>
            <w:tcBorders>
              <w:top w:val="single" w:sz="4" w:space="0" w:color="auto"/>
              <w:left w:val="single" w:sz="4" w:space="0" w:color="auto"/>
              <w:bottom w:val="single" w:sz="4" w:space="0" w:color="auto"/>
              <w:right w:val="single" w:sz="4" w:space="0" w:color="auto"/>
            </w:tcBorders>
            <w:vAlign w:val="center"/>
          </w:tcPr>
          <w:p w14:paraId="7C8AE5F4" w14:textId="4E4DEB1D" w:rsidR="00352BD5" w:rsidRPr="00F45AA3" w:rsidRDefault="00EA46B1" w:rsidP="00352BD5">
            <w:pPr>
              <w:rPr>
                <w:b/>
                <w:bCs/>
                <w:szCs w:val="24"/>
              </w:rPr>
            </w:pPr>
            <w:r>
              <w:rPr>
                <w:b/>
                <w:bCs/>
                <w:szCs w:val="24"/>
              </w:rPr>
              <w:t>31 Dec</w:t>
            </w:r>
            <w:r w:rsidRPr="00F45AA3">
              <w:rPr>
                <w:b/>
                <w:bCs/>
                <w:szCs w:val="24"/>
              </w:rPr>
              <w:t xml:space="preserve"> 2015</w:t>
            </w:r>
          </w:p>
        </w:tc>
        <w:tc>
          <w:tcPr>
            <w:tcW w:w="15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7A4B9F9" w14:textId="77777777" w:rsidR="00352BD5" w:rsidRPr="00F45AA3" w:rsidRDefault="00352BD5" w:rsidP="00352BD5">
            <w:pPr>
              <w:jc w:val="center"/>
              <w:rPr>
                <w:b/>
                <w:szCs w:val="24"/>
              </w:rPr>
            </w:pPr>
            <w:r w:rsidRPr="00F45AA3">
              <w:rPr>
                <w:b/>
                <w:szCs w:val="24"/>
              </w:rPr>
              <w:t>Delay (Months):</w:t>
            </w:r>
          </w:p>
        </w:tc>
        <w:tc>
          <w:tcPr>
            <w:tcW w:w="1571" w:type="dxa"/>
            <w:tcBorders>
              <w:top w:val="single" w:sz="4" w:space="0" w:color="auto"/>
              <w:left w:val="single" w:sz="4" w:space="0" w:color="auto"/>
              <w:bottom w:val="single" w:sz="4" w:space="0" w:color="auto"/>
              <w:right w:val="single" w:sz="4" w:space="0" w:color="auto"/>
            </w:tcBorders>
            <w:vAlign w:val="center"/>
          </w:tcPr>
          <w:p w14:paraId="057F7AE0" w14:textId="77777777" w:rsidR="00352BD5" w:rsidRPr="00F45AA3" w:rsidRDefault="00352BD5" w:rsidP="00352BD5">
            <w:pPr>
              <w:rPr>
                <w:b/>
                <w:bCs/>
                <w:szCs w:val="24"/>
              </w:rPr>
            </w:pPr>
            <w:r w:rsidRPr="00F45AA3">
              <w:rPr>
                <w:b/>
                <w:bCs/>
                <w:szCs w:val="24"/>
              </w:rPr>
              <w:t>0 Months</w:t>
            </w:r>
          </w:p>
        </w:tc>
      </w:tr>
    </w:tbl>
    <w:p w14:paraId="4B20932E" w14:textId="77777777" w:rsidR="00817B1D" w:rsidRDefault="00817B1D" w:rsidP="00817B1D">
      <w:pPr>
        <w:rPr>
          <w:sz w:val="20"/>
        </w:rPr>
      </w:pPr>
    </w:p>
    <w:p w14:paraId="3097AFBE" w14:textId="77777777" w:rsidR="00F45AA3" w:rsidRDefault="00F45AA3" w:rsidP="00817B1D">
      <w:pPr>
        <w:rPr>
          <w:sz w:val="20"/>
        </w:rPr>
      </w:pPr>
    </w:p>
    <w:p w14:paraId="463DE6C3" w14:textId="77777777" w:rsidR="00F45AA3" w:rsidRDefault="00F45AA3" w:rsidP="00817B1D">
      <w:pPr>
        <w:rPr>
          <w:sz w:val="20"/>
        </w:rPr>
      </w:pPr>
    </w:p>
    <w:p w14:paraId="4FCA9F68" w14:textId="77777777" w:rsidR="00F45AA3" w:rsidRDefault="00F45AA3" w:rsidP="00817B1D">
      <w:pPr>
        <w:rPr>
          <w:sz w:val="20"/>
        </w:rPr>
      </w:pPr>
    </w:p>
    <w:p w14:paraId="2B522715" w14:textId="77777777" w:rsidR="00F45AA3" w:rsidRDefault="00F45AA3" w:rsidP="00817B1D">
      <w:pPr>
        <w:rPr>
          <w:sz w:val="20"/>
        </w:rPr>
      </w:pPr>
    </w:p>
    <w:p w14:paraId="09B2235A" w14:textId="77777777" w:rsidR="00F45AA3" w:rsidRDefault="00F45AA3" w:rsidP="00817B1D">
      <w:pPr>
        <w:rPr>
          <w:sz w:val="20"/>
        </w:rPr>
      </w:pPr>
    </w:p>
    <w:p w14:paraId="1202FB8E" w14:textId="77777777" w:rsidR="00F45AA3" w:rsidRDefault="00F45AA3" w:rsidP="00817B1D">
      <w:pPr>
        <w:rPr>
          <w:sz w:val="20"/>
        </w:rPr>
      </w:pPr>
    </w:p>
    <w:p w14:paraId="1779317B" w14:textId="77777777" w:rsidR="00F45AA3" w:rsidRDefault="00F45AA3" w:rsidP="00817B1D">
      <w:pPr>
        <w:rPr>
          <w:sz w:val="20"/>
        </w:rPr>
      </w:pPr>
    </w:p>
    <w:p w14:paraId="1F6C0CAF" w14:textId="77777777" w:rsidR="00F45AA3" w:rsidRDefault="00F45AA3" w:rsidP="00817B1D">
      <w:pPr>
        <w:rPr>
          <w:sz w:val="20"/>
        </w:rPr>
      </w:pPr>
    </w:p>
    <w:p w14:paraId="0F2F569E" w14:textId="77777777" w:rsidR="00F45AA3" w:rsidRDefault="00F45AA3" w:rsidP="00817B1D">
      <w:pPr>
        <w:rPr>
          <w:sz w:val="20"/>
        </w:rPr>
      </w:pPr>
    </w:p>
    <w:p w14:paraId="261A91FD" w14:textId="77777777" w:rsidR="00F45AA3" w:rsidRDefault="00F45AA3" w:rsidP="00817B1D">
      <w:pPr>
        <w:rPr>
          <w:sz w:val="20"/>
        </w:rPr>
      </w:pPr>
    </w:p>
    <w:p w14:paraId="645F5F4A" w14:textId="77777777" w:rsidR="00F45AA3" w:rsidRDefault="00F45AA3" w:rsidP="00817B1D">
      <w:pPr>
        <w:rPr>
          <w:sz w:val="20"/>
        </w:rPr>
      </w:pPr>
    </w:p>
    <w:p w14:paraId="39D7858E" w14:textId="77777777" w:rsidR="00F45AA3" w:rsidRDefault="00F45AA3" w:rsidP="00817B1D">
      <w:pPr>
        <w:rPr>
          <w:sz w:val="20"/>
        </w:rPr>
      </w:pPr>
    </w:p>
    <w:p w14:paraId="1C2B731A" w14:textId="77777777" w:rsidR="00F45AA3" w:rsidRDefault="00F45AA3" w:rsidP="00817B1D">
      <w:pPr>
        <w:rPr>
          <w:sz w:val="20"/>
        </w:rPr>
      </w:pPr>
    </w:p>
    <w:p w14:paraId="49EB701B" w14:textId="77777777" w:rsidR="00F45AA3" w:rsidRDefault="00F45AA3" w:rsidP="00817B1D">
      <w:pPr>
        <w:rPr>
          <w:sz w:val="20"/>
        </w:rPr>
      </w:pPr>
    </w:p>
    <w:p w14:paraId="68389678" w14:textId="77777777" w:rsidR="00F45AA3" w:rsidRDefault="00F45AA3" w:rsidP="00817B1D">
      <w:pPr>
        <w:rPr>
          <w:sz w:val="20"/>
        </w:rPr>
      </w:pPr>
    </w:p>
    <w:p w14:paraId="5DF1718D" w14:textId="77777777" w:rsidR="00F45AA3" w:rsidRDefault="00F45AA3" w:rsidP="00817B1D">
      <w:pPr>
        <w:rPr>
          <w:sz w:val="20"/>
        </w:rPr>
      </w:pPr>
    </w:p>
    <w:p w14:paraId="129E2703" w14:textId="77777777" w:rsidR="00F45AA3" w:rsidRPr="00D90F80" w:rsidRDefault="00F45AA3" w:rsidP="00817B1D">
      <w:pPr>
        <w:rPr>
          <w:sz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3"/>
        <w:gridCol w:w="5730"/>
        <w:gridCol w:w="1276"/>
      </w:tblGrid>
      <w:tr w:rsidR="00817B1D" w:rsidRPr="00D90F80" w14:paraId="7B679269" w14:textId="77777777" w:rsidTr="00E6633B">
        <w:trPr>
          <w:trHeight w:val="418"/>
        </w:trPr>
        <w:tc>
          <w:tcPr>
            <w:tcW w:w="334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BBB2C98" w14:textId="77777777" w:rsidR="00817B1D" w:rsidRPr="00D90F80" w:rsidRDefault="00817B1D">
            <w:pPr>
              <w:jc w:val="center"/>
              <w:rPr>
                <w:b/>
                <w:color w:val="000000"/>
                <w:sz w:val="20"/>
              </w:rPr>
            </w:pPr>
            <w:r w:rsidRPr="00D90F80">
              <w:rPr>
                <w:b/>
                <w:color w:val="000000"/>
                <w:sz w:val="20"/>
              </w:rPr>
              <w:t>Outcomes:</w:t>
            </w:r>
          </w:p>
        </w:tc>
        <w:tc>
          <w:tcPr>
            <w:tcW w:w="57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6AA97BE" w14:textId="77777777" w:rsidR="00817B1D" w:rsidRPr="00D90F80" w:rsidRDefault="00817B1D">
            <w:pPr>
              <w:jc w:val="center"/>
              <w:rPr>
                <w:b/>
                <w:color w:val="000000"/>
                <w:sz w:val="20"/>
              </w:rPr>
            </w:pPr>
            <w:r w:rsidRPr="00D90F80">
              <w:rPr>
                <w:b/>
                <w:color w:val="000000"/>
                <w:sz w:val="20"/>
              </w:rPr>
              <w:t>Achievements/Results:</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98C034E" w14:textId="77777777" w:rsidR="00817B1D" w:rsidRPr="00D90F80" w:rsidRDefault="00817B1D">
            <w:pPr>
              <w:jc w:val="center"/>
              <w:rPr>
                <w:b/>
                <w:sz w:val="20"/>
              </w:rPr>
            </w:pPr>
            <w:r w:rsidRPr="00D90F80">
              <w:rPr>
                <w:b/>
                <w:sz w:val="20"/>
              </w:rPr>
              <w:t>Percentage of planned:</w:t>
            </w:r>
          </w:p>
        </w:tc>
      </w:tr>
      <w:tr w:rsidR="00AC1585" w:rsidRPr="00D90F80" w14:paraId="0193D5D3" w14:textId="77777777" w:rsidTr="00E6633B">
        <w:trPr>
          <w:trHeight w:val="512"/>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4F68C67F" w14:textId="77777777" w:rsidR="00AC1585" w:rsidRPr="00D90F80" w:rsidRDefault="00AC1585">
            <w:pPr>
              <w:rPr>
                <w:b/>
                <w:sz w:val="20"/>
                <w:lang w:val="en-US"/>
              </w:rPr>
            </w:pPr>
            <w:r w:rsidRPr="00D90F80">
              <w:rPr>
                <w:b/>
                <w:sz w:val="20"/>
                <w:lang w:val="en-US"/>
              </w:rPr>
              <w:t>Outcome 1: “</w:t>
            </w:r>
            <w:r w:rsidR="00EB6E0E" w:rsidRPr="00EB6E0E">
              <w:rPr>
                <w:b/>
                <w:sz w:val="20"/>
                <w:lang w:val="en-US"/>
              </w:rPr>
              <w:t xml:space="preserve">Implementation of the CMP advanced according to agreed timelines and steps, on the basis of coherent technical, financial and administrative support  </w:t>
            </w:r>
            <w:r w:rsidRPr="00D90F80">
              <w:rPr>
                <w:b/>
                <w:sz w:val="20"/>
                <w:lang w:val="en-US"/>
              </w:rPr>
              <w:t>”</w:t>
            </w:r>
          </w:p>
        </w:tc>
      </w:tr>
      <w:tr w:rsidR="00817B1D" w:rsidRPr="00D90F80" w14:paraId="6DA743F3" w14:textId="77777777" w:rsidTr="00F2062C">
        <w:trPr>
          <w:trHeight w:val="4140"/>
        </w:trPr>
        <w:tc>
          <w:tcPr>
            <w:tcW w:w="3343" w:type="dxa"/>
            <w:tcBorders>
              <w:top w:val="single" w:sz="4" w:space="0" w:color="auto"/>
              <w:left w:val="single" w:sz="4" w:space="0" w:color="auto"/>
              <w:bottom w:val="single" w:sz="4" w:space="0" w:color="auto"/>
              <w:right w:val="single" w:sz="4" w:space="0" w:color="auto"/>
            </w:tcBorders>
            <w:vAlign w:val="center"/>
          </w:tcPr>
          <w:p w14:paraId="1F7EB168" w14:textId="77777777" w:rsidR="001A5525" w:rsidRPr="00E72C09" w:rsidRDefault="001A5525" w:rsidP="00E6633B">
            <w:pPr>
              <w:pStyle w:val="ListParagraph"/>
              <w:ind w:left="0"/>
              <w:rPr>
                <w:bCs/>
                <w:sz w:val="20"/>
                <w:lang w:val="en-US"/>
              </w:rPr>
            </w:pPr>
          </w:p>
          <w:p w14:paraId="5A68ADA2" w14:textId="6902DCC1" w:rsidR="00817B1D" w:rsidRPr="00E72C09" w:rsidRDefault="00E72C09" w:rsidP="0086494E">
            <w:pPr>
              <w:pStyle w:val="ListParagraph"/>
              <w:numPr>
                <w:ilvl w:val="1"/>
                <w:numId w:val="1"/>
              </w:numPr>
              <w:rPr>
                <w:bCs/>
                <w:color w:val="000000"/>
                <w:sz w:val="20"/>
                <w:lang w:val="en-US"/>
              </w:rPr>
            </w:pPr>
            <w:r w:rsidRPr="00E72C09">
              <w:rPr>
                <w:bCs/>
                <w:color w:val="000000"/>
                <w:sz w:val="20"/>
                <w:lang w:val="en-US"/>
              </w:rPr>
              <w:t xml:space="preserve">Well-resourced </w:t>
            </w:r>
            <w:r w:rsidR="00411563">
              <w:rPr>
                <w:bCs/>
                <w:color w:val="000000"/>
                <w:sz w:val="20"/>
                <w:lang w:val="en-US"/>
              </w:rPr>
              <w:t>Constitution Drafting Commissions Secretariat (the Secretariat)</w:t>
            </w:r>
            <w:r w:rsidRPr="00E72C09">
              <w:rPr>
                <w:bCs/>
                <w:color w:val="000000"/>
                <w:sz w:val="20"/>
                <w:lang w:val="en-US"/>
              </w:rPr>
              <w:t xml:space="preserve"> provides the administrative, logistical and technical support to the Constitutional process.</w:t>
            </w:r>
          </w:p>
          <w:p w14:paraId="7CDA16CC" w14:textId="77777777" w:rsidR="00E6633B" w:rsidRPr="00D90F80" w:rsidRDefault="00E6633B" w:rsidP="00E6633B">
            <w:pPr>
              <w:pStyle w:val="ListParagraph"/>
              <w:ind w:left="360"/>
              <w:rPr>
                <w:b/>
                <w:color w:val="000000"/>
                <w:sz w:val="20"/>
                <w:lang w:val="en-US"/>
              </w:rPr>
            </w:pPr>
          </w:p>
        </w:tc>
        <w:tc>
          <w:tcPr>
            <w:tcW w:w="5730" w:type="dxa"/>
            <w:tcBorders>
              <w:top w:val="single" w:sz="4" w:space="0" w:color="auto"/>
              <w:left w:val="single" w:sz="4" w:space="0" w:color="auto"/>
              <w:bottom w:val="single" w:sz="4" w:space="0" w:color="auto"/>
              <w:right w:val="single" w:sz="4" w:space="0" w:color="auto"/>
            </w:tcBorders>
            <w:vAlign w:val="center"/>
          </w:tcPr>
          <w:p w14:paraId="2882E122" w14:textId="66E86063" w:rsidR="00D83E1A" w:rsidRDefault="00437F75" w:rsidP="00541DB9">
            <w:pPr>
              <w:jc w:val="both"/>
              <w:rPr>
                <w:color w:val="000000"/>
                <w:sz w:val="20"/>
                <w:lang w:val="en-US"/>
              </w:rPr>
            </w:pPr>
            <w:r>
              <w:rPr>
                <w:color w:val="000000"/>
                <w:sz w:val="20"/>
                <w:lang w:val="en-US"/>
              </w:rPr>
              <w:t>Under this Outcome, the</w:t>
            </w:r>
            <w:r w:rsidR="00541DB9">
              <w:rPr>
                <w:color w:val="000000"/>
                <w:sz w:val="20"/>
                <w:lang w:val="en-US"/>
              </w:rPr>
              <w:t xml:space="preserve"> Office of OSESG</w:t>
            </w:r>
            <w:r>
              <w:rPr>
                <w:color w:val="000000"/>
                <w:sz w:val="20"/>
                <w:lang w:val="en-US"/>
              </w:rPr>
              <w:t>, UNOPS</w:t>
            </w:r>
            <w:r w:rsidR="00541DB9">
              <w:rPr>
                <w:color w:val="000000"/>
                <w:sz w:val="20"/>
                <w:lang w:val="en-US"/>
              </w:rPr>
              <w:t xml:space="preserve"> and the Secretariat</w:t>
            </w:r>
            <w:r w:rsidR="002C1B66">
              <w:rPr>
                <w:color w:val="000000"/>
                <w:sz w:val="20"/>
                <w:lang w:val="en-US"/>
              </w:rPr>
              <w:t xml:space="preserve"> </w:t>
            </w:r>
            <w:r w:rsidR="00D83E1A">
              <w:rPr>
                <w:color w:val="000000"/>
                <w:sz w:val="20"/>
                <w:lang w:val="en-US"/>
              </w:rPr>
              <w:t>implemented the following activities during the period of reporting:</w:t>
            </w:r>
          </w:p>
          <w:p w14:paraId="66A450A5" w14:textId="77777777" w:rsidR="00D83E1A" w:rsidRDefault="00D83E1A" w:rsidP="00944915">
            <w:pPr>
              <w:jc w:val="both"/>
              <w:rPr>
                <w:color w:val="000000"/>
                <w:sz w:val="20"/>
                <w:lang w:val="en-US"/>
              </w:rPr>
            </w:pPr>
          </w:p>
          <w:p w14:paraId="0C094146" w14:textId="16FD56D1" w:rsidR="0086494E" w:rsidRPr="00D50AB5" w:rsidRDefault="00541DB9" w:rsidP="00541DB9">
            <w:pPr>
              <w:pStyle w:val="ListParagraph"/>
              <w:numPr>
                <w:ilvl w:val="0"/>
                <w:numId w:val="6"/>
              </w:numPr>
              <w:jc w:val="both"/>
              <w:rPr>
                <w:i/>
                <w:iCs/>
                <w:color w:val="000000"/>
                <w:sz w:val="20"/>
                <w:lang w:val="en-US"/>
              </w:rPr>
            </w:pPr>
            <w:r>
              <w:rPr>
                <w:color w:val="000000"/>
                <w:sz w:val="20"/>
                <w:lang w:val="en-US"/>
              </w:rPr>
              <w:t>The Secretariat worked on a final report for the constitutional process support which documents the work done to support the constitutional drafting process.</w:t>
            </w:r>
          </w:p>
          <w:p w14:paraId="1C12716C" w14:textId="3CB6A7B7" w:rsidR="009529A9" w:rsidRPr="00D50AB5" w:rsidRDefault="00952DB7" w:rsidP="00541DB9">
            <w:pPr>
              <w:pStyle w:val="ListParagraph"/>
              <w:numPr>
                <w:ilvl w:val="0"/>
                <w:numId w:val="6"/>
              </w:numPr>
              <w:jc w:val="both"/>
              <w:rPr>
                <w:i/>
                <w:iCs/>
                <w:color w:val="000000"/>
                <w:sz w:val="20"/>
                <w:lang w:val="en-US"/>
              </w:rPr>
            </w:pPr>
            <w:r>
              <w:rPr>
                <w:color w:val="000000"/>
                <w:sz w:val="20"/>
                <w:lang w:val="en-US"/>
              </w:rPr>
              <w:t xml:space="preserve">The Secretariat with UNOPS worked on further planning for the upcoming period and renewed all contracts of the critical staff up to Sep 2015. </w:t>
            </w:r>
          </w:p>
          <w:p w14:paraId="443962A0" w14:textId="1954F443" w:rsidR="00453DC2" w:rsidRPr="00D50AB5" w:rsidRDefault="00541DB9" w:rsidP="00541DB9">
            <w:pPr>
              <w:pStyle w:val="ListParagraph"/>
              <w:numPr>
                <w:ilvl w:val="0"/>
                <w:numId w:val="6"/>
              </w:numPr>
              <w:jc w:val="both"/>
              <w:rPr>
                <w:i/>
                <w:iCs/>
                <w:color w:val="000000"/>
                <w:sz w:val="20"/>
                <w:lang w:val="en-US"/>
              </w:rPr>
            </w:pPr>
            <w:r>
              <w:rPr>
                <w:color w:val="000000"/>
                <w:sz w:val="20"/>
                <w:lang w:val="en-US"/>
              </w:rPr>
              <w:t xml:space="preserve">After militants took </w:t>
            </w:r>
            <w:r w:rsidR="00453DC2">
              <w:rPr>
                <w:color w:val="000000"/>
                <w:sz w:val="20"/>
                <w:lang w:val="en-US"/>
              </w:rPr>
              <w:t xml:space="preserve">over the Secretariat office on March, UNOPS </w:t>
            </w:r>
            <w:r w:rsidR="0012025C">
              <w:rPr>
                <w:color w:val="000000"/>
                <w:sz w:val="20"/>
                <w:lang w:val="en-US"/>
              </w:rPr>
              <w:t>located and contracted</w:t>
            </w:r>
            <w:r w:rsidR="00453DC2">
              <w:rPr>
                <w:color w:val="000000"/>
                <w:sz w:val="20"/>
                <w:lang w:val="en-US"/>
              </w:rPr>
              <w:t xml:space="preserve"> a warehouse to move the Secretariat furniture and equipment. Unfortunately, militan</w:t>
            </w:r>
            <w:r>
              <w:rPr>
                <w:color w:val="000000"/>
                <w:sz w:val="20"/>
                <w:lang w:val="en-US"/>
              </w:rPr>
              <w:t>ts refused to allow moving anything out of the building</w:t>
            </w:r>
            <w:r w:rsidR="00453DC2">
              <w:rPr>
                <w:color w:val="000000"/>
                <w:sz w:val="20"/>
                <w:lang w:val="en-US"/>
              </w:rPr>
              <w:t xml:space="preserve">.  </w:t>
            </w:r>
          </w:p>
          <w:p w14:paraId="48053458" w14:textId="0FDE5375" w:rsidR="00952DB7" w:rsidRPr="00D50AB5" w:rsidRDefault="00673959" w:rsidP="008E7D8F">
            <w:pPr>
              <w:pStyle w:val="ListParagraph"/>
              <w:numPr>
                <w:ilvl w:val="0"/>
                <w:numId w:val="6"/>
              </w:numPr>
              <w:jc w:val="both"/>
              <w:rPr>
                <w:i/>
                <w:iCs/>
                <w:color w:val="000000"/>
                <w:sz w:val="20"/>
                <w:lang w:val="en-US"/>
              </w:rPr>
            </w:pPr>
            <w:r>
              <w:rPr>
                <w:sz w:val="20"/>
                <w:lang w:val="en-US"/>
              </w:rPr>
              <w:t>On April</w:t>
            </w:r>
            <w:r w:rsidR="00541DB9">
              <w:rPr>
                <w:sz w:val="20"/>
                <w:lang w:val="en-US"/>
              </w:rPr>
              <w:t>, the Secretariat premises w</w:t>
            </w:r>
            <w:r w:rsidR="00C55E7A">
              <w:rPr>
                <w:sz w:val="20"/>
                <w:lang w:val="en-US"/>
              </w:rPr>
              <w:t>ere</w:t>
            </w:r>
            <w:r w:rsidR="00541DB9">
              <w:rPr>
                <w:sz w:val="20"/>
                <w:lang w:val="en-US"/>
              </w:rPr>
              <w:t xml:space="preserve"> a</w:t>
            </w:r>
            <w:r>
              <w:rPr>
                <w:sz w:val="20"/>
                <w:lang w:val="en-US"/>
              </w:rPr>
              <w:t>ffected by the Coalition airstrikes on Attan. UNOP</w:t>
            </w:r>
            <w:r w:rsidR="00C55E7A">
              <w:rPr>
                <w:sz w:val="20"/>
                <w:lang w:val="en-US"/>
              </w:rPr>
              <w:t>S</w:t>
            </w:r>
            <w:r>
              <w:rPr>
                <w:sz w:val="20"/>
                <w:lang w:val="en-US"/>
              </w:rPr>
              <w:t xml:space="preserve"> and the Secretariat formed a committee to assess the damage. </w:t>
            </w:r>
            <w:r w:rsidR="00453DC2">
              <w:rPr>
                <w:sz w:val="20"/>
                <w:lang w:val="en-US"/>
              </w:rPr>
              <w:t xml:space="preserve">Since they couldn’t </w:t>
            </w:r>
            <w:r w:rsidR="008E7D8F">
              <w:rPr>
                <w:sz w:val="20"/>
                <w:lang w:val="en-US"/>
              </w:rPr>
              <w:t xml:space="preserve">move things out of the building, UNOPS negotiated a 70% discount on the building rent. </w:t>
            </w:r>
            <w:r w:rsidR="009529A9">
              <w:rPr>
                <w:sz w:val="20"/>
                <w:lang w:val="en-US"/>
              </w:rPr>
              <w:t xml:space="preserve"> </w:t>
            </w:r>
          </w:p>
          <w:p w14:paraId="2ECA0ABD" w14:textId="267CE532" w:rsidR="00FC6A2F" w:rsidRPr="00437F75" w:rsidRDefault="00FC6A2F" w:rsidP="00437F75">
            <w:pPr>
              <w:jc w:val="both"/>
              <w:rPr>
                <w:color w:val="000000"/>
                <w:sz w:val="20"/>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80AB3FA" w14:textId="018F11A5" w:rsidR="00817B1D" w:rsidRPr="00D90F80" w:rsidRDefault="0002404E">
            <w:pPr>
              <w:rPr>
                <w:b/>
                <w:sz w:val="20"/>
              </w:rPr>
            </w:pPr>
            <w:r>
              <w:rPr>
                <w:b/>
                <w:sz w:val="20"/>
              </w:rPr>
              <w:t>100</w:t>
            </w:r>
            <w:r w:rsidR="00155885">
              <w:rPr>
                <w:b/>
                <w:sz w:val="20"/>
              </w:rPr>
              <w:t>%</w:t>
            </w:r>
          </w:p>
        </w:tc>
      </w:tr>
      <w:tr w:rsidR="001A5525" w:rsidRPr="00D90F80" w14:paraId="2383365E" w14:textId="77777777" w:rsidTr="00E6633B">
        <w:trPr>
          <w:trHeight w:val="530"/>
        </w:trPr>
        <w:tc>
          <w:tcPr>
            <w:tcW w:w="3343" w:type="dxa"/>
            <w:tcBorders>
              <w:top w:val="single" w:sz="4" w:space="0" w:color="auto"/>
              <w:left w:val="single" w:sz="4" w:space="0" w:color="auto"/>
              <w:bottom w:val="single" w:sz="4" w:space="0" w:color="auto"/>
              <w:right w:val="single" w:sz="4" w:space="0" w:color="auto"/>
            </w:tcBorders>
            <w:vAlign w:val="center"/>
          </w:tcPr>
          <w:p w14:paraId="44E6C214" w14:textId="51D27DD6" w:rsidR="001A5525" w:rsidRPr="00E72C09" w:rsidRDefault="00E72C09" w:rsidP="0086494E">
            <w:pPr>
              <w:pStyle w:val="ListParagraph"/>
              <w:numPr>
                <w:ilvl w:val="1"/>
                <w:numId w:val="1"/>
              </w:numPr>
              <w:rPr>
                <w:sz w:val="20"/>
                <w:lang w:val="en-US" w:bidi="ar-YE"/>
              </w:rPr>
            </w:pPr>
            <w:r w:rsidRPr="00E72C09">
              <w:rPr>
                <w:sz w:val="20"/>
                <w:lang w:val="en-US"/>
              </w:rPr>
              <w:t>The CDCS is provided with administrative budget, technical and political support, including lessons learned and comparative analysis and mediation / facilitation assistance when requested.</w:t>
            </w:r>
          </w:p>
        </w:tc>
        <w:tc>
          <w:tcPr>
            <w:tcW w:w="5730" w:type="dxa"/>
            <w:tcBorders>
              <w:top w:val="single" w:sz="4" w:space="0" w:color="auto"/>
              <w:left w:val="single" w:sz="4" w:space="0" w:color="auto"/>
              <w:bottom w:val="single" w:sz="4" w:space="0" w:color="auto"/>
              <w:right w:val="single" w:sz="4" w:space="0" w:color="auto"/>
            </w:tcBorders>
            <w:vAlign w:val="center"/>
          </w:tcPr>
          <w:p w14:paraId="7AC986BD" w14:textId="52D810BE" w:rsidR="009574C9" w:rsidRPr="009574C9" w:rsidRDefault="009574C9" w:rsidP="00673959">
            <w:pPr>
              <w:pStyle w:val="ListParagraph"/>
              <w:numPr>
                <w:ilvl w:val="0"/>
                <w:numId w:val="15"/>
              </w:numPr>
              <w:shd w:val="clear" w:color="auto" w:fill="FFFFFF" w:themeFill="background1"/>
              <w:rPr>
                <w:sz w:val="20"/>
                <w:lang w:val="en-US"/>
              </w:rPr>
            </w:pPr>
            <w:r w:rsidRPr="009574C9">
              <w:rPr>
                <w:sz w:val="20"/>
                <w:lang w:val="en-US"/>
              </w:rPr>
              <w:t>Secretariat staff continued working from home during this period.</w:t>
            </w:r>
          </w:p>
          <w:p w14:paraId="3AE10684" w14:textId="787560F7" w:rsidR="00497371" w:rsidRPr="009574C9" w:rsidRDefault="00233819" w:rsidP="00C55E7A">
            <w:pPr>
              <w:pStyle w:val="ListParagraph"/>
              <w:numPr>
                <w:ilvl w:val="0"/>
                <w:numId w:val="15"/>
              </w:numPr>
              <w:shd w:val="clear" w:color="auto" w:fill="FFFFFF" w:themeFill="background1"/>
              <w:rPr>
                <w:sz w:val="20"/>
                <w:lang w:val="en-US"/>
              </w:rPr>
            </w:pPr>
            <w:r>
              <w:rPr>
                <w:sz w:val="20"/>
                <w:lang w:val="en-US"/>
              </w:rPr>
              <w:t>OSESG</w:t>
            </w:r>
            <w:r w:rsidR="006B67AD">
              <w:rPr>
                <w:sz w:val="20"/>
                <w:lang w:val="en-US"/>
              </w:rPr>
              <w:t xml:space="preserve"> </w:t>
            </w:r>
            <w:r w:rsidR="00673959">
              <w:rPr>
                <w:sz w:val="20"/>
                <w:lang w:val="en-US"/>
              </w:rPr>
              <w:t>continue</w:t>
            </w:r>
            <w:r w:rsidR="006B67AD">
              <w:rPr>
                <w:sz w:val="20"/>
                <w:lang w:val="en-US"/>
              </w:rPr>
              <w:t xml:space="preserve">d providing updates to donors. </w:t>
            </w:r>
            <w:r w:rsidR="00673959">
              <w:rPr>
                <w:sz w:val="20"/>
                <w:lang w:val="en-US"/>
              </w:rPr>
              <w:t xml:space="preserve"> </w:t>
            </w:r>
            <w:r w:rsidR="006B67AD">
              <w:rPr>
                <w:sz w:val="20"/>
                <w:lang w:val="en-US"/>
              </w:rPr>
              <w:t xml:space="preserve">They continued </w:t>
            </w:r>
            <w:r w:rsidR="00673959">
              <w:rPr>
                <w:sz w:val="20"/>
                <w:lang w:val="en-US"/>
              </w:rPr>
              <w:t xml:space="preserve">coordinating with the </w:t>
            </w:r>
            <w:r w:rsidR="00C55E7A">
              <w:rPr>
                <w:sz w:val="20"/>
                <w:lang w:val="en-US"/>
              </w:rPr>
              <w:t xml:space="preserve">UNDP </w:t>
            </w:r>
            <w:r w:rsidR="00673959">
              <w:rPr>
                <w:sz w:val="20"/>
                <w:lang w:val="en-US"/>
              </w:rPr>
              <w:t xml:space="preserve">MPTF office on administrative issues and </w:t>
            </w:r>
            <w:r w:rsidR="00C55E7A">
              <w:rPr>
                <w:sz w:val="20"/>
                <w:lang w:val="en-US"/>
              </w:rPr>
              <w:t xml:space="preserve">coordinated </w:t>
            </w:r>
            <w:r w:rsidR="00673959">
              <w:rPr>
                <w:sz w:val="20"/>
                <w:lang w:val="en-US"/>
              </w:rPr>
              <w:t>contrac</w:t>
            </w:r>
            <w:r w:rsidR="006B67AD">
              <w:rPr>
                <w:sz w:val="20"/>
                <w:lang w:val="en-US"/>
              </w:rPr>
              <w:t>ts renewals and other project related issues</w:t>
            </w:r>
            <w:r w:rsidR="00C55E7A">
              <w:rPr>
                <w:sz w:val="20"/>
                <w:lang w:val="en-US"/>
              </w:rPr>
              <w:t xml:space="preserve"> with relevant parties (Secretariat, UNOPS, SC members)</w:t>
            </w:r>
            <w:r w:rsidR="00673959">
              <w:rPr>
                <w:sz w:val="20"/>
                <w:lang w:val="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65C3CC58" w14:textId="68A48583" w:rsidR="001A5525" w:rsidRPr="00D90F80" w:rsidRDefault="0002404E">
            <w:pPr>
              <w:rPr>
                <w:b/>
                <w:sz w:val="20"/>
              </w:rPr>
            </w:pPr>
            <w:r>
              <w:rPr>
                <w:b/>
                <w:sz w:val="20"/>
              </w:rPr>
              <w:t>100</w:t>
            </w:r>
            <w:r w:rsidR="00155885">
              <w:rPr>
                <w:b/>
                <w:sz w:val="20"/>
              </w:rPr>
              <w:t>%</w:t>
            </w:r>
          </w:p>
        </w:tc>
      </w:tr>
      <w:tr w:rsidR="001A5525" w:rsidRPr="00D90F80" w14:paraId="00ADD5E5" w14:textId="77777777" w:rsidTr="00E6633B">
        <w:trPr>
          <w:trHeight w:val="530"/>
        </w:trPr>
        <w:tc>
          <w:tcPr>
            <w:tcW w:w="3343" w:type="dxa"/>
            <w:tcBorders>
              <w:top w:val="single" w:sz="4" w:space="0" w:color="auto"/>
              <w:left w:val="single" w:sz="4" w:space="0" w:color="auto"/>
              <w:bottom w:val="single" w:sz="4" w:space="0" w:color="auto"/>
              <w:right w:val="single" w:sz="4" w:space="0" w:color="auto"/>
            </w:tcBorders>
            <w:vAlign w:val="center"/>
          </w:tcPr>
          <w:p w14:paraId="7BC98B49" w14:textId="21567259" w:rsidR="001A5525" w:rsidRPr="00D90F80" w:rsidRDefault="000109AC" w:rsidP="0086494E">
            <w:pPr>
              <w:pStyle w:val="ListParagraph"/>
              <w:numPr>
                <w:ilvl w:val="1"/>
                <w:numId w:val="1"/>
              </w:numPr>
              <w:rPr>
                <w:sz w:val="20"/>
                <w:lang w:val="en-US"/>
              </w:rPr>
            </w:pPr>
            <w:r w:rsidRPr="000109AC">
              <w:rPr>
                <w:sz w:val="20"/>
                <w:lang w:val="en-US"/>
              </w:rPr>
              <w:t xml:space="preserve">Work of the CDC is informed by high-quality international </w:t>
            </w:r>
            <w:r w:rsidR="00595397">
              <w:rPr>
                <w:sz w:val="20"/>
                <w:lang w:val="en-US"/>
              </w:rPr>
              <w:t>expertise and best practice in c</w:t>
            </w:r>
            <w:r w:rsidRPr="000109AC">
              <w:rPr>
                <w:sz w:val="20"/>
                <w:lang w:val="en-US"/>
              </w:rPr>
              <w:t xml:space="preserve">onstitution-making and on specific issues including – but </w:t>
            </w:r>
            <w:r w:rsidR="00D46004">
              <w:rPr>
                <w:sz w:val="20"/>
                <w:lang w:val="en-US"/>
              </w:rPr>
              <w:t xml:space="preserve">not </w:t>
            </w:r>
            <w:r w:rsidRPr="000109AC">
              <w:rPr>
                <w:sz w:val="20"/>
                <w:lang w:val="en-US"/>
              </w:rPr>
              <w:t>restricted to – federalism, protections for minorities, the structure of the state, good governance, and improved political participation of women and young people.</w:t>
            </w:r>
          </w:p>
        </w:tc>
        <w:tc>
          <w:tcPr>
            <w:tcW w:w="5730" w:type="dxa"/>
            <w:tcBorders>
              <w:top w:val="single" w:sz="4" w:space="0" w:color="auto"/>
              <w:left w:val="single" w:sz="4" w:space="0" w:color="auto"/>
              <w:bottom w:val="single" w:sz="4" w:space="0" w:color="auto"/>
              <w:right w:val="single" w:sz="4" w:space="0" w:color="auto"/>
            </w:tcBorders>
            <w:vAlign w:val="center"/>
          </w:tcPr>
          <w:p w14:paraId="24DC220F" w14:textId="25CA93AB" w:rsidR="001A5525" w:rsidRPr="000B2262" w:rsidRDefault="00453DC2" w:rsidP="002A6994">
            <w:pPr>
              <w:pStyle w:val="ListParagraph"/>
              <w:ind w:left="360"/>
              <w:rPr>
                <w:sz w:val="20"/>
              </w:rPr>
            </w:pPr>
            <w:r>
              <w:rPr>
                <w:sz w:val="20"/>
              </w:rPr>
              <w:t>CDC work was suspended and all work on the Constitution was put on hold.</w:t>
            </w:r>
          </w:p>
        </w:tc>
        <w:tc>
          <w:tcPr>
            <w:tcW w:w="1276" w:type="dxa"/>
            <w:tcBorders>
              <w:top w:val="single" w:sz="4" w:space="0" w:color="auto"/>
              <w:left w:val="single" w:sz="4" w:space="0" w:color="auto"/>
              <w:bottom w:val="single" w:sz="4" w:space="0" w:color="auto"/>
              <w:right w:val="single" w:sz="4" w:space="0" w:color="auto"/>
            </w:tcBorders>
            <w:vAlign w:val="center"/>
          </w:tcPr>
          <w:p w14:paraId="2C136F9E" w14:textId="0AA2D0A1" w:rsidR="001A5525" w:rsidRPr="00D90F80" w:rsidRDefault="0002404E">
            <w:pPr>
              <w:rPr>
                <w:b/>
                <w:sz w:val="20"/>
              </w:rPr>
            </w:pPr>
            <w:r>
              <w:rPr>
                <w:b/>
                <w:sz w:val="20"/>
              </w:rPr>
              <w:t>100</w:t>
            </w:r>
            <w:r w:rsidR="00155885">
              <w:rPr>
                <w:b/>
                <w:sz w:val="20"/>
              </w:rPr>
              <w:t>%</w:t>
            </w:r>
          </w:p>
        </w:tc>
      </w:tr>
      <w:tr w:rsidR="000109AC" w:rsidRPr="00D90F80" w14:paraId="3515B130" w14:textId="77777777" w:rsidTr="00E6633B">
        <w:trPr>
          <w:trHeight w:val="530"/>
        </w:trPr>
        <w:tc>
          <w:tcPr>
            <w:tcW w:w="3343" w:type="dxa"/>
            <w:tcBorders>
              <w:top w:val="single" w:sz="4" w:space="0" w:color="auto"/>
              <w:left w:val="single" w:sz="4" w:space="0" w:color="auto"/>
              <w:bottom w:val="single" w:sz="4" w:space="0" w:color="auto"/>
              <w:right w:val="single" w:sz="4" w:space="0" w:color="auto"/>
            </w:tcBorders>
            <w:vAlign w:val="center"/>
          </w:tcPr>
          <w:p w14:paraId="27F36F56" w14:textId="748F0B97" w:rsidR="000109AC" w:rsidRPr="00D90F80" w:rsidRDefault="000109AC" w:rsidP="0086494E">
            <w:pPr>
              <w:pStyle w:val="ListParagraph"/>
              <w:numPr>
                <w:ilvl w:val="1"/>
                <w:numId w:val="1"/>
              </w:numPr>
              <w:rPr>
                <w:sz w:val="20"/>
                <w:lang w:val="en-US"/>
              </w:rPr>
            </w:pPr>
            <w:r w:rsidRPr="000109AC">
              <w:rPr>
                <w:sz w:val="20"/>
                <w:lang w:val="en-US"/>
              </w:rPr>
              <w:t xml:space="preserve">International assistance to the NDC (closing phase, communication of NDC outcomes) and the </w:t>
            </w:r>
            <w:r w:rsidR="00D30F0C">
              <w:rPr>
                <w:sz w:val="20"/>
                <w:lang w:val="en-US"/>
              </w:rPr>
              <w:t xml:space="preserve">Constitution Making Process </w:t>
            </w:r>
            <w:r w:rsidRPr="000109AC">
              <w:rPr>
                <w:sz w:val="20"/>
                <w:lang w:val="en-US"/>
              </w:rPr>
              <w:t>is well coordinated, with limited transaction costs for national actors and efficient allocation of resources.</w:t>
            </w:r>
          </w:p>
        </w:tc>
        <w:tc>
          <w:tcPr>
            <w:tcW w:w="5730" w:type="dxa"/>
            <w:tcBorders>
              <w:top w:val="single" w:sz="4" w:space="0" w:color="auto"/>
              <w:left w:val="single" w:sz="4" w:space="0" w:color="auto"/>
              <w:bottom w:val="single" w:sz="4" w:space="0" w:color="auto"/>
              <w:right w:val="single" w:sz="4" w:space="0" w:color="auto"/>
            </w:tcBorders>
            <w:vAlign w:val="center"/>
          </w:tcPr>
          <w:p w14:paraId="0F95D166" w14:textId="1810B074" w:rsidR="008D20B0" w:rsidRPr="000407D4" w:rsidRDefault="005863CE" w:rsidP="0002404E">
            <w:pPr>
              <w:pStyle w:val="ListParagraph"/>
              <w:numPr>
                <w:ilvl w:val="0"/>
                <w:numId w:val="16"/>
              </w:numPr>
              <w:rPr>
                <w:sz w:val="20"/>
                <w:lang w:val="en-US"/>
              </w:rPr>
            </w:pPr>
            <w:r>
              <w:rPr>
                <w:sz w:val="20"/>
                <w:lang w:val="en-US"/>
              </w:rPr>
              <w:t>The Secretariat continued working on getting prepared for a sudden restart of the project</w:t>
            </w:r>
            <w:r w:rsidR="00737BB4">
              <w:rPr>
                <w:sz w:val="20"/>
                <w:lang w:val="en-US"/>
              </w:rPr>
              <w:t xml:space="preserve"> such as producing outreach materials and develop messages for the outreach among others. W</w:t>
            </w:r>
            <w:r>
              <w:rPr>
                <w:sz w:val="20"/>
                <w:lang w:val="en-US"/>
              </w:rPr>
              <w:t>hile UNOPS a</w:t>
            </w:r>
            <w:r w:rsidR="00737BB4">
              <w:rPr>
                <w:sz w:val="20"/>
                <w:lang w:val="en-US"/>
              </w:rPr>
              <w:t>nd OSESG put more focus on the</w:t>
            </w:r>
            <w:r>
              <w:rPr>
                <w:sz w:val="20"/>
                <w:lang w:val="en-US"/>
              </w:rPr>
              <w:t xml:space="preserve"> planning to ensure adequate </w:t>
            </w:r>
            <w:r w:rsidR="00737BB4">
              <w:rPr>
                <w:sz w:val="20"/>
                <w:lang w:val="en-US"/>
              </w:rPr>
              <w:t>turn for the project w</w:t>
            </w:r>
            <w:r w:rsidR="0002404E">
              <w:rPr>
                <w:sz w:val="20"/>
                <w:lang w:val="en-US"/>
              </w:rPr>
              <w:t>hi</w:t>
            </w:r>
            <w:r w:rsidR="00737BB4">
              <w:rPr>
                <w:sz w:val="20"/>
                <w:lang w:val="en-US"/>
              </w:rPr>
              <w:t xml:space="preserve">ther they had to restart operations or close the project </w:t>
            </w:r>
            <w:r>
              <w:rPr>
                <w:sz w:val="20"/>
                <w:lang w:val="en-US"/>
              </w:rPr>
              <w:t>if the process was not retained during this period.</w:t>
            </w:r>
            <w:r w:rsidR="00673959">
              <w:rPr>
                <w:sz w:val="20"/>
                <w:lang w:val="en-US"/>
              </w:rPr>
              <w:t xml:space="preserve"> </w:t>
            </w:r>
          </w:p>
          <w:p w14:paraId="290F0689" w14:textId="0F86E6E7" w:rsidR="00F9730A" w:rsidRPr="00A8337D" w:rsidRDefault="00F9730A" w:rsidP="002A6994">
            <w:pPr>
              <w:pStyle w:val="ListParagraph"/>
              <w:shd w:val="clear" w:color="auto" w:fill="FFFFFF"/>
              <w:ind w:left="360"/>
              <w:jc w:val="both"/>
              <w:rPr>
                <w:sz w:val="20"/>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07A7635" w14:textId="232A6DDB" w:rsidR="000109AC" w:rsidRPr="00D90F80" w:rsidRDefault="0002404E">
            <w:pPr>
              <w:rPr>
                <w:b/>
                <w:sz w:val="20"/>
              </w:rPr>
            </w:pPr>
            <w:r>
              <w:rPr>
                <w:b/>
                <w:sz w:val="20"/>
              </w:rPr>
              <w:t>100</w:t>
            </w:r>
            <w:r w:rsidR="009D4B5F">
              <w:rPr>
                <w:b/>
                <w:sz w:val="20"/>
              </w:rPr>
              <w:t>%</w:t>
            </w:r>
          </w:p>
        </w:tc>
      </w:tr>
      <w:tr w:rsidR="001A5525" w:rsidRPr="00D90F80" w14:paraId="2849B4E9" w14:textId="77777777" w:rsidTr="00E6633B">
        <w:trPr>
          <w:trHeight w:val="530"/>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1C3B416D" w14:textId="09A8072E" w:rsidR="001A5525" w:rsidRPr="00D90F80" w:rsidRDefault="001A5525" w:rsidP="006B079A">
            <w:pPr>
              <w:rPr>
                <w:b/>
                <w:sz w:val="20"/>
                <w:lang w:val="en-US" w:bidi="ar-YE"/>
              </w:rPr>
            </w:pPr>
            <w:r w:rsidRPr="00D90F80">
              <w:rPr>
                <w:b/>
                <w:sz w:val="20"/>
                <w:lang w:val="en-US"/>
              </w:rPr>
              <w:t>Outcome 2: “</w:t>
            </w:r>
            <w:r w:rsidR="006B079A" w:rsidRPr="006B079A">
              <w:rPr>
                <w:b/>
                <w:sz w:val="20"/>
                <w:lang w:val="en-US"/>
              </w:rPr>
              <w:t>The outcome of the CMP reflects an inclusive, transparent, meaningful and participatory process.</w:t>
            </w:r>
            <w:r w:rsidRPr="00D90F80">
              <w:rPr>
                <w:b/>
                <w:sz w:val="20"/>
                <w:lang w:val="en-US"/>
              </w:rPr>
              <w:t>”</w:t>
            </w:r>
          </w:p>
        </w:tc>
      </w:tr>
      <w:tr w:rsidR="00EA684F" w:rsidRPr="00D90F80" w14:paraId="4FCD96F3" w14:textId="77777777" w:rsidTr="00E6633B">
        <w:trPr>
          <w:trHeight w:val="530"/>
        </w:trPr>
        <w:tc>
          <w:tcPr>
            <w:tcW w:w="3343" w:type="dxa"/>
            <w:tcBorders>
              <w:top w:val="single" w:sz="4" w:space="0" w:color="auto"/>
              <w:left w:val="single" w:sz="4" w:space="0" w:color="auto"/>
              <w:bottom w:val="single" w:sz="4" w:space="0" w:color="auto"/>
              <w:right w:val="single" w:sz="4" w:space="0" w:color="auto"/>
            </w:tcBorders>
            <w:vAlign w:val="center"/>
          </w:tcPr>
          <w:p w14:paraId="2EAE1EF8" w14:textId="1058BD7C" w:rsidR="00EA684F" w:rsidRPr="00D90F80" w:rsidRDefault="00C071E8" w:rsidP="00C071E8">
            <w:pPr>
              <w:rPr>
                <w:sz w:val="20"/>
                <w:lang w:val="en-US" w:bidi="ar-YE"/>
              </w:rPr>
            </w:pPr>
            <w:r>
              <w:rPr>
                <w:color w:val="000000"/>
                <w:sz w:val="20"/>
              </w:rPr>
              <w:lastRenderedPageBreak/>
              <w:t xml:space="preserve">2.1 </w:t>
            </w:r>
            <w:r w:rsidR="00595397">
              <w:rPr>
                <w:color w:val="000000"/>
                <w:sz w:val="20"/>
              </w:rPr>
              <w:t xml:space="preserve">Yemenis in </w:t>
            </w:r>
            <w:r w:rsidRPr="00C071E8">
              <w:rPr>
                <w:color w:val="000000"/>
                <w:sz w:val="20"/>
              </w:rPr>
              <w:t>different regions of the country receive information about the CMP and can input their views, in ways accessible to them</w:t>
            </w:r>
          </w:p>
        </w:tc>
        <w:tc>
          <w:tcPr>
            <w:tcW w:w="5730" w:type="dxa"/>
            <w:tcBorders>
              <w:top w:val="single" w:sz="4" w:space="0" w:color="auto"/>
              <w:left w:val="single" w:sz="4" w:space="0" w:color="auto"/>
              <w:bottom w:val="single" w:sz="4" w:space="0" w:color="auto"/>
              <w:right w:val="single" w:sz="4" w:space="0" w:color="auto"/>
            </w:tcBorders>
            <w:vAlign w:val="center"/>
          </w:tcPr>
          <w:p w14:paraId="49B9385A" w14:textId="2DC53B55" w:rsidR="00497371" w:rsidRDefault="00107C81" w:rsidP="002A0AE6">
            <w:pPr>
              <w:spacing w:after="120"/>
              <w:rPr>
                <w:color w:val="000000"/>
                <w:sz w:val="20"/>
                <w:lang w:val="en-US"/>
              </w:rPr>
            </w:pPr>
            <w:r>
              <w:rPr>
                <w:color w:val="000000"/>
                <w:sz w:val="20"/>
                <w:lang w:val="en-US"/>
              </w:rPr>
              <w:t>During this quarter,</w:t>
            </w:r>
            <w:r w:rsidR="00453DC2">
              <w:rPr>
                <w:color w:val="000000"/>
                <w:sz w:val="20"/>
                <w:lang w:val="en-US"/>
              </w:rPr>
              <w:t xml:space="preserve"> </w:t>
            </w:r>
            <w:r w:rsidR="00B56F9F">
              <w:rPr>
                <w:color w:val="000000"/>
                <w:sz w:val="20"/>
                <w:lang w:val="en-US"/>
              </w:rPr>
              <w:t xml:space="preserve"> </w:t>
            </w:r>
            <w:r>
              <w:rPr>
                <w:color w:val="000000"/>
                <w:sz w:val="20"/>
                <w:lang w:val="en-US"/>
              </w:rPr>
              <w:t xml:space="preserve"> the Secretariat conducted the following activities: </w:t>
            </w:r>
          </w:p>
          <w:p w14:paraId="7C0B5A1E" w14:textId="6C159E0E" w:rsidR="00EA684F" w:rsidRDefault="00EA684F" w:rsidP="004B45DA">
            <w:pPr>
              <w:spacing w:after="120"/>
              <w:jc w:val="both"/>
              <w:rPr>
                <w:b/>
                <w:color w:val="000000"/>
                <w:sz w:val="20"/>
                <w:lang w:val="en-US"/>
              </w:rPr>
            </w:pPr>
            <w:r w:rsidRPr="007730FF">
              <w:rPr>
                <w:b/>
                <w:color w:val="000000"/>
                <w:sz w:val="20"/>
                <w:lang w:val="en-US"/>
              </w:rPr>
              <w:t>Traditional media:</w:t>
            </w:r>
          </w:p>
          <w:p w14:paraId="20A61BBA" w14:textId="77777777" w:rsidR="00D235C9" w:rsidRPr="007730FF" w:rsidRDefault="00D235C9" w:rsidP="004B45DA">
            <w:pPr>
              <w:spacing w:after="120"/>
              <w:jc w:val="both"/>
              <w:rPr>
                <w:b/>
                <w:color w:val="000000"/>
                <w:sz w:val="20"/>
                <w:lang w:val="en-US"/>
              </w:rPr>
            </w:pPr>
          </w:p>
          <w:p w14:paraId="2CEF31AB" w14:textId="55149352" w:rsidR="003B5F02" w:rsidRDefault="00EA684F" w:rsidP="00FE704E">
            <w:pPr>
              <w:pStyle w:val="ListParagraph"/>
              <w:spacing w:after="120"/>
              <w:ind w:left="0"/>
              <w:jc w:val="both"/>
              <w:rPr>
                <w:b/>
                <w:color w:val="000000"/>
                <w:sz w:val="20"/>
                <w:lang w:val="en-US"/>
              </w:rPr>
            </w:pPr>
            <w:r w:rsidRPr="00D90F80">
              <w:rPr>
                <w:b/>
                <w:color w:val="000000"/>
                <w:sz w:val="20"/>
                <w:lang w:val="en-US"/>
              </w:rPr>
              <w:t>TV:</w:t>
            </w:r>
            <w:r w:rsidR="0061335F">
              <w:rPr>
                <w:b/>
                <w:color w:val="000000"/>
                <w:sz w:val="20"/>
                <w:lang w:val="en-US"/>
              </w:rPr>
              <w:t xml:space="preserve"> </w:t>
            </w:r>
          </w:p>
          <w:p w14:paraId="25D2BCEA" w14:textId="77777777" w:rsidR="00D235C9" w:rsidRDefault="00D235C9" w:rsidP="00D235C9">
            <w:pPr>
              <w:pStyle w:val="ListParagraph"/>
              <w:spacing w:after="120"/>
              <w:ind w:left="0"/>
              <w:jc w:val="both"/>
              <w:rPr>
                <w:bCs/>
                <w:color w:val="000000"/>
                <w:sz w:val="20"/>
                <w:lang w:val="en-US" w:bidi="ar-YE"/>
              </w:rPr>
            </w:pPr>
          </w:p>
          <w:p w14:paraId="066BDB76" w14:textId="7AA3F066" w:rsidR="000E7259" w:rsidRDefault="004A53C6" w:rsidP="00FE704E">
            <w:pPr>
              <w:pStyle w:val="ListParagraph"/>
              <w:spacing w:after="120"/>
              <w:ind w:left="0"/>
              <w:jc w:val="both"/>
              <w:rPr>
                <w:bCs/>
                <w:color w:val="000000"/>
                <w:sz w:val="20"/>
                <w:lang w:val="en-US" w:bidi="ar-YE"/>
              </w:rPr>
            </w:pPr>
            <w:r>
              <w:rPr>
                <w:bCs/>
                <w:color w:val="000000"/>
                <w:sz w:val="20"/>
                <w:lang w:val="en-US" w:bidi="ar-YE"/>
              </w:rPr>
              <w:t>During this quarter</w:t>
            </w:r>
            <w:r w:rsidR="000E7259">
              <w:rPr>
                <w:bCs/>
                <w:color w:val="000000"/>
                <w:sz w:val="20"/>
                <w:lang w:val="en-US" w:bidi="ar-YE"/>
              </w:rPr>
              <w:t>,</w:t>
            </w:r>
            <w:r>
              <w:rPr>
                <w:bCs/>
                <w:color w:val="000000"/>
                <w:sz w:val="20"/>
                <w:lang w:val="en-US" w:bidi="ar-YE"/>
              </w:rPr>
              <w:t xml:space="preserve"> the </w:t>
            </w:r>
            <w:r w:rsidR="00D235C9">
              <w:rPr>
                <w:bCs/>
                <w:color w:val="000000"/>
                <w:sz w:val="20"/>
                <w:lang w:val="en-US" w:bidi="ar-YE"/>
              </w:rPr>
              <w:t>Secretariat worked with</w:t>
            </w:r>
            <w:r w:rsidR="00F251F5">
              <w:rPr>
                <w:bCs/>
                <w:color w:val="000000"/>
                <w:sz w:val="20"/>
                <w:lang w:val="en-US" w:bidi="ar-YE"/>
              </w:rPr>
              <w:t xml:space="preserve"> TV stations</w:t>
            </w:r>
            <w:r w:rsidR="00D235C9">
              <w:rPr>
                <w:bCs/>
                <w:color w:val="000000"/>
                <w:sz w:val="20"/>
                <w:lang w:val="en-US" w:bidi="ar-YE"/>
              </w:rPr>
              <w:t xml:space="preserve"> which are broadcasting from outside </w:t>
            </w:r>
            <w:r w:rsidR="000E7259">
              <w:rPr>
                <w:bCs/>
                <w:color w:val="000000"/>
                <w:sz w:val="20"/>
                <w:lang w:val="en-US" w:bidi="ar-YE"/>
              </w:rPr>
              <w:t xml:space="preserve">Sana'a to broadcast the "Public Consultation" </w:t>
            </w:r>
            <w:r w:rsidR="00D002A4" w:rsidRPr="00291BAD">
              <w:rPr>
                <w:bCs/>
                <w:color w:val="000000"/>
                <w:sz w:val="20"/>
                <w:lang w:val="en-US" w:bidi="ar-YE"/>
              </w:rPr>
              <w:t xml:space="preserve">TV </w:t>
            </w:r>
            <w:r>
              <w:rPr>
                <w:bCs/>
                <w:color w:val="000000"/>
                <w:sz w:val="20"/>
                <w:lang w:val="en-US" w:bidi="ar-YE"/>
              </w:rPr>
              <w:t>flashes</w:t>
            </w:r>
            <w:r w:rsidR="00D235C9">
              <w:rPr>
                <w:bCs/>
                <w:color w:val="000000"/>
                <w:sz w:val="20"/>
                <w:lang w:val="en-US" w:bidi="ar-YE"/>
              </w:rPr>
              <w:t xml:space="preserve">. </w:t>
            </w:r>
            <w:r w:rsidR="000E7259">
              <w:rPr>
                <w:bCs/>
                <w:color w:val="000000"/>
                <w:sz w:val="20"/>
                <w:lang w:val="en-US" w:bidi="ar-YE"/>
              </w:rPr>
              <w:t>These TV Stations were as following:</w:t>
            </w:r>
          </w:p>
          <w:p w14:paraId="4B5090E3" w14:textId="410505DC" w:rsidR="000E7259" w:rsidRDefault="000E7259" w:rsidP="006C1C43">
            <w:pPr>
              <w:pStyle w:val="ListParagraph"/>
              <w:numPr>
                <w:ilvl w:val="0"/>
                <w:numId w:val="2"/>
              </w:numPr>
              <w:spacing w:after="120"/>
              <w:jc w:val="both"/>
              <w:rPr>
                <w:bCs/>
                <w:color w:val="000000"/>
                <w:sz w:val="20"/>
                <w:lang w:val="en-US" w:bidi="ar-YE"/>
              </w:rPr>
            </w:pPr>
            <w:r>
              <w:rPr>
                <w:bCs/>
                <w:color w:val="000000"/>
                <w:sz w:val="20"/>
                <w:lang w:val="en-US" w:bidi="ar-YE"/>
              </w:rPr>
              <w:t xml:space="preserve">Belqis </w:t>
            </w:r>
            <w:r w:rsidR="00E70609">
              <w:rPr>
                <w:bCs/>
                <w:color w:val="000000"/>
                <w:sz w:val="20"/>
                <w:lang w:val="en-US" w:bidi="ar-YE"/>
              </w:rPr>
              <w:t xml:space="preserve">TV </w:t>
            </w:r>
            <w:r>
              <w:rPr>
                <w:bCs/>
                <w:color w:val="000000"/>
                <w:sz w:val="20"/>
                <w:lang w:val="en-US" w:bidi="ar-YE"/>
              </w:rPr>
              <w:t>Station: runs from Turkey.</w:t>
            </w:r>
          </w:p>
          <w:p w14:paraId="66B74087" w14:textId="77777777" w:rsidR="00E70609" w:rsidRDefault="00E70609" w:rsidP="006C1C43">
            <w:pPr>
              <w:pStyle w:val="ListParagraph"/>
              <w:numPr>
                <w:ilvl w:val="0"/>
                <w:numId w:val="2"/>
              </w:numPr>
              <w:spacing w:after="120"/>
              <w:jc w:val="both"/>
              <w:rPr>
                <w:bCs/>
                <w:color w:val="000000"/>
                <w:sz w:val="20"/>
                <w:lang w:val="en-US" w:bidi="ar-YE"/>
              </w:rPr>
            </w:pPr>
            <w:r>
              <w:rPr>
                <w:bCs/>
                <w:color w:val="000000"/>
                <w:sz w:val="20"/>
                <w:lang w:val="en-US" w:bidi="ar-YE"/>
              </w:rPr>
              <w:t>Suhail TV Station: runs from KSA.</w:t>
            </w:r>
          </w:p>
          <w:p w14:paraId="50C9E713" w14:textId="77777777" w:rsidR="00E70609" w:rsidRDefault="00E70609" w:rsidP="006C1C43">
            <w:pPr>
              <w:pStyle w:val="ListParagraph"/>
              <w:numPr>
                <w:ilvl w:val="0"/>
                <w:numId w:val="2"/>
              </w:numPr>
              <w:spacing w:after="120"/>
              <w:jc w:val="both"/>
              <w:rPr>
                <w:bCs/>
                <w:color w:val="000000"/>
                <w:sz w:val="20"/>
                <w:lang w:val="en-US" w:bidi="ar-YE"/>
              </w:rPr>
            </w:pPr>
            <w:r>
              <w:rPr>
                <w:bCs/>
                <w:color w:val="000000"/>
                <w:sz w:val="20"/>
                <w:lang w:val="en-US" w:bidi="ar-YE"/>
              </w:rPr>
              <w:t>Aden TV Station: runs from KSA.</w:t>
            </w:r>
          </w:p>
          <w:p w14:paraId="2C6354C4" w14:textId="77777777" w:rsidR="00E70609" w:rsidRDefault="00E70609" w:rsidP="006C1C43">
            <w:pPr>
              <w:pStyle w:val="ListParagraph"/>
              <w:numPr>
                <w:ilvl w:val="0"/>
                <w:numId w:val="2"/>
              </w:numPr>
              <w:spacing w:after="120"/>
              <w:jc w:val="both"/>
              <w:rPr>
                <w:bCs/>
                <w:color w:val="000000"/>
                <w:sz w:val="20"/>
                <w:lang w:val="en-US" w:bidi="ar-YE"/>
              </w:rPr>
            </w:pPr>
            <w:r>
              <w:rPr>
                <w:bCs/>
                <w:color w:val="000000"/>
                <w:sz w:val="20"/>
                <w:lang w:val="en-US" w:bidi="ar-YE"/>
              </w:rPr>
              <w:t>Yemen TV Station: runs from KSA.</w:t>
            </w:r>
          </w:p>
          <w:p w14:paraId="47E53202" w14:textId="77777777" w:rsidR="00E70609" w:rsidRDefault="00E70609" w:rsidP="006C1C43">
            <w:pPr>
              <w:pStyle w:val="ListParagraph"/>
              <w:numPr>
                <w:ilvl w:val="0"/>
                <w:numId w:val="2"/>
              </w:numPr>
              <w:spacing w:after="120"/>
              <w:jc w:val="both"/>
              <w:rPr>
                <w:bCs/>
                <w:color w:val="000000"/>
                <w:sz w:val="20"/>
                <w:lang w:val="en-US" w:bidi="ar-YE"/>
              </w:rPr>
            </w:pPr>
            <w:r>
              <w:rPr>
                <w:bCs/>
                <w:color w:val="000000"/>
                <w:sz w:val="20"/>
                <w:lang w:val="en-US" w:bidi="ar-YE"/>
              </w:rPr>
              <w:t>Yemen Shabab TV Station: runs from Taiz.</w:t>
            </w:r>
          </w:p>
          <w:p w14:paraId="76C5A01E" w14:textId="1F826352" w:rsidR="0086494E" w:rsidRDefault="00E70609" w:rsidP="00D235C9">
            <w:pPr>
              <w:spacing w:after="120"/>
              <w:jc w:val="both"/>
              <w:rPr>
                <w:bCs/>
                <w:i/>
                <w:iCs/>
                <w:color w:val="000000"/>
                <w:sz w:val="20"/>
                <w:lang w:val="en-US" w:bidi="ar-YE"/>
              </w:rPr>
            </w:pPr>
            <w:r>
              <w:rPr>
                <w:bCs/>
                <w:color w:val="000000"/>
                <w:sz w:val="20"/>
                <w:lang w:val="en-US" w:bidi="ar-YE"/>
              </w:rPr>
              <w:t xml:space="preserve">These stations broadcasted TV flashes of "Matlabi" campaign. </w:t>
            </w:r>
            <w:r w:rsidR="00D235C9">
              <w:rPr>
                <w:bCs/>
                <w:color w:val="000000"/>
                <w:sz w:val="20"/>
                <w:lang w:val="en-US" w:bidi="ar-YE"/>
              </w:rPr>
              <w:t>“</w:t>
            </w:r>
            <w:r w:rsidRPr="00137957">
              <w:rPr>
                <w:color w:val="000000"/>
                <w:sz w:val="20"/>
                <w:lang w:val="en-US"/>
              </w:rPr>
              <w:t>Tesh'ti Te3raf?</w:t>
            </w:r>
            <w:r w:rsidR="00D235C9">
              <w:rPr>
                <w:color w:val="000000"/>
                <w:sz w:val="20"/>
                <w:lang w:val="en-US"/>
              </w:rPr>
              <w:t xml:space="preserve">” </w:t>
            </w:r>
            <w:r w:rsidR="00FF7599">
              <w:rPr>
                <w:bCs/>
                <w:color w:val="000000"/>
                <w:sz w:val="20"/>
                <w:lang w:val="en-US" w:bidi="ar-YE"/>
              </w:rPr>
              <w:t>Campaign</w:t>
            </w:r>
            <w:r>
              <w:rPr>
                <w:bCs/>
                <w:color w:val="000000"/>
                <w:sz w:val="20"/>
                <w:lang w:val="en-US" w:bidi="ar-YE"/>
              </w:rPr>
              <w:t>.</w:t>
            </w:r>
            <w:r w:rsidR="00C27222">
              <w:rPr>
                <w:bCs/>
                <w:color w:val="000000"/>
                <w:sz w:val="20"/>
                <w:lang w:val="en-US" w:bidi="ar-YE"/>
              </w:rPr>
              <w:t xml:space="preserve"> Ten TV </w:t>
            </w:r>
            <w:r w:rsidR="00FF7599">
              <w:rPr>
                <w:bCs/>
                <w:color w:val="000000"/>
                <w:sz w:val="20"/>
                <w:lang w:val="en-US" w:bidi="ar-YE"/>
              </w:rPr>
              <w:t>episodes</w:t>
            </w:r>
            <w:r w:rsidR="00C27222">
              <w:rPr>
                <w:bCs/>
                <w:color w:val="000000"/>
                <w:sz w:val="20"/>
                <w:lang w:val="en-US" w:bidi="ar-YE"/>
              </w:rPr>
              <w:t xml:space="preserve"> proposals were developed on the public </w:t>
            </w:r>
            <w:r w:rsidR="00FF7599">
              <w:rPr>
                <w:bCs/>
                <w:color w:val="000000"/>
                <w:sz w:val="20"/>
                <w:lang w:val="en-US" w:bidi="ar-YE"/>
              </w:rPr>
              <w:t>consultation</w:t>
            </w:r>
            <w:r w:rsidR="00C27222">
              <w:rPr>
                <w:bCs/>
                <w:color w:val="000000"/>
                <w:sz w:val="20"/>
                <w:lang w:val="en-US" w:bidi="ar-YE"/>
              </w:rPr>
              <w:t xml:space="preserve"> campaign and were shared with four </w:t>
            </w:r>
            <w:r w:rsidR="00D235C9">
              <w:rPr>
                <w:bCs/>
                <w:color w:val="000000"/>
                <w:sz w:val="20"/>
                <w:lang w:val="en-US" w:bidi="ar-YE"/>
              </w:rPr>
              <w:t xml:space="preserve">of those </w:t>
            </w:r>
            <w:r w:rsidR="009236BE">
              <w:rPr>
                <w:bCs/>
                <w:color w:val="000000"/>
                <w:sz w:val="20"/>
                <w:lang w:val="en-US" w:bidi="ar-YE"/>
              </w:rPr>
              <w:t xml:space="preserve">TV stations. </w:t>
            </w:r>
            <w:r w:rsidR="00C27222">
              <w:rPr>
                <w:bCs/>
                <w:color w:val="000000"/>
                <w:sz w:val="20"/>
                <w:lang w:val="en-US" w:bidi="ar-YE"/>
              </w:rPr>
              <w:t xml:space="preserve"> </w:t>
            </w:r>
            <w:r w:rsidR="0086494E">
              <w:rPr>
                <w:bCs/>
                <w:color w:val="000000"/>
                <w:sz w:val="20"/>
                <w:lang w:val="en-US" w:bidi="ar-YE"/>
              </w:rPr>
              <w:t>.</w:t>
            </w:r>
          </w:p>
          <w:p w14:paraId="6C5356F6" w14:textId="77777777" w:rsidR="00F30367" w:rsidRPr="00FF7599" w:rsidRDefault="00F30367" w:rsidP="00C67BA4">
            <w:pPr>
              <w:rPr>
                <w:b/>
                <w:color w:val="000000"/>
                <w:sz w:val="20"/>
                <w:lang w:val="en-US"/>
              </w:rPr>
            </w:pPr>
          </w:p>
          <w:p w14:paraId="27064CA7" w14:textId="5BD51E0B" w:rsidR="00F30367" w:rsidRPr="00D235C9" w:rsidRDefault="00F30367" w:rsidP="00D235C9">
            <w:pPr>
              <w:spacing w:after="120"/>
              <w:jc w:val="both"/>
              <w:rPr>
                <w:b/>
                <w:color w:val="000000"/>
                <w:sz w:val="20"/>
                <w:lang w:val="en-US"/>
              </w:rPr>
            </w:pPr>
            <w:r w:rsidRPr="00D50AB5">
              <w:rPr>
                <w:b/>
                <w:color w:val="000000"/>
                <w:sz w:val="20"/>
                <w:lang w:val="en-US"/>
              </w:rPr>
              <w:t xml:space="preserve">Outdoor </w:t>
            </w:r>
            <w:r w:rsidR="00097727" w:rsidRPr="00D50AB5">
              <w:rPr>
                <w:b/>
                <w:color w:val="000000"/>
                <w:sz w:val="20"/>
                <w:lang w:val="en-US"/>
              </w:rPr>
              <w:t>Campaign</w:t>
            </w:r>
            <w:r w:rsidRPr="00D50AB5">
              <w:rPr>
                <w:b/>
                <w:color w:val="000000"/>
                <w:sz w:val="20"/>
                <w:lang w:val="en-US"/>
              </w:rPr>
              <w:t xml:space="preserve">: </w:t>
            </w:r>
          </w:p>
          <w:p w14:paraId="3E6EDCC4" w14:textId="77083F8B" w:rsidR="00F30367" w:rsidRPr="00C67BA4" w:rsidRDefault="00F30367" w:rsidP="00C67BA4">
            <w:pPr>
              <w:spacing w:after="120"/>
              <w:jc w:val="both"/>
              <w:rPr>
                <w:bCs/>
                <w:color w:val="000000"/>
                <w:sz w:val="20"/>
                <w:lang w:val="en-US" w:bidi="ar-YE"/>
              </w:rPr>
            </w:pPr>
            <w:r w:rsidRPr="00F62A88">
              <w:rPr>
                <w:bCs/>
                <w:color w:val="000000"/>
                <w:sz w:val="20"/>
                <w:lang w:val="en-US" w:bidi="ar-YE"/>
              </w:rPr>
              <w:t xml:space="preserve">More than 100 educational </w:t>
            </w:r>
            <w:r w:rsidR="00D235C9">
              <w:rPr>
                <w:bCs/>
                <w:color w:val="000000"/>
                <w:sz w:val="20"/>
                <w:lang w:val="en-US" w:bidi="ar-YE"/>
              </w:rPr>
              <w:t xml:space="preserve">messages were developed for </w:t>
            </w:r>
            <w:r w:rsidRPr="00F62A88">
              <w:rPr>
                <w:bCs/>
                <w:color w:val="000000"/>
                <w:sz w:val="20"/>
                <w:lang w:val="en-US" w:bidi="ar-YE"/>
              </w:rPr>
              <w:t>" Tesh'ti Te3raf" campaign on the following chapters of the draft constitution:</w:t>
            </w:r>
          </w:p>
          <w:p w14:paraId="5669D114" w14:textId="77777777" w:rsidR="00F30367" w:rsidRDefault="00F30367" w:rsidP="0086494E">
            <w:pPr>
              <w:pStyle w:val="ListParagraph"/>
              <w:numPr>
                <w:ilvl w:val="0"/>
                <w:numId w:val="2"/>
              </w:numPr>
              <w:spacing w:after="120"/>
              <w:jc w:val="both"/>
              <w:rPr>
                <w:bCs/>
                <w:color w:val="000000"/>
                <w:sz w:val="20"/>
                <w:lang w:val="en-US" w:bidi="ar-YE"/>
              </w:rPr>
            </w:pPr>
            <w:r w:rsidRPr="00F62A88">
              <w:rPr>
                <w:bCs/>
                <w:color w:val="000000"/>
                <w:sz w:val="20"/>
                <w:lang w:val="en-US" w:bidi="ar-YE"/>
              </w:rPr>
              <w:t>Rights and Freedom Chapter.</w:t>
            </w:r>
          </w:p>
          <w:p w14:paraId="7401EEB1" w14:textId="77777777" w:rsidR="00C21B8D" w:rsidRDefault="00C21B8D" w:rsidP="0086494E">
            <w:pPr>
              <w:pStyle w:val="ListParagraph"/>
              <w:numPr>
                <w:ilvl w:val="0"/>
                <w:numId w:val="2"/>
              </w:numPr>
              <w:spacing w:after="120"/>
              <w:jc w:val="both"/>
              <w:rPr>
                <w:bCs/>
                <w:color w:val="000000"/>
                <w:sz w:val="20"/>
                <w:lang w:val="en-US" w:bidi="ar-YE"/>
              </w:rPr>
            </w:pPr>
            <w:r>
              <w:rPr>
                <w:bCs/>
                <w:color w:val="000000"/>
                <w:sz w:val="20"/>
                <w:lang w:val="en-US" w:bidi="ar-YE"/>
              </w:rPr>
              <w:t>General Foundations.</w:t>
            </w:r>
          </w:p>
          <w:p w14:paraId="092F0486" w14:textId="650189F7" w:rsidR="00C21B8D" w:rsidRDefault="00C21B8D" w:rsidP="0086494E">
            <w:pPr>
              <w:pStyle w:val="ListParagraph"/>
              <w:numPr>
                <w:ilvl w:val="0"/>
                <w:numId w:val="2"/>
              </w:numPr>
              <w:spacing w:after="120"/>
              <w:jc w:val="both"/>
              <w:rPr>
                <w:bCs/>
                <w:color w:val="000000"/>
                <w:sz w:val="20"/>
                <w:lang w:val="en-US" w:bidi="ar-YE"/>
              </w:rPr>
            </w:pPr>
            <w:r>
              <w:rPr>
                <w:bCs/>
                <w:color w:val="000000"/>
                <w:sz w:val="20"/>
                <w:lang w:val="en-US" w:bidi="ar-YE"/>
              </w:rPr>
              <w:t xml:space="preserve">Federal </w:t>
            </w:r>
            <w:r w:rsidR="002753D4">
              <w:rPr>
                <w:bCs/>
                <w:color w:val="000000"/>
                <w:sz w:val="20"/>
                <w:lang w:val="en-US" w:bidi="ar-YE"/>
              </w:rPr>
              <w:t>Authorities</w:t>
            </w:r>
            <w:r>
              <w:rPr>
                <w:bCs/>
                <w:color w:val="000000"/>
                <w:sz w:val="20"/>
                <w:lang w:val="en-US" w:bidi="ar-YE"/>
              </w:rPr>
              <w:t>.</w:t>
            </w:r>
          </w:p>
          <w:p w14:paraId="43498D4B" w14:textId="5DCC8E2D" w:rsidR="00F30367" w:rsidRPr="00F62A88" w:rsidRDefault="00097727" w:rsidP="00F62A88">
            <w:pPr>
              <w:pStyle w:val="ListParagraph"/>
              <w:numPr>
                <w:ilvl w:val="0"/>
                <w:numId w:val="2"/>
              </w:numPr>
              <w:spacing w:after="120"/>
              <w:jc w:val="both"/>
              <w:rPr>
                <w:bCs/>
                <w:color w:val="000000"/>
                <w:sz w:val="20"/>
                <w:lang w:val="en-US" w:bidi="ar-YE"/>
              </w:rPr>
            </w:pPr>
            <w:r>
              <w:rPr>
                <w:bCs/>
                <w:color w:val="000000"/>
                <w:sz w:val="20"/>
                <w:lang w:val="en-US" w:bidi="ar-YE"/>
              </w:rPr>
              <w:t>Transitional</w:t>
            </w:r>
            <w:r w:rsidR="002753D4">
              <w:rPr>
                <w:bCs/>
                <w:color w:val="000000"/>
                <w:sz w:val="20"/>
                <w:lang w:val="en-US" w:bidi="ar-YE"/>
              </w:rPr>
              <w:t xml:space="preserve"> Provisions.</w:t>
            </w:r>
          </w:p>
          <w:p w14:paraId="33433C37" w14:textId="460C307D" w:rsidR="00977A96" w:rsidRPr="00F62A88" w:rsidRDefault="00F30367" w:rsidP="00F62A88">
            <w:pPr>
              <w:spacing w:after="120"/>
              <w:jc w:val="both"/>
              <w:rPr>
                <w:b/>
                <w:color w:val="000000"/>
                <w:sz w:val="20"/>
                <w:lang w:val="en-US"/>
              </w:rPr>
            </w:pPr>
            <w:r w:rsidRPr="00F62A88">
              <w:rPr>
                <w:bCs/>
                <w:color w:val="000000"/>
                <w:sz w:val="20"/>
                <w:lang w:val="en-US" w:bidi="ar-YE"/>
              </w:rPr>
              <w:t>More messages on</w:t>
            </w:r>
            <w:r w:rsidR="00D235C9">
              <w:rPr>
                <w:bCs/>
                <w:color w:val="000000"/>
                <w:sz w:val="20"/>
                <w:lang w:val="en-US" w:bidi="ar-YE"/>
              </w:rPr>
              <w:t xml:space="preserve"> the remaining chapters are going to be</w:t>
            </w:r>
            <w:r w:rsidR="00F62A88">
              <w:rPr>
                <w:bCs/>
                <w:color w:val="000000"/>
                <w:sz w:val="20"/>
                <w:lang w:val="en-US" w:bidi="ar-YE"/>
              </w:rPr>
              <w:t xml:space="preserve"> </w:t>
            </w:r>
            <w:r w:rsidRPr="00F62A88">
              <w:rPr>
                <w:bCs/>
                <w:color w:val="000000"/>
                <w:sz w:val="20"/>
                <w:lang w:val="en-US" w:bidi="ar-YE"/>
              </w:rPr>
              <w:t>developed</w:t>
            </w:r>
            <w:r w:rsidR="00D235C9">
              <w:rPr>
                <w:bCs/>
                <w:color w:val="000000"/>
                <w:sz w:val="20"/>
                <w:lang w:val="en-US" w:bidi="ar-YE"/>
              </w:rPr>
              <w:t xml:space="preserve"> in the upcoming quarter</w:t>
            </w:r>
            <w:r w:rsidRPr="00F62A88">
              <w:rPr>
                <w:bCs/>
                <w:color w:val="000000"/>
                <w:sz w:val="20"/>
                <w:lang w:val="en-US" w:bidi="ar-YE"/>
              </w:rPr>
              <w:t xml:space="preserve">.  </w:t>
            </w:r>
          </w:p>
          <w:p w14:paraId="5ABABDB6" w14:textId="77777777" w:rsidR="0053014C" w:rsidRDefault="0053014C" w:rsidP="0053014C">
            <w:pPr>
              <w:pStyle w:val="ListParagraph"/>
              <w:spacing w:after="120"/>
              <w:jc w:val="both"/>
              <w:rPr>
                <w:color w:val="000000"/>
                <w:sz w:val="20"/>
                <w:lang w:val="en-US"/>
              </w:rPr>
            </w:pPr>
          </w:p>
          <w:p w14:paraId="654805DA" w14:textId="77777777" w:rsidR="00BF0834" w:rsidRPr="00D90F80" w:rsidRDefault="00BF0834" w:rsidP="005D205B">
            <w:pPr>
              <w:shd w:val="clear" w:color="auto" w:fill="FFFFFF" w:themeFill="background1"/>
              <w:spacing w:after="120"/>
              <w:jc w:val="both"/>
              <w:rPr>
                <w:b/>
                <w:color w:val="000000"/>
                <w:sz w:val="20"/>
                <w:lang w:val="en-US"/>
              </w:rPr>
            </w:pPr>
            <w:r w:rsidRPr="008858AD">
              <w:rPr>
                <w:b/>
                <w:color w:val="000000"/>
                <w:sz w:val="20"/>
                <w:lang w:val="en-US"/>
              </w:rPr>
              <w:t>Website</w:t>
            </w:r>
            <w:r w:rsidR="008858AD">
              <w:rPr>
                <w:b/>
                <w:color w:val="000000"/>
                <w:sz w:val="20"/>
                <w:lang w:val="en-US"/>
              </w:rPr>
              <w:t>:</w:t>
            </w:r>
          </w:p>
          <w:p w14:paraId="0B7745DE" w14:textId="0F59A2B1" w:rsidR="00374B38" w:rsidRDefault="009853A6" w:rsidP="00F62A88">
            <w:pPr>
              <w:pStyle w:val="ListParagraph"/>
              <w:widowControl/>
              <w:numPr>
                <w:ilvl w:val="0"/>
                <w:numId w:val="2"/>
              </w:numPr>
              <w:snapToGrid/>
              <w:spacing w:line="259" w:lineRule="auto"/>
              <w:jc w:val="both"/>
              <w:rPr>
                <w:color w:val="000000"/>
                <w:sz w:val="20"/>
              </w:rPr>
            </w:pPr>
            <w:r w:rsidRPr="00D01BBF">
              <w:rPr>
                <w:color w:val="000000"/>
                <w:sz w:val="20"/>
                <w:lang w:val="en-US"/>
              </w:rPr>
              <w:t>The NDS website</w:t>
            </w:r>
            <w:r w:rsidR="003E7EAA" w:rsidRPr="00D01BBF">
              <w:rPr>
                <w:color w:val="000000"/>
                <w:sz w:val="20"/>
                <w:lang w:val="en-US"/>
              </w:rPr>
              <w:t xml:space="preserve"> </w:t>
            </w:r>
            <w:r w:rsidR="00E70609">
              <w:rPr>
                <w:color w:val="000000"/>
                <w:sz w:val="20"/>
                <w:lang w:val="en-US"/>
              </w:rPr>
              <w:t xml:space="preserve">is not activated because the </w:t>
            </w:r>
            <w:r w:rsidR="00097727">
              <w:rPr>
                <w:color w:val="000000"/>
                <w:sz w:val="20"/>
                <w:lang w:val="en-US"/>
              </w:rPr>
              <w:t>Secretariat</w:t>
            </w:r>
            <w:r w:rsidR="00E70609">
              <w:rPr>
                <w:color w:val="000000"/>
                <w:sz w:val="20"/>
                <w:lang w:val="en-US"/>
              </w:rPr>
              <w:t xml:space="preserve"> not in control of the official page anymore. However, </w:t>
            </w:r>
            <w:r w:rsidR="00E70609">
              <w:rPr>
                <w:color w:val="000000"/>
                <w:sz w:val="20"/>
                <w:lang w:val="en-US" w:bidi="ar-YE"/>
              </w:rPr>
              <w:t xml:space="preserve">more than 103 </w:t>
            </w:r>
            <w:r w:rsidR="00F30367">
              <w:rPr>
                <w:color w:val="000000"/>
                <w:sz w:val="20"/>
                <w:lang w:val="en-US" w:bidi="ar-YE"/>
              </w:rPr>
              <w:t>constitutional</w:t>
            </w:r>
            <w:r w:rsidR="00E70609">
              <w:rPr>
                <w:color w:val="000000"/>
                <w:sz w:val="20"/>
                <w:lang w:val="en-US" w:bidi="ar-YE"/>
              </w:rPr>
              <w:t xml:space="preserve"> articles were </w:t>
            </w:r>
            <w:r w:rsidR="00F30367">
              <w:rPr>
                <w:color w:val="000000"/>
                <w:sz w:val="20"/>
                <w:lang w:val="en-US" w:bidi="ar-YE"/>
              </w:rPr>
              <w:t>broadcasted</w:t>
            </w:r>
            <w:r w:rsidR="00E70609">
              <w:rPr>
                <w:color w:val="000000"/>
                <w:sz w:val="20"/>
                <w:lang w:val="en-US" w:bidi="ar-YE"/>
              </w:rPr>
              <w:t xml:space="preserve"> to the public via personal </w:t>
            </w:r>
            <w:r w:rsidR="00F30367">
              <w:rPr>
                <w:color w:val="000000"/>
                <w:sz w:val="20"/>
                <w:lang w:val="en-US" w:bidi="ar-YE"/>
              </w:rPr>
              <w:t>Facebook pages and WhatsApp.</w:t>
            </w:r>
          </w:p>
          <w:p w14:paraId="4DDD98C1" w14:textId="6E1E302D" w:rsidR="00F62A88" w:rsidRPr="00C01F79" w:rsidRDefault="00F62A88" w:rsidP="00F62A88">
            <w:pPr>
              <w:pStyle w:val="ListParagraph"/>
              <w:widowControl/>
              <w:snapToGrid/>
              <w:spacing w:line="259" w:lineRule="auto"/>
              <w:jc w:val="both"/>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939F735" w14:textId="3F6A572D" w:rsidR="00EA684F" w:rsidRPr="00D90F80" w:rsidRDefault="00765E16">
            <w:pPr>
              <w:rPr>
                <w:b/>
                <w:sz w:val="20"/>
              </w:rPr>
            </w:pPr>
            <w:r>
              <w:rPr>
                <w:b/>
                <w:sz w:val="20"/>
              </w:rPr>
              <w:t>70%</w:t>
            </w:r>
          </w:p>
        </w:tc>
      </w:tr>
      <w:tr w:rsidR="00E53B89" w:rsidRPr="00D90F80" w14:paraId="704A6FCA" w14:textId="77777777" w:rsidTr="00E6633B">
        <w:trPr>
          <w:trHeight w:val="530"/>
        </w:trPr>
        <w:tc>
          <w:tcPr>
            <w:tcW w:w="3343" w:type="dxa"/>
            <w:tcBorders>
              <w:top w:val="single" w:sz="4" w:space="0" w:color="auto"/>
              <w:left w:val="single" w:sz="4" w:space="0" w:color="auto"/>
              <w:bottom w:val="single" w:sz="4" w:space="0" w:color="auto"/>
              <w:right w:val="single" w:sz="4" w:space="0" w:color="auto"/>
            </w:tcBorders>
            <w:vAlign w:val="center"/>
          </w:tcPr>
          <w:p w14:paraId="200B794B" w14:textId="21224BC0" w:rsidR="00E53B89" w:rsidRDefault="00E53B89" w:rsidP="00C071E8">
            <w:pPr>
              <w:rPr>
                <w:color w:val="000000"/>
                <w:sz w:val="20"/>
              </w:rPr>
            </w:pPr>
          </w:p>
        </w:tc>
        <w:tc>
          <w:tcPr>
            <w:tcW w:w="5730" w:type="dxa"/>
            <w:tcBorders>
              <w:top w:val="single" w:sz="4" w:space="0" w:color="auto"/>
              <w:left w:val="single" w:sz="4" w:space="0" w:color="auto"/>
              <w:bottom w:val="single" w:sz="4" w:space="0" w:color="auto"/>
              <w:right w:val="single" w:sz="4" w:space="0" w:color="auto"/>
            </w:tcBorders>
            <w:vAlign w:val="center"/>
          </w:tcPr>
          <w:p w14:paraId="7338F3A8" w14:textId="77777777" w:rsidR="00E53B89" w:rsidRDefault="00E53B89" w:rsidP="00D45664">
            <w:pPr>
              <w:pStyle w:val="Normal1"/>
              <w:jc w:val="both"/>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AE863D2" w14:textId="77777777" w:rsidR="00E53B89" w:rsidRPr="00D90F80" w:rsidRDefault="00E53B89">
            <w:pPr>
              <w:rPr>
                <w:b/>
                <w:sz w:val="20"/>
              </w:rPr>
            </w:pPr>
          </w:p>
        </w:tc>
      </w:tr>
    </w:tbl>
    <w:p w14:paraId="1D24DB4B" w14:textId="5C527E99" w:rsidR="00817B1D" w:rsidRPr="00D90F80" w:rsidRDefault="00817B1D" w:rsidP="00817B1D">
      <w:pPr>
        <w:rPr>
          <w:sz w:val="20"/>
        </w:rPr>
      </w:pPr>
    </w:p>
    <w:tbl>
      <w:tblPr>
        <w:tblW w:w="103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0"/>
      </w:tblGrid>
      <w:tr w:rsidR="00817B1D" w:rsidRPr="00D90F80" w14:paraId="01CE17B2" w14:textId="77777777" w:rsidTr="00A01EA4">
        <w:trPr>
          <w:trHeight w:val="463"/>
        </w:trPr>
        <w:tc>
          <w:tcPr>
            <w:tcW w:w="1035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9FD9F1E" w14:textId="77777777" w:rsidR="00817B1D" w:rsidRPr="00D90F80" w:rsidRDefault="00817B1D">
            <w:pPr>
              <w:jc w:val="center"/>
              <w:rPr>
                <w:b/>
                <w:color w:val="000000"/>
                <w:sz w:val="20"/>
              </w:rPr>
            </w:pPr>
            <w:r w:rsidRPr="00D90F80">
              <w:rPr>
                <w:b/>
                <w:sz w:val="20"/>
              </w:rPr>
              <w:t>Qualitative achievements against outcomes and results:</w:t>
            </w:r>
          </w:p>
        </w:tc>
      </w:tr>
      <w:tr w:rsidR="00817B1D" w:rsidRPr="00D90F80" w14:paraId="30642914" w14:textId="77777777" w:rsidTr="00A01EA4">
        <w:trPr>
          <w:trHeight w:val="1177"/>
        </w:trPr>
        <w:tc>
          <w:tcPr>
            <w:tcW w:w="10350" w:type="dxa"/>
            <w:tcBorders>
              <w:top w:val="single" w:sz="4" w:space="0" w:color="auto"/>
              <w:left w:val="single" w:sz="4" w:space="0" w:color="auto"/>
              <w:bottom w:val="single" w:sz="4" w:space="0" w:color="auto"/>
              <w:right w:val="single" w:sz="4" w:space="0" w:color="auto"/>
            </w:tcBorders>
          </w:tcPr>
          <w:p w14:paraId="0B4B872E" w14:textId="1F07409A" w:rsidR="004E7E57" w:rsidRPr="00D90F80" w:rsidRDefault="004E7E57" w:rsidP="004E7E57">
            <w:pPr>
              <w:jc w:val="both"/>
              <w:rPr>
                <w:color w:val="000000"/>
                <w:sz w:val="20"/>
              </w:rPr>
            </w:pPr>
          </w:p>
          <w:p w14:paraId="6B8D9A58" w14:textId="73837BED" w:rsidR="004E7E57" w:rsidRDefault="004E7E57" w:rsidP="004E7E57">
            <w:pPr>
              <w:jc w:val="both"/>
              <w:rPr>
                <w:b/>
                <w:sz w:val="20"/>
                <w:lang w:val="en-US"/>
              </w:rPr>
            </w:pPr>
            <w:r w:rsidRPr="00D90F80">
              <w:rPr>
                <w:b/>
                <w:sz w:val="20"/>
                <w:lang w:val="en-US"/>
              </w:rPr>
              <w:t>Outcome 1: “</w:t>
            </w:r>
            <w:r w:rsidR="00563D01" w:rsidRPr="00EB6E0E">
              <w:rPr>
                <w:b/>
                <w:sz w:val="20"/>
                <w:lang w:val="en-US"/>
              </w:rPr>
              <w:t>Implementation of the CMP advanced</w:t>
            </w:r>
            <w:r w:rsidR="00910592">
              <w:rPr>
                <w:b/>
                <w:sz w:val="20"/>
                <w:lang w:val="en-US"/>
              </w:rPr>
              <w:t>,</w:t>
            </w:r>
            <w:r w:rsidR="00563D01" w:rsidRPr="00EB6E0E">
              <w:rPr>
                <w:b/>
                <w:sz w:val="20"/>
                <w:lang w:val="en-US"/>
              </w:rPr>
              <w:t xml:space="preserve"> according to agreed timelines and steps, on the basis of coherent technical, financ</w:t>
            </w:r>
            <w:r w:rsidR="00563D01">
              <w:rPr>
                <w:b/>
                <w:sz w:val="20"/>
                <w:lang w:val="en-US"/>
              </w:rPr>
              <w:t>ial and administrative support</w:t>
            </w:r>
            <w:r w:rsidRPr="00D90F80">
              <w:rPr>
                <w:b/>
                <w:sz w:val="20"/>
                <w:lang w:val="en-US"/>
              </w:rPr>
              <w:t>”</w:t>
            </w:r>
          </w:p>
          <w:p w14:paraId="049E5633" w14:textId="77777777" w:rsidR="00D235C9" w:rsidRPr="00D90F80" w:rsidRDefault="00D235C9" w:rsidP="004E7E57">
            <w:pPr>
              <w:jc w:val="both"/>
              <w:rPr>
                <w:b/>
                <w:sz w:val="20"/>
                <w:lang w:val="en-US"/>
              </w:rPr>
            </w:pPr>
          </w:p>
          <w:p w14:paraId="3267095F" w14:textId="77777777" w:rsidR="00817B1D" w:rsidRDefault="00817B1D">
            <w:pPr>
              <w:rPr>
                <w:b/>
                <w:color w:val="000000"/>
                <w:sz w:val="20"/>
                <w:lang w:val="en-US" w:bidi="ar-YE"/>
              </w:rPr>
            </w:pPr>
          </w:p>
          <w:p w14:paraId="40643CD0" w14:textId="4E4C9FD2" w:rsidR="002756A8" w:rsidRDefault="00D235C9" w:rsidP="00233819">
            <w:pPr>
              <w:rPr>
                <w:bCs/>
                <w:sz w:val="20"/>
              </w:rPr>
            </w:pPr>
            <w:r>
              <w:rPr>
                <w:bCs/>
                <w:sz w:val="20"/>
              </w:rPr>
              <w:t>Under this outcome, the OSESG, UNOPS and the Secretaria</w:t>
            </w:r>
            <w:r w:rsidR="002756A8">
              <w:rPr>
                <w:bCs/>
                <w:sz w:val="20"/>
              </w:rPr>
              <w:t>t worked on the bas</w:t>
            </w:r>
            <w:r w:rsidR="00C55E7A">
              <w:rPr>
                <w:bCs/>
                <w:sz w:val="20"/>
              </w:rPr>
              <w:t>i</w:t>
            </w:r>
            <w:r w:rsidR="002756A8">
              <w:rPr>
                <w:bCs/>
                <w:sz w:val="20"/>
              </w:rPr>
              <w:t>s of</w:t>
            </w:r>
            <w:r>
              <w:rPr>
                <w:bCs/>
                <w:sz w:val="20"/>
              </w:rPr>
              <w:t xml:space="preserve"> two scenarios. </w:t>
            </w:r>
            <w:r w:rsidR="00C55E7A">
              <w:rPr>
                <w:bCs/>
                <w:sz w:val="20"/>
              </w:rPr>
              <w:t>The f</w:t>
            </w:r>
            <w:r>
              <w:rPr>
                <w:bCs/>
                <w:sz w:val="20"/>
              </w:rPr>
              <w:t xml:space="preserve">irst </w:t>
            </w:r>
            <w:r w:rsidR="00C55E7A">
              <w:rPr>
                <w:bCs/>
                <w:sz w:val="20"/>
              </w:rPr>
              <w:t>s</w:t>
            </w:r>
            <w:r>
              <w:rPr>
                <w:bCs/>
                <w:sz w:val="20"/>
              </w:rPr>
              <w:t xml:space="preserve">cenario was </w:t>
            </w:r>
            <w:r w:rsidR="00CC24D5">
              <w:rPr>
                <w:bCs/>
                <w:sz w:val="20"/>
              </w:rPr>
              <w:t xml:space="preserve">keeping the Secretariat on the ground with minimal costs to work on preparations for the following phases of the process and ready to start immediately if the political process was back </w:t>
            </w:r>
            <w:r w:rsidR="00C55E7A">
              <w:rPr>
                <w:bCs/>
                <w:sz w:val="20"/>
              </w:rPr>
              <w:t xml:space="preserve">on </w:t>
            </w:r>
            <w:r w:rsidR="00CC24D5">
              <w:rPr>
                <w:bCs/>
                <w:sz w:val="20"/>
              </w:rPr>
              <w:t xml:space="preserve">track. </w:t>
            </w:r>
            <w:r w:rsidR="00C55E7A">
              <w:rPr>
                <w:bCs/>
                <w:sz w:val="20"/>
              </w:rPr>
              <w:t>The s</w:t>
            </w:r>
            <w:r w:rsidR="002756A8">
              <w:rPr>
                <w:bCs/>
                <w:sz w:val="20"/>
              </w:rPr>
              <w:t xml:space="preserve">econd </w:t>
            </w:r>
            <w:r w:rsidR="00C55E7A">
              <w:rPr>
                <w:bCs/>
                <w:sz w:val="20"/>
              </w:rPr>
              <w:t>s</w:t>
            </w:r>
            <w:r w:rsidR="002756A8">
              <w:rPr>
                <w:bCs/>
                <w:sz w:val="20"/>
              </w:rPr>
              <w:t xml:space="preserve">cenario was </w:t>
            </w:r>
            <w:r w:rsidR="00233819">
              <w:rPr>
                <w:bCs/>
                <w:sz w:val="20"/>
              </w:rPr>
              <w:t xml:space="preserve">to plan for closure in case </w:t>
            </w:r>
            <w:r w:rsidR="002756A8">
              <w:rPr>
                <w:bCs/>
                <w:sz w:val="20"/>
              </w:rPr>
              <w:t>the process w</w:t>
            </w:r>
            <w:r w:rsidR="00233819">
              <w:rPr>
                <w:bCs/>
                <w:sz w:val="20"/>
              </w:rPr>
              <w:t xml:space="preserve">ill not be resumed before </w:t>
            </w:r>
            <w:r w:rsidR="002756A8">
              <w:rPr>
                <w:bCs/>
                <w:sz w:val="20"/>
              </w:rPr>
              <w:t xml:space="preserve">September which leaves only three months for final closure of the project. </w:t>
            </w:r>
          </w:p>
          <w:p w14:paraId="53FA038F" w14:textId="77777777" w:rsidR="002756A8" w:rsidRDefault="002756A8" w:rsidP="002756A8">
            <w:pPr>
              <w:rPr>
                <w:bCs/>
                <w:sz w:val="20"/>
              </w:rPr>
            </w:pPr>
          </w:p>
          <w:p w14:paraId="03B0EA7C" w14:textId="44128AFF" w:rsidR="002069D5" w:rsidRDefault="00CC24D5" w:rsidP="00233819">
            <w:pPr>
              <w:rPr>
                <w:bCs/>
                <w:sz w:val="20"/>
              </w:rPr>
            </w:pPr>
            <w:r>
              <w:rPr>
                <w:bCs/>
                <w:sz w:val="20"/>
              </w:rPr>
              <w:t>The Secretariat restructured their team to be able to reduce</w:t>
            </w:r>
            <w:r w:rsidR="00233819">
              <w:rPr>
                <w:bCs/>
                <w:sz w:val="20"/>
              </w:rPr>
              <w:t xml:space="preserve"> staffing costs. </w:t>
            </w:r>
            <w:r>
              <w:rPr>
                <w:bCs/>
                <w:sz w:val="20"/>
              </w:rPr>
              <w:t xml:space="preserve">UNOPS worked on minimising all other operational costs of the premises among others. During this quarter a new storage location was identified and contracted to move the Secretariat assets to be able to save the rent of the premises and other operational costs of the building. UNOPS and the Secretariat started preparations to move assets out when militants prevented them from </w:t>
            </w:r>
            <w:r w:rsidR="00233819">
              <w:rPr>
                <w:bCs/>
                <w:sz w:val="20"/>
              </w:rPr>
              <w:t>doing so</w:t>
            </w:r>
            <w:r w:rsidR="002069D5">
              <w:rPr>
                <w:bCs/>
                <w:sz w:val="20"/>
              </w:rPr>
              <w:t xml:space="preserve">. </w:t>
            </w:r>
            <w:r w:rsidR="00233819">
              <w:rPr>
                <w:bCs/>
                <w:sz w:val="20"/>
              </w:rPr>
              <w:t xml:space="preserve"> In addition, t</w:t>
            </w:r>
            <w:r w:rsidR="002069D5">
              <w:rPr>
                <w:bCs/>
                <w:sz w:val="20"/>
              </w:rPr>
              <w:t xml:space="preserve">he Secretariat premises </w:t>
            </w:r>
            <w:r w:rsidR="00C55E7A">
              <w:rPr>
                <w:bCs/>
                <w:sz w:val="20"/>
              </w:rPr>
              <w:t>are</w:t>
            </w:r>
            <w:r w:rsidR="002069D5">
              <w:rPr>
                <w:bCs/>
                <w:sz w:val="20"/>
              </w:rPr>
              <w:t xml:space="preserve"> located in Attan which was one of the most </w:t>
            </w:r>
            <w:r w:rsidR="00233819">
              <w:rPr>
                <w:bCs/>
                <w:sz w:val="20"/>
              </w:rPr>
              <w:t>a</w:t>
            </w:r>
            <w:r w:rsidR="002069D5">
              <w:rPr>
                <w:bCs/>
                <w:sz w:val="20"/>
              </w:rPr>
              <w:t xml:space="preserve">ffected areas in Sana’a by the Coalition airstrikes. A massive bomb </w:t>
            </w:r>
            <w:r w:rsidR="002069D5">
              <w:rPr>
                <w:bCs/>
                <w:sz w:val="20"/>
              </w:rPr>
              <w:lastRenderedPageBreak/>
              <w:t xml:space="preserve">hit the area on 17 April and the building was </w:t>
            </w:r>
            <w:r w:rsidR="00233819">
              <w:rPr>
                <w:bCs/>
                <w:sz w:val="20"/>
              </w:rPr>
              <w:t>a</w:t>
            </w:r>
            <w:r w:rsidR="002069D5">
              <w:rPr>
                <w:bCs/>
                <w:sz w:val="20"/>
              </w:rPr>
              <w:t xml:space="preserve">ffected and everything in it. One of the building guards was killed and others injured in that explosion. </w:t>
            </w:r>
            <w:r w:rsidR="00B51DE5">
              <w:rPr>
                <w:bCs/>
                <w:sz w:val="20"/>
              </w:rPr>
              <w:t>UNOPS and t</w:t>
            </w:r>
            <w:r w:rsidR="002069D5">
              <w:rPr>
                <w:bCs/>
                <w:sz w:val="20"/>
              </w:rPr>
              <w:t>he Secretariat</w:t>
            </w:r>
            <w:r w:rsidR="00B51DE5">
              <w:rPr>
                <w:bCs/>
                <w:sz w:val="20"/>
              </w:rPr>
              <w:t xml:space="preserve"> formed a committee </w:t>
            </w:r>
            <w:r w:rsidR="00233819">
              <w:rPr>
                <w:bCs/>
                <w:sz w:val="20"/>
              </w:rPr>
              <w:t>to assess the damage of</w:t>
            </w:r>
            <w:r w:rsidR="00B51DE5">
              <w:rPr>
                <w:bCs/>
                <w:sz w:val="20"/>
              </w:rPr>
              <w:t xml:space="preserve"> the building and equipment </w:t>
            </w:r>
            <w:r w:rsidR="00C55E7A">
              <w:rPr>
                <w:bCs/>
                <w:sz w:val="20"/>
              </w:rPr>
              <w:t xml:space="preserve">and </w:t>
            </w:r>
            <w:r w:rsidR="00B51DE5">
              <w:rPr>
                <w:bCs/>
                <w:sz w:val="20"/>
              </w:rPr>
              <w:t xml:space="preserve">then </w:t>
            </w:r>
            <w:r w:rsidR="00233819">
              <w:rPr>
                <w:bCs/>
                <w:sz w:val="20"/>
              </w:rPr>
              <w:t>submitted a damage report. Even then,</w:t>
            </w:r>
            <w:r w:rsidR="00B51DE5">
              <w:rPr>
                <w:bCs/>
                <w:sz w:val="20"/>
              </w:rPr>
              <w:t xml:space="preserve"> they</w:t>
            </w:r>
            <w:r w:rsidR="002069D5">
              <w:rPr>
                <w:bCs/>
                <w:sz w:val="20"/>
              </w:rPr>
              <w:t xml:space="preserve"> could</w:t>
            </w:r>
            <w:r w:rsidR="00C55E7A">
              <w:rPr>
                <w:bCs/>
                <w:sz w:val="20"/>
              </w:rPr>
              <w:t xml:space="preserve"> </w:t>
            </w:r>
            <w:r w:rsidR="002069D5">
              <w:rPr>
                <w:bCs/>
                <w:sz w:val="20"/>
              </w:rPr>
              <w:t>n</w:t>
            </w:r>
            <w:r w:rsidR="00C55E7A">
              <w:rPr>
                <w:bCs/>
                <w:sz w:val="20"/>
              </w:rPr>
              <w:t>o</w:t>
            </w:r>
            <w:r w:rsidR="002069D5">
              <w:rPr>
                <w:bCs/>
                <w:sz w:val="20"/>
              </w:rPr>
              <w:t>t move things</w:t>
            </w:r>
            <w:r w:rsidR="00B51DE5">
              <w:rPr>
                <w:bCs/>
                <w:sz w:val="20"/>
              </w:rPr>
              <w:t xml:space="preserve"> out of the building, hence UNOPS</w:t>
            </w:r>
            <w:r w:rsidR="002069D5">
              <w:rPr>
                <w:bCs/>
                <w:sz w:val="20"/>
              </w:rPr>
              <w:t xml:space="preserve"> negotiated a 70% discount on the rent to be able to keep hand on the Secretariat equipment.  </w:t>
            </w:r>
            <w:r w:rsidR="00B51DE5">
              <w:rPr>
                <w:bCs/>
                <w:sz w:val="20"/>
              </w:rPr>
              <w:t xml:space="preserve">This was a temporary solution until they can move things out to the rented warehouse. </w:t>
            </w:r>
          </w:p>
          <w:p w14:paraId="32480ED2" w14:textId="77777777" w:rsidR="002069D5" w:rsidRDefault="002069D5" w:rsidP="002756A8">
            <w:pPr>
              <w:rPr>
                <w:bCs/>
                <w:sz w:val="20"/>
              </w:rPr>
            </w:pPr>
          </w:p>
          <w:p w14:paraId="7CC30C5B" w14:textId="49FB2F97" w:rsidR="00F62A88" w:rsidRDefault="00B51DE5" w:rsidP="00B51DE5">
            <w:pPr>
              <w:rPr>
                <w:bCs/>
                <w:sz w:val="20"/>
              </w:rPr>
            </w:pPr>
            <w:r>
              <w:rPr>
                <w:bCs/>
                <w:sz w:val="20"/>
              </w:rPr>
              <w:t>On the other hand, t</w:t>
            </w:r>
            <w:r w:rsidR="00D235C9">
              <w:rPr>
                <w:bCs/>
                <w:sz w:val="20"/>
              </w:rPr>
              <w:t xml:space="preserve">he </w:t>
            </w:r>
            <w:r w:rsidR="00F62A88" w:rsidRPr="00F62A88">
              <w:rPr>
                <w:bCs/>
                <w:sz w:val="20"/>
              </w:rPr>
              <w:t>Secretariat</w:t>
            </w:r>
            <w:r>
              <w:rPr>
                <w:bCs/>
                <w:sz w:val="20"/>
              </w:rPr>
              <w:t xml:space="preserve"> continued to work from home and started preparations for project closure and other preparations for a sudden resumption of the project. Part of the closu</w:t>
            </w:r>
            <w:r w:rsidR="00233819">
              <w:rPr>
                <w:bCs/>
                <w:sz w:val="20"/>
              </w:rPr>
              <w:t xml:space="preserve">re preparations </w:t>
            </w:r>
            <w:r w:rsidR="00C55E7A">
              <w:rPr>
                <w:bCs/>
                <w:sz w:val="20"/>
              </w:rPr>
              <w:t xml:space="preserve">was to </w:t>
            </w:r>
            <w:r>
              <w:rPr>
                <w:bCs/>
                <w:sz w:val="20"/>
              </w:rPr>
              <w:t>start work on a final report for supporting</w:t>
            </w:r>
            <w:r w:rsidR="00F62A88" w:rsidRPr="00F62A88">
              <w:rPr>
                <w:bCs/>
                <w:sz w:val="20"/>
              </w:rPr>
              <w:t xml:space="preserve"> the </w:t>
            </w:r>
            <w:r w:rsidR="00A20701">
              <w:rPr>
                <w:bCs/>
                <w:sz w:val="20"/>
              </w:rPr>
              <w:t xml:space="preserve">constitutional </w:t>
            </w:r>
            <w:r w:rsidR="00A20701" w:rsidRPr="00F62A88">
              <w:rPr>
                <w:bCs/>
                <w:sz w:val="20"/>
              </w:rPr>
              <w:t>process</w:t>
            </w:r>
            <w:r w:rsidR="00233819">
              <w:rPr>
                <w:bCs/>
                <w:sz w:val="20"/>
              </w:rPr>
              <w:t>. This report</w:t>
            </w:r>
            <w:r w:rsidR="00F62A88" w:rsidRPr="00F62A88">
              <w:rPr>
                <w:bCs/>
                <w:sz w:val="20"/>
              </w:rPr>
              <w:t xml:space="preserve"> </w:t>
            </w:r>
            <w:r w:rsidR="00D235C9">
              <w:rPr>
                <w:bCs/>
                <w:sz w:val="20"/>
              </w:rPr>
              <w:t>explain</w:t>
            </w:r>
            <w:r w:rsidR="00233819">
              <w:rPr>
                <w:bCs/>
                <w:sz w:val="20"/>
              </w:rPr>
              <w:t>s</w:t>
            </w:r>
            <w:r w:rsidR="00F62A88" w:rsidRPr="00F62A88">
              <w:rPr>
                <w:bCs/>
                <w:sz w:val="20"/>
              </w:rPr>
              <w:t xml:space="preserve"> the role of the Secretariat </w:t>
            </w:r>
            <w:r w:rsidR="00D235C9">
              <w:rPr>
                <w:bCs/>
                <w:sz w:val="20"/>
              </w:rPr>
              <w:t>and document</w:t>
            </w:r>
            <w:r w:rsidR="00233819">
              <w:rPr>
                <w:bCs/>
                <w:sz w:val="20"/>
              </w:rPr>
              <w:t>s</w:t>
            </w:r>
            <w:r w:rsidR="00D235C9">
              <w:rPr>
                <w:bCs/>
                <w:sz w:val="20"/>
              </w:rPr>
              <w:t xml:space="preserve"> their work throughout the drafting process</w:t>
            </w:r>
            <w:r w:rsidR="00FB0A91">
              <w:rPr>
                <w:bCs/>
                <w:sz w:val="20"/>
              </w:rPr>
              <w:t>.</w:t>
            </w:r>
            <w:r w:rsidR="00D235C9">
              <w:rPr>
                <w:bCs/>
                <w:sz w:val="20"/>
              </w:rPr>
              <w:t xml:space="preserve"> </w:t>
            </w:r>
            <w:r>
              <w:rPr>
                <w:bCs/>
                <w:sz w:val="20"/>
              </w:rPr>
              <w:t xml:space="preserve">In addition, they continued working on alternative modalities, plans for the resumption. </w:t>
            </w:r>
          </w:p>
          <w:p w14:paraId="64EACEAA" w14:textId="0B3D34B7" w:rsidR="000926DA" w:rsidRDefault="004F39B8" w:rsidP="004F39B8">
            <w:pPr>
              <w:rPr>
                <w:bCs/>
                <w:sz w:val="20"/>
              </w:rPr>
            </w:pPr>
            <w:r>
              <w:rPr>
                <w:bCs/>
                <w:sz w:val="20"/>
              </w:rPr>
              <w:t>UNOPS continued to provide the needed logistical and operational support throughout the period such as renewal/ending staff, premises and security contracts. They worked on reconciliations with banks and companies who were responsible for internal money transfers</w:t>
            </w:r>
            <w:r w:rsidR="000926DA">
              <w:rPr>
                <w:bCs/>
                <w:sz w:val="20"/>
              </w:rPr>
              <w:t xml:space="preserve"> among other issues. </w:t>
            </w:r>
          </w:p>
          <w:p w14:paraId="74461C8C" w14:textId="77777777" w:rsidR="000926DA" w:rsidRDefault="000926DA" w:rsidP="004F39B8">
            <w:pPr>
              <w:rPr>
                <w:bCs/>
                <w:sz w:val="20"/>
              </w:rPr>
            </w:pPr>
          </w:p>
          <w:p w14:paraId="7F5A933E" w14:textId="445D8574" w:rsidR="004F39B8" w:rsidRPr="00F62A88" w:rsidRDefault="000926DA" w:rsidP="00EF26DA">
            <w:pPr>
              <w:rPr>
                <w:bCs/>
                <w:sz w:val="20"/>
              </w:rPr>
            </w:pPr>
            <w:r>
              <w:rPr>
                <w:bCs/>
                <w:sz w:val="20"/>
              </w:rPr>
              <w:t xml:space="preserve">The OSESG continued to provide regular updates on the situation to donors whether </w:t>
            </w:r>
            <w:r w:rsidR="00233819">
              <w:rPr>
                <w:bCs/>
                <w:sz w:val="20"/>
              </w:rPr>
              <w:t xml:space="preserve">through </w:t>
            </w:r>
            <w:r>
              <w:rPr>
                <w:bCs/>
                <w:sz w:val="20"/>
              </w:rPr>
              <w:t xml:space="preserve">virtual or bilateral meetings. </w:t>
            </w:r>
            <w:r w:rsidR="00EF26DA">
              <w:rPr>
                <w:bCs/>
                <w:sz w:val="20"/>
              </w:rPr>
              <w:t>In these meetings, OSESG and UNOPS discussed</w:t>
            </w:r>
            <w:r>
              <w:rPr>
                <w:bCs/>
                <w:sz w:val="20"/>
              </w:rPr>
              <w:t xml:space="preserve"> the ongoing planning based on the assumptions of the two </w:t>
            </w:r>
            <w:r w:rsidR="00C55E7A">
              <w:rPr>
                <w:bCs/>
                <w:sz w:val="20"/>
              </w:rPr>
              <w:t>s</w:t>
            </w:r>
            <w:r>
              <w:rPr>
                <w:bCs/>
                <w:sz w:val="20"/>
              </w:rPr>
              <w:t xml:space="preserve">cenarios mentioned above in this report. </w:t>
            </w:r>
            <w:r w:rsidR="00EF26DA">
              <w:rPr>
                <w:bCs/>
                <w:sz w:val="20"/>
              </w:rPr>
              <w:t>In addition, OSESG</w:t>
            </w:r>
            <w:r>
              <w:rPr>
                <w:bCs/>
                <w:sz w:val="20"/>
              </w:rPr>
              <w:t xml:space="preserve"> continued to work with the MPTF office on administrative issues like ending SAAs</w:t>
            </w:r>
            <w:r w:rsidR="00C55E7A">
              <w:rPr>
                <w:bCs/>
                <w:sz w:val="20"/>
              </w:rPr>
              <w:t>, asset disposal policy</w:t>
            </w:r>
            <w:r>
              <w:rPr>
                <w:bCs/>
                <w:sz w:val="20"/>
              </w:rPr>
              <w:t xml:space="preserve"> and other donor related documentation.   </w:t>
            </w:r>
            <w:r w:rsidR="004F39B8">
              <w:rPr>
                <w:bCs/>
                <w:sz w:val="20"/>
              </w:rPr>
              <w:t xml:space="preserve"> </w:t>
            </w:r>
          </w:p>
          <w:p w14:paraId="61BDF7C4" w14:textId="77777777" w:rsidR="00F62A88" w:rsidRDefault="00F62A88">
            <w:pPr>
              <w:rPr>
                <w:bCs/>
                <w:sz w:val="20"/>
              </w:rPr>
            </w:pPr>
          </w:p>
          <w:p w14:paraId="4FD70C05" w14:textId="77777777" w:rsidR="00F62A88" w:rsidRPr="00D90F80" w:rsidRDefault="00F62A88">
            <w:pPr>
              <w:rPr>
                <w:b/>
                <w:color w:val="000000"/>
                <w:sz w:val="20"/>
                <w:lang w:val="en-US" w:bidi="ar-YE"/>
              </w:rPr>
            </w:pPr>
          </w:p>
          <w:p w14:paraId="0F1D359F" w14:textId="38E8A81C" w:rsidR="0045663F" w:rsidRDefault="00BF0834" w:rsidP="000D3FCB">
            <w:pPr>
              <w:jc w:val="both"/>
              <w:rPr>
                <w:b/>
                <w:sz w:val="20"/>
                <w:lang w:val="en-US"/>
              </w:rPr>
            </w:pPr>
            <w:r w:rsidRPr="00D90F80">
              <w:rPr>
                <w:b/>
                <w:sz w:val="20"/>
                <w:lang w:val="en-US"/>
              </w:rPr>
              <w:t xml:space="preserve">Outcome 2: </w:t>
            </w:r>
            <w:r w:rsidR="000421CB" w:rsidRPr="00D90F80">
              <w:rPr>
                <w:b/>
                <w:sz w:val="20"/>
                <w:lang w:val="en-US"/>
              </w:rPr>
              <w:t>“</w:t>
            </w:r>
            <w:r w:rsidR="000421CB" w:rsidRPr="006B079A">
              <w:rPr>
                <w:b/>
                <w:sz w:val="20"/>
                <w:lang w:val="en-US"/>
              </w:rPr>
              <w:t>The outcome of the CMP reflects an inclusive, transparent, meaningful and participatory process</w:t>
            </w:r>
          </w:p>
          <w:p w14:paraId="6E1BA9C3" w14:textId="109087CB" w:rsidR="00A2140A" w:rsidRDefault="00A2140A" w:rsidP="00746BAD">
            <w:pPr>
              <w:widowControl/>
              <w:snapToGrid/>
              <w:spacing w:line="276" w:lineRule="auto"/>
              <w:contextualSpacing/>
              <w:jc w:val="both"/>
              <w:rPr>
                <w:bCs/>
                <w:sz w:val="20"/>
              </w:rPr>
            </w:pPr>
          </w:p>
          <w:p w14:paraId="4C37C576" w14:textId="77DDDFE5" w:rsidR="004E7E57" w:rsidRDefault="00EF26DA" w:rsidP="00950E13">
            <w:pPr>
              <w:jc w:val="both"/>
              <w:rPr>
                <w:bCs/>
                <w:sz w:val="20"/>
              </w:rPr>
            </w:pPr>
            <w:r>
              <w:rPr>
                <w:bCs/>
                <w:sz w:val="20"/>
              </w:rPr>
              <w:t xml:space="preserve">Under this outcome, part of planning for the </w:t>
            </w:r>
            <w:r w:rsidR="0002404E">
              <w:rPr>
                <w:bCs/>
                <w:sz w:val="20"/>
              </w:rPr>
              <w:t>first</w:t>
            </w:r>
            <w:r>
              <w:rPr>
                <w:bCs/>
                <w:sz w:val="20"/>
              </w:rPr>
              <w:t xml:space="preserve"> scenario </w:t>
            </w:r>
            <w:r w:rsidR="00FE704E">
              <w:rPr>
                <w:bCs/>
                <w:sz w:val="20"/>
              </w:rPr>
              <w:t>was</w:t>
            </w:r>
            <w:r>
              <w:rPr>
                <w:bCs/>
                <w:sz w:val="20"/>
              </w:rPr>
              <w:t xml:space="preserve"> producing materials for the outreach and messages to be used in the media and communication campaign.</w:t>
            </w:r>
            <w:r w:rsidR="00950E13">
              <w:rPr>
                <w:bCs/>
                <w:sz w:val="20"/>
              </w:rPr>
              <w:t xml:space="preserve"> One hundred messages on a number of chapters of the draft Constitution were developed to be used when the process is retained. </w:t>
            </w:r>
            <w:r>
              <w:rPr>
                <w:bCs/>
                <w:sz w:val="20"/>
              </w:rPr>
              <w:t xml:space="preserve"> The Secretariat tried to identify </w:t>
            </w:r>
            <w:r w:rsidR="00097727">
              <w:rPr>
                <w:bCs/>
                <w:sz w:val="20"/>
              </w:rPr>
              <w:t>alt</w:t>
            </w:r>
            <w:r>
              <w:rPr>
                <w:bCs/>
                <w:sz w:val="20"/>
              </w:rPr>
              <w:t>ernative methods to continue</w:t>
            </w:r>
            <w:r w:rsidR="00097727">
              <w:rPr>
                <w:bCs/>
                <w:sz w:val="20"/>
              </w:rPr>
              <w:t xml:space="preserve"> work</w:t>
            </w:r>
            <w:r>
              <w:rPr>
                <w:bCs/>
                <w:sz w:val="20"/>
              </w:rPr>
              <w:t>ing</w:t>
            </w:r>
            <w:r w:rsidR="00097727">
              <w:rPr>
                <w:bCs/>
                <w:sz w:val="20"/>
              </w:rPr>
              <w:t xml:space="preserve"> on the Public Consultation </w:t>
            </w:r>
            <w:r>
              <w:rPr>
                <w:bCs/>
                <w:sz w:val="20"/>
              </w:rPr>
              <w:t>outreach c</w:t>
            </w:r>
            <w:r w:rsidR="00097727">
              <w:rPr>
                <w:bCs/>
                <w:sz w:val="20"/>
              </w:rPr>
              <w:t>ampaign fo</w:t>
            </w:r>
            <w:r>
              <w:rPr>
                <w:bCs/>
                <w:sz w:val="20"/>
              </w:rPr>
              <w:t>r the draft constitution. They worked with TV stations working from outside</w:t>
            </w:r>
            <w:r w:rsidR="00950E13">
              <w:rPr>
                <w:bCs/>
                <w:sz w:val="20"/>
              </w:rPr>
              <w:t xml:space="preserve"> Sana’a to broadcast the Campaign TV flashes. </w:t>
            </w:r>
            <w:r w:rsidR="00097727">
              <w:rPr>
                <w:bCs/>
                <w:sz w:val="20"/>
              </w:rPr>
              <w:t xml:space="preserve">Another method used by the </w:t>
            </w:r>
            <w:r w:rsidR="00F62A88">
              <w:rPr>
                <w:bCs/>
                <w:sz w:val="20"/>
              </w:rPr>
              <w:t>Secretariat</w:t>
            </w:r>
            <w:r w:rsidR="00097727">
              <w:rPr>
                <w:bCs/>
                <w:sz w:val="20"/>
              </w:rPr>
              <w:t xml:space="preserve"> was utilizing some staff members personal </w:t>
            </w:r>
            <w:r w:rsidR="00F62A88">
              <w:rPr>
                <w:bCs/>
                <w:sz w:val="20"/>
              </w:rPr>
              <w:t>Facebook</w:t>
            </w:r>
            <w:r w:rsidR="00097727">
              <w:rPr>
                <w:bCs/>
                <w:sz w:val="20"/>
              </w:rPr>
              <w:t xml:space="preserve"> pages and WhatsApp to broadcast some </w:t>
            </w:r>
            <w:r w:rsidR="00F62A88">
              <w:rPr>
                <w:bCs/>
                <w:sz w:val="20"/>
              </w:rPr>
              <w:t>constitutional</w:t>
            </w:r>
            <w:r w:rsidR="00097727">
              <w:rPr>
                <w:bCs/>
                <w:sz w:val="20"/>
              </w:rPr>
              <w:t xml:space="preserve"> articles. </w:t>
            </w:r>
          </w:p>
          <w:p w14:paraId="255E97C0" w14:textId="77777777" w:rsidR="00854F8A" w:rsidRDefault="00854F8A" w:rsidP="00950E13">
            <w:pPr>
              <w:jc w:val="both"/>
              <w:rPr>
                <w:bCs/>
                <w:sz w:val="20"/>
              </w:rPr>
            </w:pPr>
          </w:p>
          <w:p w14:paraId="6765330B" w14:textId="39315908" w:rsidR="00233819" w:rsidRPr="00B531FB" w:rsidRDefault="00854F8A" w:rsidP="00950E13">
            <w:pPr>
              <w:jc w:val="both"/>
              <w:rPr>
                <w:bCs/>
                <w:sz w:val="20"/>
                <w:lang w:val="en-US"/>
              </w:rPr>
            </w:pPr>
            <w:r>
              <w:rPr>
                <w:bCs/>
                <w:sz w:val="20"/>
              </w:rPr>
              <w:t xml:space="preserve">All </w:t>
            </w:r>
            <w:r w:rsidR="00CA25E3">
              <w:rPr>
                <w:bCs/>
                <w:sz w:val="20"/>
              </w:rPr>
              <w:t xml:space="preserve">the Secretariat </w:t>
            </w:r>
            <w:r>
              <w:rPr>
                <w:bCs/>
                <w:sz w:val="20"/>
              </w:rPr>
              <w:t>community outreach activities were suspended.</w:t>
            </w:r>
            <w:r w:rsidR="00CA25E3">
              <w:rPr>
                <w:bCs/>
                <w:sz w:val="20"/>
              </w:rPr>
              <w:t xml:space="preserve"> </w:t>
            </w:r>
            <w:r>
              <w:rPr>
                <w:bCs/>
                <w:sz w:val="20"/>
              </w:rPr>
              <w:t xml:space="preserve"> </w:t>
            </w:r>
            <w:r w:rsidR="00CA25E3" w:rsidRPr="00721711">
              <w:rPr>
                <w:bCs/>
                <w:sz w:val="20"/>
              </w:rPr>
              <w:t>In February 2015, UNICEF received USD 250,000 from the Yemen National Dialogue and Constitutional Reform Trust Fund (YNDCRTF)</w:t>
            </w:r>
            <w:r w:rsidR="00CA25E3" w:rsidRPr="00CA25E3">
              <w:rPr>
                <w:bCs/>
                <w:sz w:val="20"/>
              </w:rPr>
              <w:t xml:space="preserve"> to conduct community outreach around the NDC outcomes and the new constitution making in over 60 districts of Yemen.</w:t>
            </w:r>
            <w:r w:rsidR="00CA25E3">
              <w:rPr>
                <w:bCs/>
                <w:sz w:val="20"/>
              </w:rPr>
              <w:t xml:space="preserve"> </w:t>
            </w:r>
            <w:r w:rsidR="00CA25E3" w:rsidRPr="00CA25E3">
              <w:rPr>
                <w:bCs/>
                <w:sz w:val="20"/>
              </w:rPr>
              <w:t xml:space="preserve">However, following consultations and based on donor partner’s decision amidst growing tension in Yemen, UNICEF considerably scaled down implementation of the community outreach programme in March 2015.  Following the escalation of conflict and outbreak of full scale war, the NDC outreach programme was effectively suspended in April 2015, with focus shifting to more life-saving emergency humanitarian response. Funds received </w:t>
            </w:r>
            <w:r w:rsidR="00721711">
              <w:rPr>
                <w:bCs/>
                <w:sz w:val="20"/>
              </w:rPr>
              <w:t xml:space="preserve">from the YNDCRTF </w:t>
            </w:r>
            <w:r w:rsidR="00CA25E3" w:rsidRPr="00CA25E3">
              <w:rPr>
                <w:bCs/>
                <w:sz w:val="20"/>
              </w:rPr>
              <w:t>were thus held in abeyan</w:t>
            </w:r>
            <w:r w:rsidR="00CA25E3" w:rsidRPr="00721711">
              <w:rPr>
                <w:bCs/>
                <w:sz w:val="20"/>
              </w:rPr>
              <w:t>ce</w:t>
            </w:r>
            <w:r w:rsidR="00721711">
              <w:rPr>
                <w:bCs/>
                <w:sz w:val="20"/>
              </w:rPr>
              <w:t xml:space="preserve">, hence some of the expenditure continued like the staffing costs planned for the period and other materials production costs. </w:t>
            </w:r>
          </w:p>
        </w:tc>
      </w:tr>
    </w:tbl>
    <w:p w14:paraId="50C6F0EE" w14:textId="1C546A87" w:rsidR="00017C7F" w:rsidRPr="00556465" w:rsidRDefault="00817B1D" w:rsidP="00F45AA3">
      <w:pPr>
        <w:pStyle w:val="FootnoteText"/>
        <w:rPr>
          <w:sz w:val="20"/>
        </w:rPr>
      </w:pPr>
      <w:r w:rsidRPr="00556465">
        <w:rPr>
          <w:i/>
          <w:iCs/>
          <w:sz w:val="16"/>
          <w:szCs w:val="16"/>
        </w:rPr>
        <w:lastRenderedPageBreak/>
        <w:t xml:space="preserve"> The term “project” is used for projects and joint programmes</w:t>
      </w:r>
    </w:p>
    <w:sectPr w:rsidR="00017C7F" w:rsidRPr="00556465" w:rsidSect="00186519">
      <w:headerReference w:type="even" r:id="rId11"/>
      <w:headerReference w:type="default" r:id="rId12"/>
      <w:headerReference w:type="first" r:id="rId13"/>
      <w:pgSz w:w="12240" w:h="15840"/>
      <w:pgMar w:top="540" w:right="1800" w:bottom="2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56ABE" w14:textId="77777777" w:rsidR="00A34D9F" w:rsidRDefault="00A34D9F" w:rsidP="00BC3299">
      <w:r>
        <w:separator/>
      </w:r>
    </w:p>
  </w:endnote>
  <w:endnote w:type="continuationSeparator" w:id="0">
    <w:p w14:paraId="477CFE31" w14:textId="77777777" w:rsidR="00A34D9F" w:rsidRDefault="00A34D9F" w:rsidP="00BC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1D3EC" w14:textId="77777777" w:rsidR="00A34D9F" w:rsidRDefault="00A34D9F" w:rsidP="00BC3299">
      <w:r>
        <w:separator/>
      </w:r>
    </w:p>
  </w:footnote>
  <w:footnote w:type="continuationSeparator" w:id="0">
    <w:p w14:paraId="094CFD6A" w14:textId="77777777" w:rsidR="00A34D9F" w:rsidRDefault="00A34D9F" w:rsidP="00BC3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438FE" w14:textId="387D6A13" w:rsidR="00E85EAD" w:rsidRDefault="00E85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99754" w14:textId="3E5B3AA9" w:rsidR="00E85EAD" w:rsidRDefault="00E85E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2F11A" w14:textId="64C6C4EB" w:rsidR="00E85EAD" w:rsidRDefault="00E85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2C4"/>
    <w:multiLevelType w:val="hybridMultilevel"/>
    <w:tmpl w:val="0E3EC6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F326F9"/>
    <w:multiLevelType w:val="multilevel"/>
    <w:tmpl w:val="BD8C5DA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15:restartNumberingAfterBreak="0">
    <w:nsid w:val="0E2836F0"/>
    <w:multiLevelType w:val="multilevel"/>
    <w:tmpl w:val="D238420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262A529B"/>
    <w:multiLevelType w:val="multilevel"/>
    <w:tmpl w:val="A80A2AF8"/>
    <w:lvl w:ilvl="0">
      <w:start w:val="1"/>
      <w:numFmt w:val="decimal"/>
      <w:lvlText w:val="%1"/>
      <w:lvlJc w:val="left"/>
      <w:pPr>
        <w:ind w:left="360" w:hanging="360"/>
      </w:pPr>
      <w:rPr>
        <w:rFonts w:hint="default"/>
        <w:b w:val="0"/>
        <w:color w:val="auto"/>
        <w:sz w:val="20"/>
      </w:rPr>
    </w:lvl>
    <w:lvl w:ilvl="1">
      <w:start w:val="1"/>
      <w:numFmt w:val="decimal"/>
      <w:lvlText w:val="%1.%2"/>
      <w:lvlJc w:val="left"/>
      <w:pPr>
        <w:ind w:left="360" w:hanging="360"/>
      </w:pPr>
      <w:rPr>
        <w:rFonts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b w:val="0"/>
        <w:color w:val="auto"/>
        <w:sz w:val="20"/>
      </w:rPr>
    </w:lvl>
    <w:lvl w:ilvl="4">
      <w:start w:val="1"/>
      <w:numFmt w:val="decimal"/>
      <w:lvlText w:val="%1.%2.%3.%4.%5"/>
      <w:lvlJc w:val="left"/>
      <w:pPr>
        <w:ind w:left="1080" w:hanging="1080"/>
      </w:pPr>
      <w:rPr>
        <w:rFonts w:hint="default"/>
        <w:b w:val="0"/>
        <w:color w:val="auto"/>
        <w:sz w:val="20"/>
      </w:rPr>
    </w:lvl>
    <w:lvl w:ilvl="5">
      <w:start w:val="1"/>
      <w:numFmt w:val="decimal"/>
      <w:lvlText w:val="%1.%2.%3.%4.%5.%6"/>
      <w:lvlJc w:val="left"/>
      <w:pPr>
        <w:ind w:left="1080" w:hanging="1080"/>
      </w:pPr>
      <w:rPr>
        <w:rFonts w:hint="default"/>
        <w:b w:val="0"/>
        <w:color w:val="auto"/>
        <w:sz w:val="20"/>
      </w:rPr>
    </w:lvl>
    <w:lvl w:ilvl="6">
      <w:start w:val="1"/>
      <w:numFmt w:val="decimal"/>
      <w:lvlText w:val="%1.%2.%3.%4.%5.%6.%7"/>
      <w:lvlJc w:val="left"/>
      <w:pPr>
        <w:ind w:left="1440" w:hanging="1440"/>
      </w:pPr>
      <w:rPr>
        <w:rFonts w:hint="default"/>
        <w:b w:val="0"/>
        <w:color w:val="auto"/>
        <w:sz w:val="20"/>
      </w:rPr>
    </w:lvl>
    <w:lvl w:ilvl="7">
      <w:start w:val="1"/>
      <w:numFmt w:val="decimal"/>
      <w:lvlText w:val="%1.%2.%3.%4.%5.%6.%7.%8"/>
      <w:lvlJc w:val="left"/>
      <w:pPr>
        <w:ind w:left="1440" w:hanging="1440"/>
      </w:pPr>
      <w:rPr>
        <w:rFonts w:hint="default"/>
        <w:b w:val="0"/>
        <w:color w:val="auto"/>
        <w:sz w:val="20"/>
      </w:rPr>
    </w:lvl>
    <w:lvl w:ilvl="8">
      <w:start w:val="1"/>
      <w:numFmt w:val="decimal"/>
      <w:lvlText w:val="%1.%2.%3.%4.%5.%6.%7.%8.%9"/>
      <w:lvlJc w:val="left"/>
      <w:pPr>
        <w:ind w:left="1800" w:hanging="1800"/>
      </w:pPr>
      <w:rPr>
        <w:rFonts w:hint="default"/>
        <w:b w:val="0"/>
        <w:color w:val="auto"/>
        <w:sz w:val="20"/>
      </w:rPr>
    </w:lvl>
  </w:abstractNum>
  <w:abstractNum w:abstractNumId="4" w15:restartNumberingAfterBreak="0">
    <w:nsid w:val="2A4A083F"/>
    <w:multiLevelType w:val="multilevel"/>
    <w:tmpl w:val="F43667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F1554DC"/>
    <w:multiLevelType w:val="hybridMultilevel"/>
    <w:tmpl w:val="7F44B8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6751B9"/>
    <w:multiLevelType w:val="hybridMultilevel"/>
    <w:tmpl w:val="FAC603CE"/>
    <w:lvl w:ilvl="0" w:tplc="74B00A50">
      <w:start w:val="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6E3B69"/>
    <w:multiLevelType w:val="hybridMultilevel"/>
    <w:tmpl w:val="60201F92"/>
    <w:lvl w:ilvl="0" w:tplc="4E4C42F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F04E6E"/>
    <w:multiLevelType w:val="hybridMultilevel"/>
    <w:tmpl w:val="0AF266DE"/>
    <w:lvl w:ilvl="0" w:tplc="DBE0DB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5C75D3"/>
    <w:multiLevelType w:val="hybridMultilevel"/>
    <w:tmpl w:val="DA9C4380"/>
    <w:lvl w:ilvl="0" w:tplc="FB1621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5"/>
  </w:num>
  <w:num w:numId="4">
    <w:abstractNumId w:val="0"/>
  </w:num>
  <w:num w:numId="5">
    <w:abstractNumId w:val="2"/>
  </w:num>
  <w:num w:numId="6">
    <w:abstractNumId w:val="7"/>
  </w:num>
  <w:num w:numId="7">
    <w:abstractNumId w:val="1"/>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39"/>
    <w:rsid w:val="000013E6"/>
    <w:rsid w:val="0000413A"/>
    <w:rsid w:val="000109AC"/>
    <w:rsid w:val="00011BB6"/>
    <w:rsid w:val="00015AEF"/>
    <w:rsid w:val="00017C7F"/>
    <w:rsid w:val="0002404E"/>
    <w:rsid w:val="00024FFD"/>
    <w:rsid w:val="000254C8"/>
    <w:rsid w:val="00030BF7"/>
    <w:rsid w:val="0003313C"/>
    <w:rsid w:val="00036D8D"/>
    <w:rsid w:val="000407D4"/>
    <w:rsid w:val="000421CB"/>
    <w:rsid w:val="00046BBD"/>
    <w:rsid w:val="0004718A"/>
    <w:rsid w:val="000529F3"/>
    <w:rsid w:val="00054DF1"/>
    <w:rsid w:val="00057D07"/>
    <w:rsid w:val="000642B5"/>
    <w:rsid w:val="00065B24"/>
    <w:rsid w:val="00072E73"/>
    <w:rsid w:val="000749E1"/>
    <w:rsid w:val="000753F9"/>
    <w:rsid w:val="00075551"/>
    <w:rsid w:val="00077BBA"/>
    <w:rsid w:val="00083662"/>
    <w:rsid w:val="000926DA"/>
    <w:rsid w:val="00092EF9"/>
    <w:rsid w:val="00093FA0"/>
    <w:rsid w:val="00094401"/>
    <w:rsid w:val="00097727"/>
    <w:rsid w:val="000A085C"/>
    <w:rsid w:val="000A2D21"/>
    <w:rsid w:val="000A3A09"/>
    <w:rsid w:val="000A6EBB"/>
    <w:rsid w:val="000B2262"/>
    <w:rsid w:val="000B7814"/>
    <w:rsid w:val="000C4DB1"/>
    <w:rsid w:val="000D3DD2"/>
    <w:rsid w:val="000D3FCB"/>
    <w:rsid w:val="000D54A2"/>
    <w:rsid w:val="000E037F"/>
    <w:rsid w:val="000E3861"/>
    <w:rsid w:val="000E3B08"/>
    <w:rsid w:val="000E3DD5"/>
    <w:rsid w:val="000E5B79"/>
    <w:rsid w:val="000E7259"/>
    <w:rsid w:val="000F4044"/>
    <w:rsid w:val="000F7C67"/>
    <w:rsid w:val="001018B1"/>
    <w:rsid w:val="00107C81"/>
    <w:rsid w:val="0012025C"/>
    <w:rsid w:val="001207D4"/>
    <w:rsid w:val="00121A08"/>
    <w:rsid w:val="001254B2"/>
    <w:rsid w:val="0012594B"/>
    <w:rsid w:val="00133C48"/>
    <w:rsid w:val="00143554"/>
    <w:rsid w:val="001539AB"/>
    <w:rsid w:val="00153F98"/>
    <w:rsid w:val="00155885"/>
    <w:rsid w:val="00174D89"/>
    <w:rsid w:val="00175EB5"/>
    <w:rsid w:val="00176F42"/>
    <w:rsid w:val="001843B1"/>
    <w:rsid w:val="00186519"/>
    <w:rsid w:val="0018725A"/>
    <w:rsid w:val="0018772E"/>
    <w:rsid w:val="00191B76"/>
    <w:rsid w:val="0019280B"/>
    <w:rsid w:val="00192A4D"/>
    <w:rsid w:val="00194AF8"/>
    <w:rsid w:val="00196538"/>
    <w:rsid w:val="001A025E"/>
    <w:rsid w:val="001A26C7"/>
    <w:rsid w:val="001A5525"/>
    <w:rsid w:val="001C0DE9"/>
    <w:rsid w:val="001C6CD3"/>
    <w:rsid w:val="001D5252"/>
    <w:rsid w:val="001F33DF"/>
    <w:rsid w:val="00204D54"/>
    <w:rsid w:val="002069D5"/>
    <w:rsid w:val="002129AD"/>
    <w:rsid w:val="0021317B"/>
    <w:rsid w:val="00220297"/>
    <w:rsid w:val="00223807"/>
    <w:rsid w:val="002240C8"/>
    <w:rsid w:val="00231719"/>
    <w:rsid w:val="00233819"/>
    <w:rsid w:val="00241CCA"/>
    <w:rsid w:val="002422DC"/>
    <w:rsid w:val="0025005C"/>
    <w:rsid w:val="00254F93"/>
    <w:rsid w:val="00261554"/>
    <w:rsid w:val="00263E3A"/>
    <w:rsid w:val="00265A96"/>
    <w:rsid w:val="002661B5"/>
    <w:rsid w:val="002753D4"/>
    <w:rsid w:val="002756A8"/>
    <w:rsid w:val="00276518"/>
    <w:rsid w:val="002805B2"/>
    <w:rsid w:val="002806BA"/>
    <w:rsid w:val="002837A8"/>
    <w:rsid w:val="002853C4"/>
    <w:rsid w:val="00291BAD"/>
    <w:rsid w:val="00295C11"/>
    <w:rsid w:val="00297F0C"/>
    <w:rsid w:val="002A0AE6"/>
    <w:rsid w:val="002A6994"/>
    <w:rsid w:val="002B7D47"/>
    <w:rsid w:val="002C129E"/>
    <w:rsid w:val="002C1B66"/>
    <w:rsid w:val="002C34E0"/>
    <w:rsid w:val="002C3AE5"/>
    <w:rsid w:val="002C4868"/>
    <w:rsid w:val="002C5385"/>
    <w:rsid w:val="002D1CC2"/>
    <w:rsid w:val="002D38AE"/>
    <w:rsid w:val="002D4DC6"/>
    <w:rsid w:val="002D73EB"/>
    <w:rsid w:val="002F04FB"/>
    <w:rsid w:val="002F3B75"/>
    <w:rsid w:val="002F54B3"/>
    <w:rsid w:val="002F7906"/>
    <w:rsid w:val="0030572F"/>
    <w:rsid w:val="00311CF7"/>
    <w:rsid w:val="0031326D"/>
    <w:rsid w:val="00313531"/>
    <w:rsid w:val="00315BD3"/>
    <w:rsid w:val="00316C1E"/>
    <w:rsid w:val="0031745E"/>
    <w:rsid w:val="00317DC7"/>
    <w:rsid w:val="00322C45"/>
    <w:rsid w:val="003244BA"/>
    <w:rsid w:val="00336E00"/>
    <w:rsid w:val="00342F49"/>
    <w:rsid w:val="00343291"/>
    <w:rsid w:val="00344310"/>
    <w:rsid w:val="00351EC2"/>
    <w:rsid w:val="00352BD5"/>
    <w:rsid w:val="00352FE4"/>
    <w:rsid w:val="00353126"/>
    <w:rsid w:val="003541AC"/>
    <w:rsid w:val="003570E9"/>
    <w:rsid w:val="00361312"/>
    <w:rsid w:val="003635BC"/>
    <w:rsid w:val="0036715E"/>
    <w:rsid w:val="00374B38"/>
    <w:rsid w:val="003812A7"/>
    <w:rsid w:val="003839B5"/>
    <w:rsid w:val="003926B2"/>
    <w:rsid w:val="00393DAB"/>
    <w:rsid w:val="003962AC"/>
    <w:rsid w:val="003A36AD"/>
    <w:rsid w:val="003B5F02"/>
    <w:rsid w:val="003C3ACA"/>
    <w:rsid w:val="003C5084"/>
    <w:rsid w:val="003D64DB"/>
    <w:rsid w:val="003D6DAC"/>
    <w:rsid w:val="003E2FA0"/>
    <w:rsid w:val="003E53A9"/>
    <w:rsid w:val="003E7EAA"/>
    <w:rsid w:val="003F6787"/>
    <w:rsid w:val="00400FDD"/>
    <w:rsid w:val="00403176"/>
    <w:rsid w:val="004035A8"/>
    <w:rsid w:val="0040734C"/>
    <w:rsid w:val="00411563"/>
    <w:rsid w:val="00417459"/>
    <w:rsid w:val="0042209C"/>
    <w:rsid w:val="00422282"/>
    <w:rsid w:val="00437F75"/>
    <w:rsid w:val="004401BE"/>
    <w:rsid w:val="004431C8"/>
    <w:rsid w:val="00453DC2"/>
    <w:rsid w:val="00454139"/>
    <w:rsid w:val="0045663F"/>
    <w:rsid w:val="00457FD6"/>
    <w:rsid w:val="00463796"/>
    <w:rsid w:val="00465051"/>
    <w:rsid w:val="0046600C"/>
    <w:rsid w:val="00471046"/>
    <w:rsid w:val="00496FC4"/>
    <w:rsid w:val="00497371"/>
    <w:rsid w:val="004A384B"/>
    <w:rsid w:val="004A53C6"/>
    <w:rsid w:val="004B04B8"/>
    <w:rsid w:val="004B45DA"/>
    <w:rsid w:val="004B470C"/>
    <w:rsid w:val="004B4848"/>
    <w:rsid w:val="004B6C2E"/>
    <w:rsid w:val="004D0F1F"/>
    <w:rsid w:val="004D1769"/>
    <w:rsid w:val="004D25F2"/>
    <w:rsid w:val="004D37DF"/>
    <w:rsid w:val="004E0828"/>
    <w:rsid w:val="004E2925"/>
    <w:rsid w:val="004E30E5"/>
    <w:rsid w:val="004E379B"/>
    <w:rsid w:val="004E58A2"/>
    <w:rsid w:val="004E7E57"/>
    <w:rsid w:val="004F1EA3"/>
    <w:rsid w:val="004F2981"/>
    <w:rsid w:val="004F2BAF"/>
    <w:rsid w:val="004F39B8"/>
    <w:rsid w:val="004F519E"/>
    <w:rsid w:val="004F5A70"/>
    <w:rsid w:val="004F6F7F"/>
    <w:rsid w:val="005015FD"/>
    <w:rsid w:val="005103E5"/>
    <w:rsid w:val="00514D76"/>
    <w:rsid w:val="0052494A"/>
    <w:rsid w:val="005249FC"/>
    <w:rsid w:val="0053014C"/>
    <w:rsid w:val="00535A9B"/>
    <w:rsid w:val="00537D96"/>
    <w:rsid w:val="00541DB9"/>
    <w:rsid w:val="005450DB"/>
    <w:rsid w:val="00545E28"/>
    <w:rsid w:val="0055033C"/>
    <w:rsid w:val="00554816"/>
    <w:rsid w:val="00556465"/>
    <w:rsid w:val="00560F3A"/>
    <w:rsid w:val="00563233"/>
    <w:rsid w:val="00563D01"/>
    <w:rsid w:val="00565BBE"/>
    <w:rsid w:val="005809F0"/>
    <w:rsid w:val="00581584"/>
    <w:rsid w:val="00582D94"/>
    <w:rsid w:val="005838B7"/>
    <w:rsid w:val="005863CE"/>
    <w:rsid w:val="00593F21"/>
    <w:rsid w:val="00595397"/>
    <w:rsid w:val="00596657"/>
    <w:rsid w:val="005A07E3"/>
    <w:rsid w:val="005A6344"/>
    <w:rsid w:val="005A7BD5"/>
    <w:rsid w:val="005B40FC"/>
    <w:rsid w:val="005C666A"/>
    <w:rsid w:val="005C6961"/>
    <w:rsid w:val="005D0964"/>
    <w:rsid w:val="005D0F1F"/>
    <w:rsid w:val="005D205B"/>
    <w:rsid w:val="005D4FA2"/>
    <w:rsid w:val="005E38DC"/>
    <w:rsid w:val="005E7127"/>
    <w:rsid w:val="005F38AF"/>
    <w:rsid w:val="0061335F"/>
    <w:rsid w:val="0062048D"/>
    <w:rsid w:val="00623F21"/>
    <w:rsid w:val="006318C0"/>
    <w:rsid w:val="006337B3"/>
    <w:rsid w:val="00635010"/>
    <w:rsid w:val="006424A1"/>
    <w:rsid w:val="00647B2B"/>
    <w:rsid w:val="00650173"/>
    <w:rsid w:val="00656325"/>
    <w:rsid w:val="00656846"/>
    <w:rsid w:val="00657745"/>
    <w:rsid w:val="0066111D"/>
    <w:rsid w:val="006613B7"/>
    <w:rsid w:val="00662518"/>
    <w:rsid w:val="00662B50"/>
    <w:rsid w:val="00666573"/>
    <w:rsid w:val="00667B62"/>
    <w:rsid w:val="00671961"/>
    <w:rsid w:val="006728BE"/>
    <w:rsid w:val="00673959"/>
    <w:rsid w:val="006747B6"/>
    <w:rsid w:val="006760F0"/>
    <w:rsid w:val="00677255"/>
    <w:rsid w:val="00684E44"/>
    <w:rsid w:val="0068559A"/>
    <w:rsid w:val="00690BEC"/>
    <w:rsid w:val="00691E23"/>
    <w:rsid w:val="006A0BD3"/>
    <w:rsid w:val="006A2C47"/>
    <w:rsid w:val="006A3D67"/>
    <w:rsid w:val="006A69AD"/>
    <w:rsid w:val="006B079A"/>
    <w:rsid w:val="006B1D1E"/>
    <w:rsid w:val="006B67AD"/>
    <w:rsid w:val="006C1C43"/>
    <w:rsid w:val="006D0894"/>
    <w:rsid w:val="006D2F69"/>
    <w:rsid w:val="006D3DA9"/>
    <w:rsid w:val="006E3374"/>
    <w:rsid w:val="006E5C21"/>
    <w:rsid w:val="006F0E1E"/>
    <w:rsid w:val="006F1446"/>
    <w:rsid w:val="006F5970"/>
    <w:rsid w:val="00721711"/>
    <w:rsid w:val="00721C9B"/>
    <w:rsid w:val="007225CF"/>
    <w:rsid w:val="00725039"/>
    <w:rsid w:val="00726811"/>
    <w:rsid w:val="00732458"/>
    <w:rsid w:val="0073760A"/>
    <w:rsid w:val="00737BB4"/>
    <w:rsid w:val="00746BAD"/>
    <w:rsid w:val="007473DF"/>
    <w:rsid w:val="00750F98"/>
    <w:rsid w:val="007568EC"/>
    <w:rsid w:val="007610A5"/>
    <w:rsid w:val="00765E16"/>
    <w:rsid w:val="007730FF"/>
    <w:rsid w:val="007778B6"/>
    <w:rsid w:val="00786B74"/>
    <w:rsid w:val="00787012"/>
    <w:rsid w:val="00792743"/>
    <w:rsid w:val="00794D20"/>
    <w:rsid w:val="007A4A00"/>
    <w:rsid w:val="007B32FD"/>
    <w:rsid w:val="007B7FA3"/>
    <w:rsid w:val="007C07C2"/>
    <w:rsid w:val="007D2932"/>
    <w:rsid w:val="007D54EF"/>
    <w:rsid w:val="007D5A3D"/>
    <w:rsid w:val="007D742E"/>
    <w:rsid w:val="007E3A6F"/>
    <w:rsid w:val="007F2D0A"/>
    <w:rsid w:val="0080176D"/>
    <w:rsid w:val="008029D3"/>
    <w:rsid w:val="00805EC0"/>
    <w:rsid w:val="008071EC"/>
    <w:rsid w:val="008103BC"/>
    <w:rsid w:val="008147FE"/>
    <w:rsid w:val="00817B1D"/>
    <w:rsid w:val="00817E82"/>
    <w:rsid w:val="00824F2D"/>
    <w:rsid w:val="008251D1"/>
    <w:rsid w:val="0083354A"/>
    <w:rsid w:val="00833A39"/>
    <w:rsid w:val="00835C7D"/>
    <w:rsid w:val="008410C7"/>
    <w:rsid w:val="00850B83"/>
    <w:rsid w:val="00854F8A"/>
    <w:rsid w:val="008571F2"/>
    <w:rsid w:val="00862E04"/>
    <w:rsid w:val="00863F85"/>
    <w:rsid w:val="0086494E"/>
    <w:rsid w:val="00865BB7"/>
    <w:rsid w:val="00866EA5"/>
    <w:rsid w:val="00870019"/>
    <w:rsid w:val="00870A1C"/>
    <w:rsid w:val="008747A5"/>
    <w:rsid w:val="00875D70"/>
    <w:rsid w:val="00881C3C"/>
    <w:rsid w:val="008858AD"/>
    <w:rsid w:val="008876C3"/>
    <w:rsid w:val="008A6068"/>
    <w:rsid w:val="008B752A"/>
    <w:rsid w:val="008B7E51"/>
    <w:rsid w:val="008D0F14"/>
    <w:rsid w:val="008D20B0"/>
    <w:rsid w:val="008E5A1D"/>
    <w:rsid w:val="008E7B9F"/>
    <w:rsid w:val="008E7D8F"/>
    <w:rsid w:val="008F5851"/>
    <w:rsid w:val="00902546"/>
    <w:rsid w:val="00903DDB"/>
    <w:rsid w:val="009066A1"/>
    <w:rsid w:val="00910592"/>
    <w:rsid w:val="00911E71"/>
    <w:rsid w:val="009236BE"/>
    <w:rsid w:val="00936674"/>
    <w:rsid w:val="00937C1E"/>
    <w:rsid w:val="00944915"/>
    <w:rsid w:val="009456EC"/>
    <w:rsid w:val="00950E13"/>
    <w:rsid w:val="009529A9"/>
    <w:rsid w:val="00952DB7"/>
    <w:rsid w:val="009574C9"/>
    <w:rsid w:val="00961236"/>
    <w:rsid w:val="00961858"/>
    <w:rsid w:val="009628F7"/>
    <w:rsid w:val="00965D47"/>
    <w:rsid w:val="00974600"/>
    <w:rsid w:val="00977A96"/>
    <w:rsid w:val="0098040A"/>
    <w:rsid w:val="009853A6"/>
    <w:rsid w:val="00986C24"/>
    <w:rsid w:val="00994784"/>
    <w:rsid w:val="009A32A1"/>
    <w:rsid w:val="009A6BFC"/>
    <w:rsid w:val="009B50B8"/>
    <w:rsid w:val="009B7DAC"/>
    <w:rsid w:val="009C0234"/>
    <w:rsid w:val="009C1019"/>
    <w:rsid w:val="009C319F"/>
    <w:rsid w:val="009C4F8B"/>
    <w:rsid w:val="009C5B69"/>
    <w:rsid w:val="009C6A47"/>
    <w:rsid w:val="009D0458"/>
    <w:rsid w:val="009D1217"/>
    <w:rsid w:val="009D2FCD"/>
    <w:rsid w:val="009D3CF1"/>
    <w:rsid w:val="009D4B5F"/>
    <w:rsid w:val="009D76B1"/>
    <w:rsid w:val="009D7718"/>
    <w:rsid w:val="009E3546"/>
    <w:rsid w:val="009F2AAE"/>
    <w:rsid w:val="009F3893"/>
    <w:rsid w:val="009F6319"/>
    <w:rsid w:val="00A01EA4"/>
    <w:rsid w:val="00A20701"/>
    <w:rsid w:val="00A2140A"/>
    <w:rsid w:val="00A232EE"/>
    <w:rsid w:val="00A34BB0"/>
    <w:rsid w:val="00A34D9F"/>
    <w:rsid w:val="00A46E42"/>
    <w:rsid w:val="00A5019A"/>
    <w:rsid w:val="00A50545"/>
    <w:rsid w:val="00A56F7C"/>
    <w:rsid w:val="00A57C2E"/>
    <w:rsid w:val="00A60299"/>
    <w:rsid w:val="00A62043"/>
    <w:rsid w:val="00A62F29"/>
    <w:rsid w:val="00A67EF8"/>
    <w:rsid w:val="00A81492"/>
    <w:rsid w:val="00A82129"/>
    <w:rsid w:val="00A8337D"/>
    <w:rsid w:val="00A84C52"/>
    <w:rsid w:val="00A9538F"/>
    <w:rsid w:val="00AC1585"/>
    <w:rsid w:val="00AC3A22"/>
    <w:rsid w:val="00AC677D"/>
    <w:rsid w:val="00AD66FF"/>
    <w:rsid w:val="00AE703A"/>
    <w:rsid w:val="00B0101E"/>
    <w:rsid w:val="00B0469E"/>
    <w:rsid w:val="00B05514"/>
    <w:rsid w:val="00B136AE"/>
    <w:rsid w:val="00B15402"/>
    <w:rsid w:val="00B15588"/>
    <w:rsid w:val="00B1787B"/>
    <w:rsid w:val="00B17B0A"/>
    <w:rsid w:val="00B20F22"/>
    <w:rsid w:val="00B2115A"/>
    <w:rsid w:val="00B24D2F"/>
    <w:rsid w:val="00B4305C"/>
    <w:rsid w:val="00B430BA"/>
    <w:rsid w:val="00B45893"/>
    <w:rsid w:val="00B479C3"/>
    <w:rsid w:val="00B51DE5"/>
    <w:rsid w:val="00B52916"/>
    <w:rsid w:val="00B53151"/>
    <w:rsid w:val="00B531FB"/>
    <w:rsid w:val="00B56F9F"/>
    <w:rsid w:val="00B57F0D"/>
    <w:rsid w:val="00B613FF"/>
    <w:rsid w:val="00B63696"/>
    <w:rsid w:val="00B6510D"/>
    <w:rsid w:val="00B67936"/>
    <w:rsid w:val="00B71960"/>
    <w:rsid w:val="00B72845"/>
    <w:rsid w:val="00B822E6"/>
    <w:rsid w:val="00B83470"/>
    <w:rsid w:val="00B91394"/>
    <w:rsid w:val="00B9567C"/>
    <w:rsid w:val="00BB01DF"/>
    <w:rsid w:val="00BB59DF"/>
    <w:rsid w:val="00BB7383"/>
    <w:rsid w:val="00BC22D0"/>
    <w:rsid w:val="00BC3299"/>
    <w:rsid w:val="00BC34EF"/>
    <w:rsid w:val="00BC406D"/>
    <w:rsid w:val="00BC57BD"/>
    <w:rsid w:val="00BC5CD9"/>
    <w:rsid w:val="00BC79E4"/>
    <w:rsid w:val="00BD76C4"/>
    <w:rsid w:val="00BE113F"/>
    <w:rsid w:val="00BE432B"/>
    <w:rsid w:val="00BE6454"/>
    <w:rsid w:val="00BE7A6B"/>
    <w:rsid w:val="00BF0834"/>
    <w:rsid w:val="00BF205F"/>
    <w:rsid w:val="00BF4707"/>
    <w:rsid w:val="00BF6B1F"/>
    <w:rsid w:val="00C00557"/>
    <w:rsid w:val="00C01F79"/>
    <w:rsid w:val="00C02569"/>
    <w:rsid w:val="00C0478F"/>
    <w:rsid w:val="00C071E8"/>
    <w:rsid w:val="00C07652"/>
    <w:rsid w:val="00C21B8D"/>
    <w:rsid w:val="00C27222"/>
    <w:rsid w:val="00C34C0B"/>
    <w:rsid w:val="00C403B7"/>
    <w:rsid w:val="00C42327"/>
    <w:rsid w:val="00C45B2D"/>
    <w:rsid w:val="00C478D9"/>
    <w:rsid w:val="00C51323"/>
    <w:rsid w:val="00C5292B"/>
    <w:rsid w:val="00C534B7"/>
    <w:rsid w:val="00C55E7A"/>
    <w:rsid w:val="00C63C37"/>
    <w:rsid w:val="00C67BA4"/>
    <w:rsid w:val="00C710ED"/>
    <w:rsid w:val="00C81F35"/>
    <w:rsid w:val="00C82AB8"/>
    <w:rsid w:val="00C87AC0"/>
    <w:rsid w:val="00C927B8"/>
    <w:rsid w:val="00C953A8"/>
    <w:rsid w:val="00CA25E3"/>
    <w:rsid w:val="00CA520B"/>
    <w:rsid w:val="00CB24CD"/>
    <w:rsid w:val="00CB56C5"/>
    <w:rsid w:val="00CC24D5"/>
    <w:rsid w:val="00CC458E"/>
    <w:rsid w:val="00CC76C2"/>
    <w:rsid w:val="00CD04E7"/>
    <w:rsid w:val="00CD1074"/>
    <w:rsid w:val="00CE3B0F"/>
    <w:rsid w:val="00CE3E51"/>
    <w:rsid w:val="00CE52C7"/>
    <w:rsid w:val="00CE6153"/>
    <w:rsid w:val="00CE6860"/>
    <w:rsid w:val="00CF4ED4"/>
    <w:rsid w:val="00CF773F"/>
    <w:rsid w:val="00D002A4"/>
    <w:rsid w:val="00D01BBF"/>
    <w:rsid w:val="00D163D3"/>
    <w:rsid w:val="00D20E96"/>
    <w:rsid w:val="00D21BDF"/>
    <w:rsid w:val="00D235C9"/>
    <w:rsid w:val="00D23A6E"/>
    <w:rsid w:val="00D30F0C"/>
    <w:rsid w:val="00D33532"/>
    <w:rsid w:val="00D426EA"/>
    <w:rsid w:val="00D42ABD"/>
    <w:rsid w:val="00D44B92"/>
    <w:rsid w:val="00D45664"/>
    <w:rsid w:val="00D4577C"/>
    <w:rsid w:val="00D46004"/>
    <w:rsid w:val="00D479D8"/>
    <w:rsid w:val="00D50AB5"/>
    <w:rsid w:val="00D50EFE"/>
    <w:rsid w:val="00D5131E"/>
    <w:rsid w:val="00D51BC4"/>
    <w:rsid w:val="00D53420"/>
    <w:rsid w:val="00D71CAA"/>
    <w:rsid w:val="00D7270B"/>
    <w:rsid w:val="00D73652"/>
    <w:rsid w:val="00D7795B"/>
    <w:rsid w:val="00D80990"/>
    <w:rsid w:val="00D83E1A"/>
    <w:rsid w:val="00D850EA"/>
    <w:rsid w:val="00D862AB"/>
    <w:rsid w:val="00D90F80"/>
    <w:rsid w:val="00D95E14"/>
    <w:rsid w:val="00DA29D4"/>
    <w:rsid w:val="00DE0653"/>
    <w:rsid w:val="00DE0D4F"/>
    <w:rsid w:val="00DE1744"/>
    <w:rsid w:val="00DF00E5"/>
    <w:rsid w:val="00DF1F15"/>
    <w:rsid w:val="00E07532"/>
    <w:rsid w:val="00E078FE"/>
    <w:rsid w:val="00E20912"/>
    <w:rsid w:val="00E22275"/>
    <w:rsid w:val="00E3723D"/>
    <w:rsid w:val="00E402D8"/>
    <w:rsid w:val="00E41B36"/>
    <w:rsid w:val="00E42355"/>
    <w:rsid w:val="00E53B89"/>
    <w:rsid w:val="00E57C9F"/>
    <w:rsid w:val="00E65285"/>
    <w:rsid w:val="00E6633B"/>
    <w:rsid w:val="00E70609"/>
    <w:rsid w:val="00E72C09"/>
    <w:rsid w:val="00E759D4"/>
    <w:rsid w:val="00E76E07"/>
    <w:rsid w:val="00E804F9"/>
    <w:rsid w:val="00E85EAD"/>
    <w:rsid w:val="00E92C90"/>
    <w:rsid w:val="00EA297C"/>
    <w:rsid w:val="00EA2DE5"/>
    <w:rsid w:val="00EA46B1"/>
    <w:rsid w:val="00EA684F"/>
    <w:rsid w:val="00EB669C"/>
    <w:rsid w:val="00EB6E0E"/>
    <w:rsid w:val="00EC2235"/>
    <w:rsid w:val="00EC6E65"/>
    <w:rsid w:val="00ED004D"/>
    <w:rsid w:val="00ED2C5A"/>
    <w:rsid w:val="00ED6534"/>
    <w:rsid w:val="00EE047A"/>
    <w:rsid w:val="00EE4053"/>
    <w:rsid w:val="00EE652D"/>
    <w:rsid w:val="00EF26DA"/>
    <w:rsid w:val="00EF4B5D"/>
    <w:rsid w:val="00EF62EF"/>
    <w:rsid w:val="00F072A4"/>
    <w:rsid w:val="00F10972"/>
    <w:rsid w:val="00F2062C"/>
    <w:rsid w:val="00F230DC"/>
    <w:rsid w:val="00F251F5"/>
    <w:rsid w:val="00F25A2E"/>
    <w:rsid w:val="00F30367"/>
    <w:rsid w:val="00F369DC"/>
    <w:rsid w:val="00F417AF"/>
    <w:rsid w:val="00F45AA3"/>
    <w:rsid w:val="00F477DD"/>
    <w:rsid w:val="00F52B6B"/>
    <w:rsid w:val="00F53B75"/>
    <w:rsid w:val="00F571C9"/>
    <w:rsid w:val="00F62A88"/>
    <w:rsid w:val="00F6572C"/>
    <w:rsid w:val="00F66E51"/>
    <w:rsid w:val="00F861A4"/>
    <w:rsid w:val="00F914D7"/>
    <w:rsid w:val="00F93301"/>
    <w:rsid w:val="00F9511F"/>
    <w:rsid w:val="00F9614B"/>
    <w:rsid w:val="00F9730A"/>
    <w:rsid w:val="00FA0E9A"/>
    <w:rsid w:val="00FB0A91"/>
    <w:rsid w:val="00FB1FE1"/>
    <w:rsid w:val="00FB556B"/>
    <w:rsid w:val="00FB5D6C"/>
    <w:rsid w:val="00FB7DF5"/>
    <w:rsid w:val="00FC4F25"/>
    <w:rsid w:val="00FC5709"/>
    <w:rsid w:val="00FC6A2F"/>
    <w:rsid w:val="00FD723F"/>
    <w:rsid w:val="00FE704E"/>
    <w:rsid w:val="00FF0EF7"/>
    <w:rsid w:val="00FF0F69"/>
    <w:rsid w:val="00FF3BEE"/>
    <w:rsid w:val="00FF65B8"/>
    <w:rsid w:val="00FF75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8BDCA"/>
  <w15:docId w15:val="{8A8C859E-561F-4509-9D40-B9D6C088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B1D"/>
    <w:pPr>
      <w:widowControl w:val="0"/>
      <w:snapToGrid w:val="0"/>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single space Char"/>
    <w:basedOn w:val="DefaultParagraphFont"/>
    <w:link w:val="FootnoteText"/>
    <w:locked/>
    <w:rsid w:val="00817B1D"/>
    <w:rPr>
      <w:lang w:val="en-GB"/>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FootnoteTextChar"/>
    <w:unhideWhenUsed/>
    <w:rsid w:val="00817B1D"/>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817B1D"/>
    <w:rPr>
      <w:rFonts w:ascii="Times New Roman" w:eastAsia="Times New Roman" w:hAnsi="Times New Roman" w:cs="Times New Roman"/>
      <w:sz w:val="20"/>
      <w:szCs w:val="20"/>
      <w:lang w:val="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semiHidden/>
    <w:unhideWhenUsed/>
    <w:rsid w:val="00817B1D"/>
    <w:rPr>
      <w:vertAlign w:val="superscript"/>
    </w:rPr>
  </w:style>
  <w:style w:type="paragraph" w:customStyle="1" w:styleId="UN-00Logosoncoveralignedright">
    <w:name w:val="UN-00 Logos on cover aligned right"/>
    <w:rsid w:val="007A4A00"/>
    <w:pPr>
      <w:spacing w:after="0" w:line="240" w:lineRule="auto"/>
      <w:jc w:val="right"/>
    </w:pPr>
    <w:rPr>
      <w:rFonts w:ascii="Times New Roman" w:eastAsia="Times New Roman" w:hAnsi="Times New Roman" w:cs="Times New Roman"/>
      <w:szCs w:val="20"/>
    </w:rPr>
  </w:style>
  <w:style w:type="paragraph" w:customStyle="1" w:styleId="UN-00Logosoncoveralignedleft">
    <w:name w:val="UN-00 Logos on cover aligned left"/>
    <w:basedOn w:val="UN-00Logosoncoveralignedright"/>
    <w:rsid w:val="007A4A00"/>
    <w:pPr>
      <w:jc w:val="left"/>
    </w:pPr>
  </w:style>
  <w:style w:type="paragraph" w:customStyle="1" w:styleId="UN-50Logosoncovercentered">
    <w:name w:val="UN-50 Logos on cover centered"/>
    <w:basedOn w:val="UN-00Logosoncoveralignedright"/>
    <w:rsid w:val="007A4A00"/>
    <w:pPr>
      <w:jc w:val="center"/>
    </w:pPr>
  </w:style>
  <w:style w:type="paragraph" w:styleId="BalloonText">
    <w:name w:val="Balloon Text"/>
    <w:basedOn w:val="Normal"/>
    <w:link w:val="BalloonTextChar"/>
    <w:uiPriority w:val="99"/>
    <w:semiHidden/>
    <w:unhideWhenUsed/>
    <w:rsid w:val="007A4A00"/>
    <w:rPr>
      <w:rFonts w:ascii="Tahoma" w:hAnsi="Tahoma" w:cs="Tahoma"/>
      <w:sz w:val="16"/>
      <w:szCs w:val="16"/>
    </w:rPr>
  </w:style>
  <w:style w:type="character" w:customStyle="1" w:styleId="BalloonTextChar">
    <w:name w:val="Balloon Text Char"/>
    <w:basedOn w:val="DefaultParagraphFont"/>
    <w:link w:val="BalloonText"/>
    <w:uiPriority w:val="99"/>
    <w:semiHidden/>
    <w:rsid w:val="007A4A00"/>
    <w:rPr>
      <w:rFonts w:ascii="Tahoma" w:eastAsia="Times New Roman" w:hAnsi="Tahoma" w:cs="Tahoma"/>
      <w:sz w:val="16"/>
      <w:szCs w:val="16"/>
      <w:lang w:val="en-GB"/>
    </w:rPr>
  </w:style>
  <w:style w:type="paragraph" w:styleId="ListParagraph">
    <w:name w:val="List Paragraph"/>
    <w:basedOn w:val="Normal"/>
    <w:uiPriority w:val="34"/>
    <w:qFormat/>
    <w:rsid w:val="001A5525"/>
    <w:pPr>
      <w:ind w:left="720"/>
      <w:contextualSpacing/>
    </w:pPr>
  </w:style>
  <w:style w:type="paragraph" w:customStyle="1" w:styleId="Default">
    <w:name w:val="Default"/>
    <w:rsid w:val="00351EC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C3299"/>
    <w:pPr>
      <w:tabs>
        <w:tab w:val="center" w:pos="4153"/>
        <w:tab w:val="right" w:pos="8306"/>
      </w:tabs>
    </w:pPr>
  </w:style>
  <w:style w:type="character" w:customStyle="1" w:styleId="HeaderChar">
    <w:name w:val="Header Char"/>
    <w:basedOn w:val="DefaultParagraphFont"/>
    <w:link w:val="Header"/>
    <w:uiPriority w:val="99"/>
    <w:rsid w:val="00BC3299"/>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C3299"/>
    <w:pPr>
      <w:tabs>
        <w:tab w:val="center" w:pos="4153"/>
        <w:tab w:val="right" w:pos="8306"/>
      </w:tabs>
    </w:pPr>
  </w:style>
  <w:style w:type="character" w:customStyle="1" w:styleId="FooterChar">
    <w:name w:val="Footer Char"/>
    <w:basedOn w:val="DefaultParagraphFont"/>
    <w:link w:val="Footer"/>
    <w:uiPriority w:val="99"/>
    <w:rsid w:val="00BC3299"/>
    <w:rPr>
      <w:rFonts w:ascii="Times New Roman" w:eastAsia="Times New Roman" w:hAnsi="Times New Roman" w:cs="Times New Roman"/>
      <w:sz w:val="24"/>
      <w:szCs w:val="20"/>
      <w:lang w:val="en-GB"/>
    </w:rPr>
  </w:style>
  <w:style w:type="paragraph" w:styleId="EndnoteText">
    <w:name w:val="endnote text"/>
    <w:basedOn w:val="Normal"/>
    <w:link w:val="EndnoteTextChar"/>
    <w:uiPriority w:val="99"/>
    <w:semiHidden/>
    <w:unhideWhenUsed/>
    <w:rsid w:val="005103E5"/>
    <w:rPr>
      <w:sz w:val="20"/>
    </w:rPr>
  </w:style>
  <w:style w:type="character" w:customStyle="1" w:styleId="EndnoteTextChar">
    <w:name w:val="Endnote Text Char"/>
    <w:basedOn w:val="DefaultParagraphFont"/>
    <w:link w:val="EndnoteText"/>
    <w:uiPriority w:val="99"/>
    <w:semiHidden/>
    <w:rsid w:val="005103E5"/>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5103E5"/>
    <w:rPr>
      <w:vertAlign w:val="superscript"/>
    </w:rPr>
  </w:style>
  <w:style w:type="character" w:styleId="CommentReference">
    <w:name w:val="annotation reference"/>
    <w:basedOn w:val="DefaultParagraphFont"/>
    <w:uiPriority w:val="99"/>
    <w:semiHidden/>
    <w:unhideWhenUsed/>
    <w:rsid w:val="00B15588"/>
    <w:rPr>
      <w:sz w:val="16"/>
      <w:szCs w:val="16"/>
    </w:rPr>
  </w:style>
  <w:style w:type="paragraph" w:styleId="CommentText">
    <w:name w:val="annotation text"/>
    <w:basedOn w:val="Normal"/>
    <w:link w:val="CommentTextChar"/>
    <w:uiPriority w:val="99"/>
    <w:semiHidden/>
    <w:unhideWhenUsed/>
    <w:rsid w:val="00B15588"/>
    <w:rPr>
      <w:sz w:val="20"/>
    </w:rPr>
  </w:style>
  <w:style w:type="character" w:customStyle="1" w:styleId="CommentTextChar">
    <w:name w:val="Comment Text Char"/>
    <w:basedOn w:val="DefaultParagraphFont"/>
    <w:link w:val="CommentText"/>
    <w:uiPriority w:val="99"/>
    <w:semiHidden/>
    <w:rsid w:val="00B1558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15588"/>
    <w:rPr>
      <w:b/>
      <w:bCs/>
    </w:rPr>
  </w:style>
  <w:style w:type="character" w:customStyle="1" w:styleId="CommentSubjectChar">
    <w:name w:val="Comment Subject Char"/>
    <w:basedOn w:val="CommentTextChar"/>
    <w:link w:val="CommentSubject"/>
    <w:uiPriority w:val="99"/>
    <w:semiHidden/>
    <w:rsid w:val="00B15588"/>
    <w:rPr>
      <w:rFonts w:ascii="Times New Roman" w:eastAsia="Times New Roman" w:hAnsi="Times New Roman" w:cs="Times New Roman"/>
      <w:b/>
      <w:bCs/>
      <w:sz w:val="20"/>
      <w:szCs w:val="20"/>
      <w:lang w:val="en-GB"/>
    </w:rPr>
  </w:style>
  <w:style w:type="character" w:customStyle="1" w:styleId="apple-converted-space">
    <w:name w:val="apple-converted-space"/>
    <w:basedOn w:val="DefaultParagraphFont"/>
    <w:rsid w:val="000642B5"/>
  </w:style>
  <w:style w:type="paragraph" w:customStyle="1" w:styleId="Normal1">
    <w:name w:val="Normal1"/>
    <w:rsid w:val="0019280B"/>
    <w:pPr>
      <w:spacing w:after="0"/>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0889">
      <w:bodyDiv w:val="1"/>
      <w:marLeft w:val="0"/>
      <w:marRight w:val="0"/>
      <w:marTop w:val="0"/>
      <w:marBottom w:val="0"/>
      <w:divBdr>
        <w:top w:val="none" w:sz="0" w:space="0" w:color="auto"/>
        <w:left w:val="none" w:sz="0" w:space="0" w:color="auto"/>
        <w:bottom w:val="none" w:sz="0" w:space="0" w:color="auto"/>
        <w:right w:val="none" w:sz="0" w:space="0" w:color="auto"/>
      </w:divBdr>
    </w:div>
    <w:div w:id="182937257">
      <w:bodyDiv w:val="1"/>
      <w:marLeft w:val="0"/>
      <w:marRight w:val="0"/>
      <w:marTop w:val="0"/>
      <w:marBottom w:val="0"/>
      <w:divBdr>
        <w:top w:val="none" w:sz="0" w:space="0" w:color="auto"/>
        <w:left w:val="none" w:sz="0" w:space="0" w:color="auto"/>
        <w:bottom w:val="none" w:sz="0" w:space="0" w:color="auto"/>
        <w:right w:val="none" w:sz="0" w:space="0" w:color="auto"/>
      </w:divBdr>
    </w:div>
    <w:div w:id="439835091">
      <w:bodyDiv w:val="1"/>
      <w:marLeft w:val="0"/>
      <w:marRight w:val="0"/>
      <w:marTop w:val="0"/>
      <w:marBottom w:val="0"/>
      <w:divBdr>
        <w:top w:val="none" w:sz="0" w:space="0" w:color="auto"/>
        <w:left w:val="none" w:sz="0" w:space="0" w:color="auto"/>
        <w:bottom w:val="none" w:sz="0" w:space="0" w:color="auto"/>
        <w:right w:val="none" w:sz="0" w:space="0" w:color="auto"/>
      </w:divBdr>
    </w:div>
    <w:div w:id="480342835">
      <w:bodyDiv w:val="1"/>
      <w:marLeft w:val="0"/>
      <w:marRight w:val="0"/>
      <w:marTop w:val="0"/>
      <w:marBottom w:val="0"/>
      <w:divBdr>
        <w:top w:val="none" w:sz="0" w:space="0" w:color="auto"/>
        <w:left w:val="none" w:sz="0" w:space="0" w:color="auto"/>
        <w:bottom w:val="none" w:sz="0" w:space="0" w:color="auto"/>
        <w:right w:val="none" w:sz="0" w:space="0" w:color="auto"/>
      </w:divBdr>
    </w:div>
    <w:div w:id="617296225">
      <w:bodyDiv w:val="1"/>
      <w:marLeft w:val="0"/>
      <w:marRight w:val="0"/>
      <w:marTop w:val="0"/>
      <w:marBottom w:val="0"/>
      <w:divBdr>
        <w:top w:val="none" w:sz="0" w:space="0" w:color="auto"/>
        <w:left w:val="none" w:sz="0" w:space="0" w:color="auto"/>
        <w:bottom w:val="none" w:sz="0" w:space="0" w:color="auto"/>
        <w:right w:val="none" w:sz="0" w:space="0" w:color="auto"/>
      </w:divBdr>
    </w:div>
    <w:div w:id="710610360">
      <w:bodyDiv w:val="1"/>
      <w:marLeft w:val="0"/>
      <w:marRight w:val="0"/>
      <w:marTop w:val="0"/>
      <w:marBottom w:val="0"/>
      <w:divBdr>
        <w:top w:val="none" w:sz="0" w:space="0" w:color="auto"/>
        <w:left w:val="none" w:sz="0" w:space="0" w:color="auto"/>
        <w:bottom w:val="none" w:sz="0" w:space="0" w:color="auto"/>
        <w:right w:val="none" w:sz="0" w:space="0" w:color="auto"/>
      </w:divBdr>
    </w:div>
    <w:div w:id="982390597">
      <w:bodyDiv w:val="1"/>
      <w:marLeft w:val="0"/>
      <w:marRight w:val="0"/>
      <w:marTop w:val="0"/>
      <w:marBottom w:val="0"/>
      <w:divBdr>
        <w:top w:val="none" w:sz="0" w:space="0" w:color="auto"/>
        <w:left w:val="none" w:sz="0" w:space="0" w:color="auto"/>
        <w:bottom w:val="none" w:sz="0" w:space="0" w:color="auto"/>
        <w:right w:val="none" w:sz="0" w:space="0" w:color="auto"/>
      </w:divBdr>
    </w:div>
    <w:div w:id="1201169532">
      <w:bodyDiv w:val="1"/>
      <w:marLeft w:val="0"/>
      <w:marRight w:val="0"/>
      <w:marTop w:val="0"/>
      <w:marBottom w:val="0"/>
      <w:divBdr>
        <w:top w:val="none" w:sz="0" w:space="0" w:color="auto"/>
        <w:left w:val="none" w:sz="0" w:space="0" w:color="auto"/>
        <w:bottom w:val="none" w:sz="0" w:space="0" w:color="auto"/>
        <w:right w:val="none" w:sz="0" w:space="0" w:color="auto"/>
      </w:divBdr>
    </w:div>
    <w:div w:id="1227032154">
      <w:bodyDiv w:val="1"/>
      <w:marLeft w:val="0"/>
      <w:marRight w:val="0"/>
      <w:marTop w:val="0"/>
      <w:marBottom w:val="0"/>
      <w:divBdr>
        <w:top w:val="none" w:sz="0" w:space="0" w:color="auto"/>
        <w:left w:val="none" w:sz="0" w:space="0" w:color="auto"/>
        <w:bottom w:val="none" w:sz="0" w:space="0" w:color="auto"/>
        <w:right w:val="none" w:sz="0" w:space="0" w:color="auto"/>
      </w:divBdr>
    </w:div>
    <w:div w:id="1321344031">
      <w:bodyDiv w:val="1"/>
      <w:marLeft w:val="0"/>
      <w:marRight w:val="0"/>
      <w:marTop w:val="0"/>
      <w:marBottom w:val="0"/>
      <w:divBdr>
        <w:top w:val="none" w:sz="0" w:space="0" w:color="auto"/>
        <w:left w:val="none" w:sz="0" w:space="0" w:color="auto"/>
        <w:bottom w:val="none" w:sz="0" w:space="0" w:color="auto"/>
        <w:right w:val="none" w:sz="0" w:space="0" w:color="auto"/>
      </w:divBdr>
    </w:div>
    <w:div w:id="1343969354">
      <w:bodyDiv w:val="1"/>
      <w:marLeft w:val="0"/>
      <w:marRight w:val="0"/>
      <w:marTop w:val="0"/>
      <w:marBottom w:val="0"/>
      <w:divBdr>
        <w:top w:val="none" w:sz="0" w:space="0" w:color="auto"/>
        <w:left w:val="none" w:sz="0" w:space="0" w:color="auto"/>
        <w:bottom w:val="none" w:sz="0" w:space="0" w:color="auto"/>
        <w:right w:val="none" w:sz="0" w:space="0" w:color="auto"/>
      </w:divBdr>
    </w:div>
    <w:div w:id="1344085209">
      <w:bodyDiv w:val="1"/>
      <w:marLeft w:val="0"/>
      <w:marRight w:val="0"/>
      <w:marTop w:val="0"/>
      <w:marBottom w:val="0"/>
      <w:divBdr>
        <w:top w:val="none" w:sz="0" w:space="0" w:color="auto"/>
        <w:left w:val="none" w:sz="0" w:space="0" w:color="auto"/>
        <w:bottom w:val="none" w:sz="0" w:space="0" w:color="auto"/>
        <w:right w:val="none" w:sz="0" w:space="0" w:color="auto"/>
      </w:divBdr>
    </w:div>
    <w:div w:id="1538008733">
      <w:bodyDiv w:val="1"/>
      <w:marLeft w:val="0"/>
      <w:marRight w:val="0"/>
      <w:marTop w:val="0"/>
      <w:marBottom w:val="0"/>
      <w:divBdr>
        <w:top w:val="none" w:sz="0" w:space="0" w:color="auto"/>
        <w:left w:val="none" w:sz="0" w:space="0" w:color="auto"/>
        <w:bottom w:val="none" w:sz="0" w:space="0" w:color="auto"/>
        <w:right w:val="none" w:sz="0" w:space="0" w:color="auto"/>
      </w:divBdr>
    </w:div>
    <w:div w:id="1657996894">
      <w:bodyDiv w:val="1"/>
      <w:marLeft w:val="0"/>
      <w:marRight w:val="0"/>
      <w:marTop w:val="0"/>
      <w:marBottom w:val="0"/>
      <w:divBdr>
        <w:top w:val="none" w:sz="0" w:space="0" w:color="auto"/>
        <w:left w:val="none" w:sz="0" w:space="0" w:color="auto"/>
        <w:bottom w:val="none" w:sz="0" w:space="0" w:color="auto"/>
        <w:right w:val="none" w:sz="0" w:space="0" w:color="auto"/>
      </w:divBdr>
    </w:div>
    <w:div w:id="1774546037">
      <w:bodyDiv w:val="1"/>
      <w:marLeft w:val="0"/>
      <w:marRight w:val="0"/>
      <w:marTop w:val="0"/>
      <w:marBottom w:val="0"/>
      <w:divBdr>
        <w:top w:val="none" w:sz="0" w:space="0" w:color="auto"/>
        <w:left w:val="none" w:sz="0" w:space="0" w:color="auto"/>
        <w:bottom w:val="none" w:sz="0" w:space="0" w:color="auto"/>
        <w:right w:val="none" w:sz="0" w:space="0" w:color="auto"/>
      </w:divBdr>
    </w:div>
    <w:div w:id="1784305166">
      <w:bodyDiv w:val="1"/>
      <w:marLeft w:val="0"/>
      <w:marRight w:val="0"/>
      <w:marTop w:val="0"/>
      <w:marBottom w:val="0"/>
      <w:divBdr>
        <w:top w:val="none" w:sz="0" w:space="0" w:color="auto"/>
        <w:left w:val="none" w:sz="0" w:space="0" w:color="auto"/>
        <w:bottom w:val="none" w:sz="0" w:space="0" w:color="auto"/>
        <w:right w:val="none" w:sz="0" w:space="0" w:color="auto"/>
      </w:divBdr>
    </w:div>
    <w:div w:id="1835215831">
      <w:bodyDiv w:val="1"/>
      <w:marLeft w:val="0"/>
      <w:marRight w:val="0"/>
      <w:marTop w:val="0"/>
      <w:marBottom w:val="0"/>
      <w:divBdr>
        <w:top w:val="none" w:sz="0" w:space="0" w:color="auto"/>
        <w:left w:val="none" w:sz="0" w:space="0" w:color="auto"/>
        <w:bottom w:val="none" w:sz="0" w:space="0" w:color="auto"/>
        <w:right w:val="none" w:sz="0" w:space="0" w:color="auto"/>
      </w:divBdr>
    </w:div>
    <w:div w:id="1951938162">
      <w:bodyDiv w:val="1"/>
      <w:marLeft w:val="0"/>
      <w:marRight w:val="0"/>
      <w:marTop w:val="0"/>
      <w:marBottom w:val="0"/>
      <w:divBdr>
        <w:top w:val="none" w:sz="0" w:space="0" w:color="auto"/>
        <w:left w:val="none" w:sz="0" w:space="0" w:color="auto"/>
        <w:bottom w:val="none" w:sz="0" w:space="0" w:color="auto"/>
        <w:right w:val="none" w:sz="0" w:space="0" w:color="auto"/>
      </w:divBdr>
    </w:div>
    <w:div w:id="2047899763">
      <w:bodyDiv w:val="1"/>
      <w:marLeft w:val="0"/>
      <w:marRight w:val="0"/>
      <w:marTop w:val="0"/>
      <w:marBottom w:val="0"/>
      <w:divBdr>
        <w:top w:val="none" w:sz="0" w:space="0" w:color="auto"/>
        <w:left w:val="none" w:sz="0" w:space="0" w:color="auto"/>
        <w:bottom w:val="none" w:sz="0" w:space="0" w:color="auto"/>
        <w:right w:val="none" w:sz="0" w:space="0" w:color="auto"/>
      </w:divBdr>
    </w:div>
    <w:div w:id="209003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gif@01C775DC.3F1823B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F102E-8858-4A0C-BEFC-5E582E95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1524</Words>
  <Characters>8687</Characters>
  <Application>Microsoft Office Word</Application>
  <DocSecurity>0</DocSecurity>
  <Lines>72</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10191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Maisoon</dc:creator>
  <cp:lastModifiedBy>OSASG</cp:lastModifiedBy>
  <cp:revision>5</cp:revision>
  <cp:lastPrinted>2015-02-17T07:24:00Z</cp:lastPrinted>
  <dcterms:created xsi:type="dcterms:W3CDTF">2016-02-16T16:52:00Z</dcterms:created>
  <dcterms:modified xsi:type="dcterms:W3CDTF">2016-02-18T19:09:00Z</dcterms:modified>
</cp:coreProperties>
</file>