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7777777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fldChar w:fldCharType="end"/>
      </w:r>
    </w:p>
    <w:p w14:paraId="28AB750A" w14:textId="77777777" w:rsidR="008640A5" w:rsidRPr="00627A1C" w:rsidRDefault="008640A5" w:rsidP="008364E5">
      <w:pPr>
        <w:jc w:val="center"/>
        <w:rPr>
          <w:b/>
          <w:bCs/>
          <w:caps/>
        </w:rPr>
      </w:pPr>
      <w:r w:rsidRPr="00627A1C">
        <w:rPr>
          <w:b/>
          <w:bCs/>
          <w:caps/>
        </w:rPr>
        <w:t xml:space="preserve">TYPE OF REPORT: </w:t>
      </w:r>
      <w:r w:rsidR="00793DE6" w:rsidRPr="611CD828">
        <w:rPr>
          <w:b/>
          <w:bCs/>
          <w:caps/>
          <w:u w:val="single"/>
        </w:rPr>
        <w:t>semi-annual</w:t>
      </w:r>
      <w:r w:rsidR="00793DE6" w:rsidRPr="00627A1C">
        <w:rPr>
          <w:b/>
          <w:bCs/>
          <w:caps/>
        </w:rPr>
        <w:t>,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2510E4">
        <w:rPr>
          <w:b/>
          <w:bCs/>
          <w:caps/>
        </w:rPr>
      </w:r>
      <w:r w:rsidR="002510E4">
        <w:rPr>
          <w:b/>
          <w:bCs/>
          <w:caps/>
        </w:rPr>
        <w:fldChar w:fldCharType="separate"/>
      </w:r>
      <w:r w:rsidR="004D141E" w:rsidRPr="00627A1C">
        <w:rPr>
          <w:b/>
          <w:bCs/>
          <w:caps/>
        </w:rPr>
        <w:fldChar w:fldCharType="end"/>
      </w:r>
      <w:bookmarkEnd w:id="0"/>
    </w:p>
    <w:p w14:paraId="54B5CFAE" w14:textId="7777777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1DE817D5">
        <w:trPr>
          <w:trHeight w:val="422"/>
        </w:trPr>
        <w:tc>
          <w:tcPr>
            <w:tcW w:w="10080" w:type="dxa"/>
            <w:gridSpan w:val="2"/>
          </w:tcPr>
          <w:p w14:paraId="7093DA9F" w14:textId="78E5C980"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06F08">
              <w:rPr>
                <w:rFonts w:ascii="Times New Roman" w:hAnsi="Times New Roman" w:cs="Times New Roman"/>
                <w:bCs/>
                <w:iCs/>
                <w:snapToGrid w:val="0"/>
                <w:sz w:val="24"/>
                <w:szCs w:val="24"/>
              </w:rPr>
              <w:t>Humanitarian-Development-Peacebuilding and Partnerships Facility</w:t>
            </w:r>
          </w:p>
          <w:p w14:paraId="7336EAC3" w14:textId="26A5A68E" w:rsidR="00793DE6" w:rsidRPr="00627A1C" w:rsidRDefault="00793DE6" w:rsidP="00793DE6">
            <w:pPr>
              <w:rPr>
                <w:b/>
              </w:rPr>
            </w:pPr>
            <w:r w:rsidRPr="00627A1C">
              <w:rPr>
                <w:b/>
              </w:rPr>
              <w:t>Project Number from MPTF-O Gateway:</w:t>
            </w:r>
            <w:r w:rsidR="00A43B9C" w:rsidRPr="00627A1C">
              <w:rPr>
                <w:b/>
              </w:rPr>
              <w:t xml:space="preserve">  </w:t>
            </w:r>
            <w:r w:rsidR="00706F08">
              <w:rPr>
                <w:b/>
              </w:rPr>
              <w:t>IRF 302</w:t>
            </w:r>
          </w:p>
        </w:tc>
      </w:tr>
      <w:tr w:rsidR="00A43B9C" w:rsidRPr="00627A1C" w14:paraId="23080537" w14:textId="77777777" w:rsidTr="1DE817D5">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C2A3467" w:rsidR="00A43B9C" w:rsidRPr="00627A1C" w:rsidRDefault="00706F0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UNOPS"/>
                  </w:ddList>
                </w:ffData>
              </w:fldChar>
            </w:r>
            <w:r>
              <w:rPr>
                <w:rFonts w:ascii="Times New Roman" w:hAnsi="Times New Roman" w:cs="Times New Roman"/>
                <w:b/>
                <w:sz w:val="24"/>
                <w:szCs w:val="24"/>
              </w:rPr>
              <w:instrText xml:space="preserve"> FORMDROPDOWN </w:instrText>
            </w:r>
            <w:r w:rsidR="002510E4">
              <w:rPr>
                <w:rFonts w:ascii="Times New Roman" w:hAnsi="Times New Roman" w:cs="Times New Roman"/>
                <w:b/>
                <w:sz w:val="24"/>
                <w:szCs w:val="24"/>
              </w:rPr>
            </w:r>
            <w:r w:rsidR="002510E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(Convening Agency)</w:t>
            </w:r>
          </w:p>
          <w:p w14:paraId="3BA0CDE8" w14:textId="6814E63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1DE817D5">
        <w:trPr>
          <w:trHeight w:val="368"/>
        </w:trPr>
        <w:tc>
          <w:tcPr>
            <w:tcW w:w="10080" w:type="dxa"/>
            <w:gridSpan w:val="2"/>
          </w:tcPr>
          <w:p w14:paraId="05BCD0D9" w14:textId="6542860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06F08">
              <w:rPr>
                <w:bCs/>
                <w:iCs/>
                <w:snapToGrid w:val="0"/>
              </w:rPr>
              <w:t>10 September 2019</w:t>
            </w:r>
          </w:p>
          <w:p w14:paraId="37A4BB59" w14:textId="6CB78F6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06F08">
              <w:rPr>
                <w:bCs/>
                <w:iCs/>
                <w:snapToGrid w:val="0"/>
              </w:rPr>
              <w:t>30 September 2023</w:t>
            </w:r>
            <w:r w:rsidR="0025220B" w:rsidRPr="00627A1C">
              <w:rPr>
                <w:bCs/>
                <w:iCs/>
                <w:snapToGrid w:val="0"/>
              </w:rPr>
              <w:t xml:space="preserve">     </w:t>
            </w:r>
          </w:p>
          <w:p w14:paraId="45B406BF" w14:textId="1FB6933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706F08">
              <w:rPr>
                <w:bCs/>
                <w:iCs/>
                <w:snapToGrid w:val="0"/>
              </w:rPr>
              <w:fldChar w:fldCharType="begin">
                <w:ffData>
                  <w:name w:val="enddate"/>
                  <w:enabled/>
                  <w:calcOnExit w:val="0"/>
                  <w:ddList>
                    <w:listEntry w:val="No"/>
                  </w:ddList>
                </w:ffData>
              </w:fldChar>
            </w:r>
            <w:bookmarkStart w:id="2" w:name="enddate"/>
            <w:r w:rsidR="00706F08">
              <w:rPr>
                <w:bCs/>
                <w:iCs/>
                <w:snapToGrid w:val="0"/>
              </w:rPr>
              <w:instrText xml:space="preserve"> FORMDROPDOWN </w:instrText>
            </w:r>
            <w:r w:rsidR="002510E4">
              <w:rPr>
                <w:bCs/>
                <w:iCs/>
                <w:snapToGrid w:val="0"/>
              </w:rPr>
            </w:r>
            <w:r w:rsidR="002510E4">
              <w:rPr>
                <w:bCs/>
                <w:iCs/>
                <w:snapToGrid w:val="0"/>
              </w:rPr>
              <w:fldChar w:fldCharType="separate"/>
            </w:r>
            <w:r w:rsidR="00706F08">
              <w:rPr>
                <w:bCs/>
                <w:iCs/>
                <w:snapToGrid w:val="0"/>
              </w:rPr>
              <w:fldChar w:fldCharType="end"/>
            </w:r>
            <w:bookmarkEnd w:id="2"/>
          </w:p>
          <w:p w14:paraId="267396D1" w14:textId="77777777" w:rsidR="00793DE6" w:rsidRPr="00627A1C" w:rsidRDefault="00793DE6" w:rsidP="00793DE6">
            <w:pPr>
              <w:rPr>
                <w:b/>
                <w:bCs/>
                <w:iCs/>
              </w:rPr>
            </w:pPr>
          </w:p>
        </w:tc>
      </w:tr>
      <w:tr w:rsidR="00793DE6" w:rsidRPr="00627A1C" w14:paraId="0A32218D" w14:textId="77777777" w:rsidTr="1DE817D5">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510E4">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1DE817D5">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1DE817D5">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1DE817D5">
              <w:tc>
                <w:tcPr>
                  <w:tcW w:w="3799" w:type="dxa"/>
                </w:tcPr>
                <w:p w14:paraId="47AC00D9" w14:textId="5336B282" w:rsidR="00B65A30" w:rsidRDefault="00706F08" w:rsidP="00F23D0F">
                  <w:pPr>
                    <w:rPr>
                      <w:b/>
                      <w:bCs/>
                      <w:iCs/>
                    </w:rPr>
                  </w:pPr>
                  <w:r>
                    <w:rPr>
                      <w:b/>
                      <w:bCs/>
                      <w:iCs/>
                    </w:rPr>
                    <w:t>UNOPS</w:t>
                  </w:r>
                </w:p>
              </w:tc>
              <w:tc>
                <w:tcPr>
                  <w:tcW w:w="2018" w:type="dxa"/>
                </w:tcPr>
                <w:p w14:paraId="2CA95E13" w14:textId="0C1927B0" w:rsidR="00B65A30" w:rsidRDefault="00706F08" w:rsidP="008903B6">
                  <w:pPr>
                    <w:jc w:val="center"/>
                    <w:rPr>
                      <w:b/>
                      <w:bCs/>
                      <w:iCs/>
                    </w:rPr>
                  </w:pPr>
                  <w:r>
                    <w:rPr>
                      <w:b/>
                      <w:bCs/>
                      <w:iCs/>
                    </w:rPr>
                    <w:t>7,635,903</w:t>
                  </w:r>
                </w:p>
              </w:tc>
              <w:tc>
                <w:tcPr>
                  <w:tcW w:w="2018" w:type="dxa"/>
                </w:tcPr>
                <w:p w14:paraId="788ABF30" w14:textId="06B99BFC" w:rsidR="00B65A30" w:rsidRDefault="04451684" w:rsidP="1DE817D5">
                  <w:pPr>
                    <w:jc w:val="center"/>
                    <w:rPr>
                      <w:b/>
                      <w:bCs/>
                    </w:rPr>
                  </w:pPr>
                  <w:r w:rsidRPr="1DE817D5">
                    <w:rPr>
                      <w:b/>
                      <w:bCs/>
                    </w:rPr>
                    <w:t>7,635,903</w:t>
                  </w:r>
                </w:p>
              </w:tc>
              <w:tc>
                <w:tcPr>
                  <w:tcW w:w="2019" w:type="dxa"/>
                </w:tcPr>
                <w:p w14:paraId="7DD58ECB" w14:textId="20EBB0F6" w:rsidR="00B65A30" w:rsidRDefault="53E7C47F" w:rsidP="1DE817D5">
                  <w:pPr>
                    <w:jc w:val="center"/>
                    <w:rPr>
                      <w:b/>
                      <w:bCs/>
                    </w:rPr>
                  </w:pPr>
                  <w:r w:rsidRPr="1DE817D5">
                    <w:rPr>
                      <w:b/>
                      <w:bCs/>
                    </w:rPr>
                    <w:t>4,921,525</w:t>
                  </w:r>
                </w:p>
              </w:tc>
            </w:tr>
            <w:tr w:rsidR="00B65A30" w14:paraId="365C5AA4" w14:textId="77777777" w:rsidTr="1DE817D5">
              <w:tc>
                <w:tcPr>
                  <w:tcW w:w="3799" w:type="dxa"/>
                </w:tcPr>
                <w:p w14:paraId="522DF21D" w14:textId="77777777" w:rsidR="00B65A30" w:rsidRDefault="00B65A30" w:rsidP="00F23D0F">
                  <w:pPr>
                    <w:rPr>
                      <w:b/>
                      <w:bCs/>
                      <w:iCs/>
                    </w:rPr>
                  </w:pPr>
                </w:p>
              </w:tc>
              <w:tc>
                <w:tcPr>
                  <w:tcW w:w="2018" w:type="dxa"/>
                </w:tcPr>
                <w:p w14:paraId="47AE1CC0" w14:textId="77777777" w:rsidR="00B65A30" w:rsidRDefault="00B65A30" w:rsidP="008903B6">
                  <w:pPr>
                    <w:jc w:val="center"/>
                    <w:rPr>
                      <w:b/>
                      <w:bCs/>
                      <w:iCs/>
                    </w:rPr>
                  </w:pPr>
                </w:p>
              </w:tc>
              <w:tc>
                <w:tcPr>
                  <w:tcW w:w="2018" w:type="dxa"/>
                </w:tcPr>
                <w:p w14:paraId="7D91BFE6" w14:textId="77777777" w:rsidR="00B65A30" w:rsidRDefault="00B65A30" w:rsidP="008903B6">
                  <w:pPr>
                    <w:jc w:val="center"/>
                    <w:rPr>
                      <w:b/>
                      <w:bCs/>
                      <w:iCs/>
                    </w:rPr>
                  </w:pPr>
                </w:p>
              </w:tc>
              <w:tc>
                <w:tcPr>
                  <w:tcW w:w="2019" w:type="dxa"/>
                </w:tcPr>
                <w:p w14:paraId="5B7BC5B3" w14:textId="77777777" w:rsidR="00B65A30" w:rsidRDefault="00B65A30" w:rsidP="008903B6">
                  <w:pPr>
                    <w:jc w:val="center"/>
                    <w:rPr>
                      <w:b/>
                      <w:bCs/>
                      <w:iCs/>
                    </w:rPr>
                  </w:pPr>
                </w:p>
              </w:tc>
            </w:tr>
            <w:tr w:rsidR="00B65A30" w14:paraId="72789F99" w14:textId="77777777" w:rsidTr="1DE817D5">
              <w:tc>
                <w:tcPr>
                  <w:tcW w:w="3799" w:type="dxa"/>
                </w:tcPr>
                <w:p w14:paraId="100E0DAA" w14:textId="77777777" w:rsidR="00B65A30" w:rsidRDefault="00B65A30" w:rsidP="00F23D0F">
                  <w:pPr>
                    <w:rPr>
                      <w:b/>
                      <w:bCs/>
                      <w:iCs/>
                    </w:rPr>
                  </w:pPr>
                </w:p>
              </w:tc>
              <w:tc>
                <w:tcPr>
                  <w:tcW w:w="2018" w:type="dxa"/>
                </w:tcPr>
                <w:p w14:paraId="062EDC32" w14:textId="77777777" w:rsidR="00B65A30" w:rsidRDefault="00B65A30" w:rsidP="008903B6">
                  <w:pPr>
                    <w:jc w:val="center"/>
                    <w:rPr>
                      <w:b/>
                      <w:bCs/>
                      <w:iCs/>
                    </w:rPr>
                  </w:pPr>
                </w:p>
              </w:tc>
              <w:tc>
                <w:tcPr>
                  <w:tcW w:w="2018" w:type="dxa"/>
                </w:tcPr>
                <w:p w14:paraId="4EC22ECC" w14:textId="77777777" w:rsidR="00B65A30" w:rsidRDefault="00B65A30" w:rsidP="008903B6">
                  <w:pPr>
                    <w:jc w:val="center"/>
                    <w:rPr>
                      <w:b/>
                      <w:bCs/>
                      <w:iCs/>
                    </w:rPr>
                  </w:pPr>
                </w:p>
              </w:tc>
              <w:tc>
                <w:tcPr>
                  <w:tcW w:w="2019" w:type="dxa"/>
                </w:tcPr>
                <w:p w14:paraId="0A8A30A3" w14:textId="77777777" w:rsidR="00B65A30" w:rsidRDefault="00B65A30" w:rsidP="008903B6">
                  <w:pPr>
                    <w:jc w:val="center"/>
                    <w:rPr>
                      <w:b/>
                      <w:bCs/>
                      <w:iCs/>
                    </w:rPr>
                  </w:pPr>
                </w:p>
              </w:tc>
            </w:tr>
            <w:tr w:rsidR="00B65A30" w14:paraId="0906E2C1" w14:textId="77777777" w:rsidTr="1DE817D5">
              <w:tc>
                <w:tcPr>
                  <w:tcW w:w="3799" w:type="dxa"/>
                </w:tcPr>
                <w:p w14:paraId="2AF60449" w14:textId="77777777" w:rsidR="00B65A30" w:rsidRDefault="00B65A30" w:rsidP="00F23D0F">
                  <w:pPr>
                    <w:rPr>
                      <w:b/>
                      <w:bCs/>
                      <w:iCs/>
                    </w:rPr>
                  </w:pPr>
                </w:p>
              </w:tc>
              <w:tc>
                <w:tcPr>
                  <w:tcW w:w="2018" w:type="dxa"/>
                </w:tcPr>
                <w:p w14:paraId="3B0F324C" w14:textId="77777777" w:rsidR="00B65A30" w:rsidRDefault="00B65A30" w:rsidP="008903B6">
                  <w:pPr>
                    <w:jc w:val="center"/>
                    <w:rPr>
                      <w:b/>
                      <w:bCs/>
                      <w:iCs/>
                    </w:rPr>
                  </w:pPr>
                </w:p>
              </w:tc>
              <w:tc>
                <w:tcPr>
                  <w:tcW w:w="2018" w:type="dxa"/>
                </w:tcPr>
                <w:p w14:paraId="510955EA" w14:textId="77777777" w:rsidR="00B65A30" w:rsidRDefault="00B65A30" w:rsidP="008903B6">
                  <w:pPr>
                    <w:jc w:val="center"/>
                    <w:rPr>
                      <w:b/>
                      <w:bCs/>
                      <w:iCs/>
                    </w:rPr>
                  </w:pPr>
                </w:p>
              </w:tc>
              <w:tc>
                <w:tcPr>
                  <w:tcW w:w="2019" w:type="dxa"/>
                </w:tcPr>
                <w:p w14:paraId="6E31D6B5" w14:textId="77777777" w:rsidR="00B65A30" w:rsidRDefault="00B65A30" w:rsidP="008903B6">
                  <w:pPr>
                    <w:jc w:val="center"/>
                    <w:rPr>
                      <w:b/>
                      <w:bCs/>
                      <w:iCs/>
                    </w:rPr>
                  </w:pPr>
                </w:p>
              </w:tc>
            </w:tr>
            <w:tr w:rsidR="00B65A30" w14:paraId="7E85DE53" w14:textId="77777777" w:rsidTr="1DE817D5">
              <w:tc>
                <w:tcPr>
                  <w:tcW w:w="3799" w:type="dxa"/>
                </w:tcPr>
                <w:p w14:paraId="7571CE12" w14:textId="77777777" w:rsidR="00B65A30" w:rsidRDefault="00B65A30" w:rsidP="00F23D0F">
                  <w:pPr>
                    <w:rPr>
                      <w:b/>
                      <w:bCs/>
                      <w:iCs/>
                    </w:rPr>
                  </w:pPr>
                </w:p>
              </w:tc>
              <w:tc>
                <w:tcPr>
                  <w:tcW w:w="2018" w:type="dxa"/>
                </w:tcPr>
                <w:p w14:paraId="29FB7BDB" w14:textId="77777777" w:rsidR="00B65A30" w:rsidRDefault="00B65A30" w:rsidP="008903B6">
                  <w:pPr>
                    <w:jc w:val="center"/>
                    <w:rPr>
                      <w:b/>
                      <w:bCs/>
                      <w:iCs/>
                    </w:rPr>
                  </w:pPr>
                </w:p>
              </w:tc>
              <w:tc>
                <w:tcPr>
                  <w:tcW w:w="2018" w:type="dxa"/>
                </w:tcPr>
                <w:p w14:paraId="2FCB4904" w14:textId="77777777" w:rsidR="00B65A30" w:rsidRDefault="00B65A30" w:rsidP="008903B6">
                  <w:pPr>
                    <w:jc w:val="center"/>
                    <w:rPr>
                      <w:b/>
                      <w:bCs/>
                      <w:iCs/>
                    </w:rPr>
                  </w:pPr>
                </w:p>
              </w:tc>
              <w:tc>
                <w:tcPr>
                  <w:tcW w:w="2019" w:type="dxa"/>
                </w:tcPr>
                <w:p w14:paraId="24BCEABB" w14:textId="77777777" w:rsidR="00B65A30" w:rsidRDefault="00B65A30" w:rsidP="008903B6">
                  <w:pPr>
                    <w:jc w:val="center"/>
                    <w:rPr>
                      <w:b/>
                      <w:bCs/>
                      <w:iCs/>
                    </w:rPr>
                  </w:pPr>
                </w:p>
              </w:tc>
            </w:tr>
            <w:tr w:rsidR="00B65A30" w14:paraId="22B2902C" w14:textId="77777777" w:rsidTr="1DE817D5">
              <w:tc>
                <w:tcPr>
                  <w:tcW w:w="3799" w:type="dxa"/>
                </w:tcPr>
                <w:p w14:paraId="2E67918E" w14:textId="2A519B32" w:rsidR="00B65A30" w:rsidRDefault="00B65A30" w:rsidP="00F23D0F">
                  <w:pPr>
                    <w:rPr>
                      <w:b/>
                      <w:bCs/>
                      <w:iCs/>
                    </w:rPr>
                  </w:pPr>
                  <w:r>
                    <w:rPr>
                      <w:b/>
                      <w:bCs/>
                      <w:iCs/>
                    </w:rPr>
                    <w:t>TOTAL</w:t>
                  </w:r>
                </w:p>
              </w:tc>
              <w:tc>
                <w:tcPr>
                  <w:tcW w:w="2018" w:type="dxa"/>
                </w:tcPr>
                <w:p w14:paraId="5647CA27" w14:textId="01C396E6" w:rsidR="00B65A30" w:rsidRDefault="00855E00" w:rsidP="008903B6">
                  <w:pPr>
                    <w:jc w:val="center"/>
                    <w:rPr>
                      <w:b/>
                      <w:bCs/>
                      <w:iCs/>
                    </w:rPr>
                  </w:pPr>
                  <w:r>
                    <w:rPr>
                      <w:b/>
                      <w:bCs/>
                      <w:iCs/>
                    </w:rPr>
                    <w:t>7,635,903</w:t>
                  </w:r>
                </w:p>
              </w:tc>
              <w:tc>
                <w:tcPr>
                  <w:tcW w:w="2018" w:type="dxa"/>
                </w:tcPr>
                <w:p w14:paraId="1B2324A5" w14:textId="5B4E0588" w:rsidR="00B65A30" w:rsidRDefault="76BEF54F" w:rsidP="76BEF54F">
                  <w:pPr>
                    <w:jc w:val="center"/>
                    <w:rPr>
                      <w:b/>
                      <w:bCs/>
                    </w:rPr>
                  </w:pPr>
                  <w:r w:rsidRPr="76BEF54F">
                    <w:rPr>
                      <w:b/>
                      <w:bCs/>
                    </w:rPr>
                    <w:t>7,635,903</w:t>
                  </w:r>
                </w:p>
              </w:tc>
              <w:tc>
                <w:tcPr>
                  <w:tcW w:w="2019" w:type="dxa"/>
                </w:tcPr>
                <w:p w14:paraId="2E4185B1" w14:textId="2CB128F3" w:rsidR="00B65A30" w:rsidRDefault="76BEF54F" w:rsidP="76BEF54F">
                  <w:pPr>
                    <w:jc w:val="center"/>
                    <w:rPr>
                      <w:b/>
                      <w:bCs/>
                    </w:rPr>
                  </w:pPr>
                  <w:r w:rsidRPr="76BEF54F">
                    <w:rPr>
                      <w:b/>
                      <w:bCs/>
                    </w:rPr>
                    <w:t>4,921,525</w:t>
                  </w:r>
                </w:p>
              </w:tc>
            </w:tr>
          </w:tbl>
          <w:p w14:paraId="28D72CAE" w14:textId="77777777" w:rsidR="00B65A30" w:rsidRPr="00627A1C" w:rsidRDefault="00B65A30" w:rsidP="00F23D0F">
            <w:pPr>
              <w:rPr>
                <w:b/>
                <w:bCs/>
                <w:iCs/>
              </w:rPr>
            </w:pPr>
          </w:p>
          <w:p w14:paraId="21E4CBF9" w14:textId="70AF008C" w:rsidR="001C56B8" w:rsidRDefault="001C56B8" w:rsidP="76BEF54F">
            <w:pPr>
              <w:pStyle w:val="BalloonText"/>
              <w:tabs>
                <w:tab w:val="left" w:pos="4500"/>
              </w:tabs>
              <w:suppressAutoHyphens/>
              <w:rPr>
                <w:rFonts w:ascii="Times New Roman" w:hAnsi="Times New Roman" w:cs="Times New Roman"/>
                <w:snapToGrid w:val="0"/>
                <w:sz w:val="24"/>
                <w:szCs w:val="24"/>
              </w:rPr>
            </w:pPr>
            <w:r w:rsidRPr="76BEF54F">
              <w:rPr>
                <w:rFonts w:ascii="Times New Roman" w:hAnsi="Times New Roman" w:cs="Times New Roman"/>
                <w:snapToGrid w:val="0"/>
                <w:sz w:val="24"/>
                <w:szCs w:val="24"/>
              </w:rPr>
              <w:t xml:space="preserve">Approximate implementation rate as percentage of total project budget: 64.45%  </w:t>
            </w:r>
            <w:r w:rsidRPr="76BEF54F">
              <w:rPr>
                <w:rFonts w:ascii="Times New Roman" w:hAnsi="Times New Roman" w:cs="Times New Roman"/>
                <w:snapToGrid w:val="0"/>
                <w:sz w:val="24"/>
                <w:szCs w:val="24"/>
              </w:rPr>
              <w:fldChar w:fldCharType="begin">
                <w:ffData>
                  <w:name w:val="Text51"/>
                  <w:enabled/>
                  <w:calcOnExit w:val="0"/>
                  <w:textInput>
                    <w:type w:val="number"/>
                    <w:format w:val="0%"/>
                  </w:textInput>
                </w:ffData>
              </w:fldChar>
            </w:r>
            <w:bookmarkStart w:id="3" w:name="Text51"/>
            <w:r w:rsidRPr="76BEF54F">
              <w:rPr>
                <w:rFonts w:ascii="Times New Roman" w:hAnsi="Times New Roman" w:cs="Times New Roman"/>
                <w:snapToGrid w:val="0"/>
                <w:sz w:val="24"/>
                <w:szCs w:val="24"/>
              </w:rPr>
              <w:instrText xml:space="preserve"> FORMTEXT </w:instrText>
            </w:r>
            <w:r w:rsidRPr="76BEF54F">
              <w:rPr>
                <w:rFonts w:ascii="Times New Roman" w:hAnsi="Times New Roman" w:cs="Times New Roman"/>
                <w:snapToGrid w:val="0"/>
                <w:sz w:val="24"/>
                <w:szCs w:val="24"/>
              </w:rPr>
            </w:r>
            <w:r w:rsidRPr="76BEF54F">
              <w:rPr>
                <w:rFonts w:ascii="Times New Roman" w:hAnsi="Times New Roman" w:cs="Times New Roman"/>
                <w:snapToGrid w:val="0"/>
                <w:sz w:val="24"/>
                <w:szCs w:val="24"/>
              </w:rPr>
              <w:fldChar w:fldCharType="separate"/>
            </w:r>
            <w:r w:rsidRPr="76BEF54F">
              <w:rPr>
                <w:rFonts w:ascii="Times New Roman" w:hAnsi="Times New Roman" w:cs="Times New Roman"/>
                <w:noProof/>
                <w:snapToGrid w:val="0"/>
                <w:sz w:val="24"/>
                <w:szCs w:val="24"/>
              </w:rPr>
              <w:t> </w:t>
            </w:r>
            <w:r w:rsidRPr="76BEF54F">
              <w:rPr>
                <w:rFonts w:ascii="Times New Roman" w:hAnsi="Times New Roman" w:cs="Times New Roman"/>
                <w:noProof/>
                <w:snapToGrid w:val="0"/>
                <w:sz w:val="24"/>
                <w:szCs w:val="24"/>
              </w:rPr>
              <w:t> </w:t>
            </w:r>
            <w:r w:rsidRPr="76BEF54F">
              <w:rPr>
                <w:rFonts w:ascii="Times New Roman" w:hAnsi="Times New Roman" w:cs="Times New Roman"/>
                <w:noProof/>
                <w:snapToGrid w:val="0"/>
                <w:sz w:val="24"/>
                <w:szCs w:val="24"/>
              </w:rPr>
              <w:t> </w:t>
            </w:r>
            <w:r w:rsidRPr="76BEF54F">
              <w:rPr>
                <w:rFonts w:ascii="Times New Roman" w:hAnsi="Times New Roman" w:cs="Times New Roman"/>
                <w:noProof/>
                <w:snapToGrid w:val="0"/>
                <w:sz w:val="24"/>
                <w:szCs w:val="24"/>
              </w:rPr>
              <w:t> </w:t>
            </w:r>
            <w:r w:rsidRPr="76BEF54F">
              <w:rPr>
                <w:rFonts w:ascii="Times New Roman" w:hAnsi="Times New Roman" w:cs="Times New Roman"/>
                <w:noProof/>
                <w:snapToGrid w:val="0"/>
                <w:sz w:val="24"/>
                <w:szCs w:val="24"/>
              </w:rPr>
              <w:t> </w:t>
            </w:r>
            <w:r w:rsidRPr="76BEF54F">
              <w:rPr>
                <w:rFonts w:ascii="Times New Roman" w:hAnsi="Times New Roman" w:cs="Times New Roman"/>
                <w:snapToGrid w:val="0"/>
                <w:sz w:val="24"/>
                <w:szCs w:val="24"/>
              </w:rPr>
              <w:fldChar w:fldCharType="end"/>
            </w:r>
            <w:bookmarkEnd w:id="3"/>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278E9AEC" w:rsidR="008E0889" w:rsidRDefault="574E8E76" w:rsidP="00855E00">
            <w:r>
              <w:t xml:space="preserve">Indicate what percentage (%) of the budget contributes gender equality or women's empowerment (GEWE)? </w:t>
            </w:r>
            <w:r w:rsidR="4C8291BA">
              <w:t>25%</w:t>
            </w:r>
          </w:p>
          <w:p w14:paraId="1D585733" w14:textId="77777777" w:rsidR="008E0889" w:rsidRDefault="008E0889" w:rsidP="00006EC0"/>
          <w:p w14:paraId="03A24537" w14:textId="629FB255" w:rsidR="00970F4C" w:rsidRDefault="5BF42AFF" w:rsidP="00006EC0">
            <w:r>
              <w:t>I</w:t>
            </w:r>
            <w:r w:rsidR="78090ABC">
              <w:t xml:space="preserve">ndicate </w:t>
            </w:r>
            <w:r>
              <w:t xml:space="preserve">dollar amount from the project document </w:t>
            </w:r>
            <w:r w:rsidR="78090ABC">
              <w:t xml:space="preserve">to contribute to gender equality or women’s empowerment: </w:t>
            </w:r>
            <w:r w:rsidR="06484B54">
              <w:t>$1,908,975.75</w:t>
            </w:r>
          </w:p>
          <w:p w14:paraId="24B0412A" w14:textId="77777777" w:rsidR="008E0889" w:rsidRPr="00627A1C" w:rsidRDefault="008E0889" w:rsidP="00006EC0"/>
          <w:p w14:paraId="5A16DCDD" w14:textId="61C4D4D6" w:rsidR="00B65A30" w:rsidRPr="00B65A30" w:rsidRDefault="5BF42AFF" w:rsidP="00B65A30">
            <w:r>
              <w:t xml:space="preserve">Amount expended to date on efforts contributing to gender equality or women’s empowerment: </w:t>
            </w:r>
            <w:r w:rsidR="06484B54">
              <w:t>$1,230,381.25</w:t>
            </w:r>
          </w:p>
          <w:p w14:paraId="2CEAD5EE" w14:textId="404CB70A" w:rsidR="00B65A30" w:rsidRPr="00B65A30" w:rsidRDefault="00B65A30" w:rsidP="00B65A30"/>
        </w:tc>
      </w:tr>
      <w:tr w:rsidR="009B18EB" w:rsidRPr="00627A1C" w14:paraId="5ACD9B9B" w14:textId="77777777" w:rsidTr="1DE817D5">
        <w:trPr>
          <w:trHeight w:val="1124"/>
        </w:trPr>
        <w:tc>
          <w:tcPr>
            <w:tcW w:w="10080" w:type="dxa"/>
            <w:gridSpan w:val="2"/>
          </w:tcPr>
          <w:p w14:paraId="3E1801F7" w14:textId="04B9BCB3" w:rsidR="009B18EB" w:rsidRPr="00627A1C" w:rsidRDefault="009B18EB" w:rsidP="00F23D0F">
            <w:pPr>
              <w:rPr>
                <w:b/>
                <w:bCs/>
                <w:iCs/>
              </w:rPr>
            </w:pPr>
            <w:r w:rsidRPr="00627A1C">
              <w:rPr>
                <w:b/>
                <w:bCs/>
                <w:iCs/>
              </w:rPr>
              <w:lastRenderedPageBreak/>
              <w:t xml:space="preserve">Project Gender Marker: </w:t>
            </w:r>
            <w:r w:rsidR="00855E00">
              <w:rPr>
                <w:b/>
                <w:bCs/>
                <w:iCs/>
              </w:rPr>
              <w:fldChar w:fldCharType="begin">
                <w:ffData>
                  <w:name w:val="gendermarker"/>
                  <w:enabled/>
                  <w:calcOnExit w:val="0"/>
                  <w:ddList>
                    <w:listEntry w:val="GM1"/>
                  </w:ddList>
                </w:ffData>
              </w:fldChar>
            </w:r>
            <w:bookmarkStart w:id="4" w:name="gendermarker"/>
            <w:r w:rsidR="00855E00">
              <w:rPr>
                <w:b/>
                <w:bCs/>
                <w:iCs/>
              </w:rPr>
              <w:instrText xml:space="preserve"> FORMDROPDOWN </w:instrText>
            </w:r>
            <w:r w:rsidR="002510E4">
              <w:rPr>
                <w:b/>
                <w:bCs/>
                <w:iCs/>
              </w:rPr>
            </w:r>
            <w:r w:rsidR="002510E4">
              <w:rPr>
                <w:b/>
                <w:bCs/>
                <w:iCs/>
              </w:rPr>
              <w:fldChar w:fldCharType="separate"/>
            </w:r>
            <w:r w:rsidR="00855E00">
              <w:rPr>
                <w:b/>
                <w:bCs/>
                <w:iCs/>
              </w:rPr>
              <w:fldChar w:fldCharType="end"/>
            </w:r>
            <w:bookmarkEnd w:id="4"/>
          </w:p>
          <w:p w14:paraId="3A104835" w14:textId="26EADB45" w:rsidR="009B18EB" w:rsidRPr="00627A1C" w:rsidRDefault="009B18EB" w:rsidP="00F23D0F">
            <w:pPr>
              <w:rPr>
                <w:b/>
                <w:bCs/>
                <w:iCs/>
              </w:rPr>
            </w:pPr>
            <w:r w:rsidRPr="00627A1C">
              <w:rPr>
                <w:b/>
                <w:bCs/>
                <w:iCs/>
              </w:rPr>
              <w:t xml:space="preserve">Project Risk Marker: </w:t>
            </w:r>
            <w:r w:rsidR="00855E00">
              <w:rPr>
                <w:b/>
                <w:bCs/>
                <w:iCs/>
              </w:rPr>
              <w:fldChar w:fldCharType="begin">
                <w:ffData>
                  <w:name w:val="riskmarker"/>
                  <w:enabled/>
                  <w:calcOnExit w:val="0"/>
                  <w:ddList>
                    <w:listEntry w:val="Low"/>
                  </w:ddList>
                </w:ffData>
              </w:fldChar>
            </w:r>
            <w:bookmarkStart w:id="5" w:name="riskmarker"/>
            <w:r w:rsidR="00855E00">
              <w:rPr>
                <w:b/>
                <w:bCs/>
                <w:iCs/>
              </w:rPr>
              <w:instrText xml:space="preserve"> FORMDROPDOWN </w:instrText>
            </w:r>
            <w:r w:rsidR="002510E4">
              <w:rPr>
                <w:b/>
                <w:bCs/>
                <w:iCs/>
              </w:rPr>
            </w:r>
            <w:r w:rsidR="002510E4">
              <w:rPr>
                <w:b/>
                <w:bCs/>
                <w:iCs/>
              </w:rPr>
              <w:fldChar w:fldCharType="separate"/>
            </w:r>
            <w:r w:rsidR="00855E00">
              <w:rPr>
                <w:b/>
                <w:bCs/>
                <w:iCs/>
              </w:rPr>
              <w:fldChar w:fldCharType="end"/>
            </w:r>
            <w:bookmarkEnd w:id="5"/>
          </w:p>
          <w:p w14:paraId="1DAEED2D" w14:textId="05EE8875" w:rsidR="009B18EB" w:rsidRPr="00627A1C" w:rsidRDefault="009B18EB" w:rsidP="00F23D0F">
            <w:pPr>
              <w:rPr>
                <w:b/>
                <w:bCs/>
                <w:iCs/>
              </w:rPr>
            </w:pPr>
            <w:r w:rsidRPr="00627A1C">
              <w:rPr>
                <w:b/>
                <w:bCs/>
                <w:iCs/>
              </w:rPr>
              <w:t xml:space="preserve">Project PBF focus area: </w:t>
            </w:r>
            <w:r w:rsidR="00855E00">
              <w:rPr>
                <w:b/>
                <w:bCs/>
                <w:iCs/>
              </w:rPr>
              <w:fldChar w:fldCharType="begin">
                <w:ffData>
                  <w:name w:val="focusarea"/>
                  <w:enabled/>
                  <w:calcOnExit w:val="0"/>
                  <w:ddList>
                    <w:listEntry w:val="2.3 Conflict Prevention/Management"/>
                  </w:ddList>
                </w:ffData>
              </w:fldChar>
            </w:r>
            <w:bookmarkStart w:id="6" w:name="focusarea"/>
            <w:r w:rsidR="00855E00">
              <w:rPr>
                <w:b/>
                <w:bCs/>
                <w:iCs/>
              </w:rPr>
              <w:instrText xml:space="preserve"> FORMDROPDOWN </w:instrText>
            </w:r>
            <w:r w:rsidR="002510E4">
              <w:rPr>
                <w:b/>
                <w:bCs/>
                <w:iCs/>
              </w:rPr>
            </w:r>
            <w:r w:rsidR="002510E4">
              <w:rPr>
                <w:b/>
                <w:bCs/>
                <w:iCs/>
              </w:rPr>
              <w:fldChar w:fldCharType="separate"/>
            </w:r>
            <w:r w:rsidR="00855E00">
              <w:rPr>
                <w:b/>
                <w:bCs/>
                <w:iCs/>
              </w:rPr>
              <w:fldChar w:fldCharType="end"/>
            </w:r>
            <w:bookmarkEnd w:id="6"/>
          </w:p>
        </w:tc>
      </w:tr>
      <w:tr w:rsidR="00793DE6" w:rsidRPr="00627A1C" w14:paraId="277CF964" w14:textId="77777777" w:rsidTr="1DE817D5">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77777777"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7" w:name="secretariatreview"/>
            <w:r w:rsidR="004D141E" w:rsidRPr="00627A1C">
              <w:instrText xml:space="preserve"> FORMDROPDOWN </w:instrText>
            </w:r>
            <w:r w:rsidR="002510E4">
              <w:fldChar w:fldCharType="separate"/>
            </w:r>
            <w:r w:rsidR="004D141E" w:rsidRPr="00627A1C">
              <w:fldChar w:fldCharType="end"/>
            </w:r>
            <w:bookmarkEnd w:id="7"/>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09BF064D" w:rsidR="00D84A39" w:rsidRPr="00607DEF" w:rsidRDefault="00411A5F" w:rsidP="00607DEF">
      <w:pPr>
        <w:ind w:left="-810"/>
        <w:jc w:val="both"/>
      </w:pPr>
      <w:r w:rsidRPr="00607DEF">
        <w:t xml:space="preserve">Briefly </w:t>
      </w:r>
      <w:r w:rsidR="008364E5" w:rsidRPr="00607DEF">
        <w:t>outline</w:t>
      </w:r>
      <w:r w:rsidR="007C304F" w:rsidRPr="00607DEF">
        <w:t xml:space="preserve"> the</w:t>
      </w:r>
      <w:r w:rsidR="00F5504F" w:rsidRPr="00607DEF">
        <w:t xml:space="preserve"> </w:t>
      </w:r>
      <w:r w:rsidR="00F5504F" w:rsidRPr="00607DEF">
        <w:rPr>
          <w:b/>
          <w:bCs/>
        </w:rPr>
        <w:t>status of the</w:t>
      </w:r>
      <w:r w:rsidR="007C304F" w:rsidRPr="00607DEF">
        <w:rPr>
          <w:b/>
          <w:bCs/>
        </w:rPr>
        <w:t xml:space="preserve"> project</w:t>
      </w:r>
      <w:r w:rsidR="007C304F" w:rsidRPr="00607DEF">
        <w:t xml:space="preserve"> in terms of implementation cycle, including whether preliminary/preparatory activities have been completed</w:t>
      </w:r>
      <w:r w:rsidR="008364E5" w:rsidRPr="00607DEF">
        <w:t xml:space="preserve"> (</w:t>
      </w:r>
      <w:r w:rsidR="00073A84" w:rsidRPr="00607DEF">
        <w:t>i.e.,</w:t>
      </w:r>
      <w:r w:rsidR="008364E5" w:rsidRPr="00607DEF">
        <w:t xml:space="preserve"> </w:t>
      </w:r>
      <w:r w:rsidR="009B18EB" w:rsidRPr="00607DEF">
        <w:t>contracting of partners, staff recruitment</w:t>
      </w:r>
      <w:r w:rsidR="004D141E" w:rsidRPr="00607DEF">
        <w:t>, etc.</w:t>
      </w:r>
      <w:r w:rsidR="008364E5" w:rsidRPr="00607DEF">
        <w:t>)</w:t>
      </w:r>
      <w:r w:rsidR="004D141E" w:rsidRPr="00607DEF">
        <w:t xml:space="preserve"> </w:t>
      </w:r>
      <w:r w:rsidR="006A07CA" w:rsidRPr="00607DEF">
        <w:t>(1</w:t>
      </w:r>
      <w:r w:rsidR="00521468" w:rsidRPr="00607DEF">
        <w:t>5</w:t>
      </w:r>
      <w:r w:rsidR="006A07CA" w:rsidRPr="00607DEF">
        <w:t>00 character limit)</w:t>
      </w:r>
      <w:r w:rsidR="007C304F" w:rsidRPr="00607DEF">
        <w:t xml:space="preserve">: </w:t>
      </w:r>
    </w:p>
    <w:p w14:paraId="25FB5DB5" w14:textId="77777777" w:rsidR="00790047" w:rsidRPr="00607DEF" w:rsidRDefault="00790047" w:rsidP="00607DEF">
      <w:pPr>
        <w:ind w:left="-810"/>
        <w:jc w:val="both"/>
        <w:rPr>
          <w:sz w:val="22"/>
          <w:szCs w:val="22"/>
        </w:rPr>
      </w:pPr>
    </w:p>
    <w:p w14:paraId="0942EF1E" w14:textId="320C74A1" w:rsidR="00224643" w:rsidRPr="00607DEF" w:rsidRDefault="00790047" w:rsidP="00607DEF">
      <w:pPr>
        <w:ind w:left="-810"/>
        <w:jc w:val="both"/>
        <w:rPr>
          <w:b/>
          <w:bCs/>
          <w:color w:val="FF0000"/>
          <w:sz w:val="22"/>
          <w:szCs w:val="22"/>
        </w:rPr>
      </w:pPr>
      <w:r w:rsidRPr="611CD828">
        <w:rPr>
          <w:rFonts w:eastAsiaTheme="minorEastAsia"/>
          <w:color w:val="000000" w:themeColor="text1"/>
          <w:sz w:val="22"/>
          <w:szCs w:val="22"/>
        </w:rPr>
        <w:t xml:space="preserve">The Humanitarian-Development-Peacebuilding and Partnerships (HDPP) Facility is supporting </w:t>
      </w:r>
      <w:r w:rsidR="00A61394" w:rsidRPr="611CD828">
        <w:rPr>
          <w:rFonts w:eastAsiaTheme="minorEastAsia"/>
          <w:color w:val="000000" w:themeColor="text1"/>
          <w:sz w:val="22"/>
          <w:szCs w:val="22"/>
        </w:rPr>
        <w:t xml:space="preserve">UN </w:t>
      </w:r>
      <w:r w:rsidRPr="611CD828">
        <w:rPr>
          <w:rFonts w:eastAsiaTheme="minorEastAsia"/>
          <w:color w:val="000000" w:themeColor="text1"/>
          <w:sz w:val="22"/>
          <w:szCs w:val="22"/>
        </w:rPr>
        <w:t xml:space="preserve">capacities </w:t>
      </w:r>
      <w:r w:rsidR="006F0CBE" w:rsidRPr="611CD828">
        <w:rPr>
          <w:rFonts w:eastAsiaTheme="minorEastAsia"/>
          <w:color w:val="000000" w:themeColor="text1"/>
          <w:sz w:val="22"/>
          <w:szCs w:val="22"/>
        </w:rPr>
        <w:t xml:space="preserve">to engage with </w:t>
      </w:r>
      <w:r w:rsidR="00A61394" w:rsidRPr="611CD828">
        <w:rPr>
          <w:rFonts w:eastAsiaTheme="minorEastAsia"/>
          <w:color w:val="000000" w:themeColor="text1"/>
          <w:sz w:val="22"/>
          <w:szCs w:val="22"/>
        </w:rPr>
        <w:t xml:space="preserve">World </w:t>
      </w:r>
      <w:r w:rsidRPr="611CD828">
        <w:rPr>
          <w:rFonts w:eastAsiaTheme="minorEastAsia"/>
          <w:color w:val="000000" w:themeColor="text1"/>
          <w:sz w:val="22"/>
          <w:szCs w:val="22"/>
        </w:rPr>
        <w:t>Bank</w:t>
      </w:r>
      <w:r w:rsidRPr="611CD828">
        <w:rPr>
          <w:rFonts w:eastAsiaTheme="minorEastAsia"/>
          <w:b/>
          <w:bCs/>
          <w:color w:val="000000" w:themeColor="text1"/>
          <w:sz w:val="22"/>
          <w:szCs w:val="22"/>
        </w:rPr>
        <w:t xml:space="preserve"> </w:t>
      </w:r>
      <w:r w:rsidR="00A61394" w:rsidRPr="611CD828">
        <w:rPr>
          <w:rFonts w:eastAsiaTheme="minorEastAsia"/>
          <w:color w:val="000000" w:themeColor="text1"/>
          <w:sz w:val="22"/>
          <w:szCs w:val="22"/>
        </w:rPr>
        <w:t xml:space="preserve">and </w:t>
      </w:r>
      <w:r w:rsidR="009E4658" w:rsidRPr="611CD828">
        <w:rPr>
          <w:rFonts w:eastAsiaTheme="minorEastAsia"/>
          <w:color w:val="000000" w:themeColor="text1"/>
          <w:sz w:val="22"/>
          <w:szCs w:val="22"/>
        </w:rPr>
        <w:t xml:space="preserve">other </w:t>
      </w:r>
      <w:r w:rsidR="00A61394" w:rsidRPr="611CD828">
        <w:rPr>
          <w:rFonts w:eastAsiaTheme="minorEastAsia"/>
          <w:color w:val="000000" w:themeColor="text1"/>
          <w:sz w:val="22"/>
          <w:szCs w:val="22"/>
        </w:rPr>
        <w:t>IFIs</w:t>
      </w:r>
      <w:r w:rsidR="00A61394" w:rsidRPr="611CD828">
        <w:rPr>
          <w:rFonts w:eastAsiaTheme="minorEastAsia"/>
          <w:b/>
          <w:bCs/>
          <w:color w:val="000000" w:themeColor="text1"/>
          <w:sz w:val="22"/>
          <w:szCs w:val="22"/>
        </w:rPr>
        <w:t xml:space="preserve"> </w:t>
      </w:r>
      <w:r w:rsidR="009E4658" w:rsidRPr="611CD828">
        <w:rPr>
          <w:rFonts w:eastAsiaTheme="minorEastAsia"/>
          <w:color w:val="000000" w:themeColor="text1"/>
          <w:sz w:val="22"/>
          <w:szCs w:val="22"/>
        </w:rPr>
        <w:t xml:space="preserve">towards shared priorities </w:t>
      </w:r>
      <w:r w:rsidR="00A61394" w:rsidRPr="611CD828">
        <w:rPr>
          <w:rFonts w:eastAsiaTheme="minorEastAsia"/>
          <w:color w:val="000000" w:themeColor="text1"/>
          <w:sz w:val="22"/>
          <w:szCs w:val="22"/>
        </w:rPr>
        <w:t xml:space="preserve">in </w:t>
      </w:r>
      <w:r w:rsidRPr="611CD828">
        <w:rPr>
          <w:rFonts w:eastAsiaTheme="minorEastAsia"/>
          <w:color w:val="000000" w:themeColor="text1"/>
          <w:sz w:val="22"/>
          <w:szCs w:val="22"/>
        </w:rPr>
        <w:t>prevention and transition contexts</w:t>
      </w:r>
      <w:r w:rsidR="00951AC0" w:rsidRPr="611CD828">
        <w:rPr>
          <w:rFonts w:eastAsiaTheme="minorEastAsia"/>
          <w:color w:val="000000" w:themeColor="text1"/>
          <w:sz w:val="22"/>
          <w:szCs w:val="22"/>
        </w:rPr>
        <w:t xml:space="preserve">. The Facility </w:t>
      </w:r>
      <w:r w:rsidR="00BC692D" w:rsidRPr="611CD828">
        <w:rPr>
          <w:rFonts w:eastAsiaTheme="minorEastAsia"/>
          <w:color w:val="000000" w:themeColor="text1"/>
          <w:sz w:val="22"/>
          <w:szCs w:val="22"/>
        </w:rPr>
        <w:t xml:space="preserve">includes </w:t>
      </w:r>
      <w:r w:rsidRPr="611CD828">
        <w:rPr>
          <w:rFonts w:eastAsiaTheme="minorEastAsia"/>
          <w:color w:val="000000" w:themeColor="text1"/>
          <w:sz w:val="22"/>
          <w:szCs w:val="22"/>
        </w:rPr>
        <w:t>two funding streams: (</w:t>
      </w:r>
      <w:proofErr w:type="spellStart"/>
      <w:r w:rsidRPr="611CD828">
        <w:rPr>
          <w:rFonts w:eastAsiaTheme="minorEastAsia"/>
          <w:color w:val="000000" w:themeColor="text1"/>
          <w:sz w:val="22"/>
          <w:szCs w:val="22"/>
        </w:rPr>
        <w:t>i</w:t>
      </w:r>
      <w:proofErr w:type="spellEnd"/>
      <w:r w:rsidRPr="611CD828">
        <w:rPr>
          <w:rFonts w:eastAsiaTheme="minorEastAsia"/>
          <w:color w:val="000000" w:themeColor="text1"/>
          <w:sz w:val="22"/>
          <w:szCs w:val="22"/>
        </w:rPr>
        <w:t>)</w:t>
      </w:r>
      <w:r w:rsidR="00E40A65" w:rsidRPr="611CD828">
        <w:rPr>
          <w:rFonts w:eastAsiaTheme="minorEastAsia"/>
          <w:color w:val="000000" w:themeColor="text1"/>
          <w:sz w:val="22"/>
          <w:szCs w:val="22"/>
        </w:rPr>
        <w:t xml:space="preserve"> a</w:t>
      </w:r>
      <w:r w:rsidRPr="611CD828">
        <w:rPr>
          <w:rFonts w:eastAsiaTheme="minorEastAsia"/>
          <w:color w:val="000000" w:themeColor="text1"/>
          <w:sz w:val="22"/>
          <w:szCs w:val="22"/>
        </w:rPr>
        <w:t xml:space="preserve"> </w:t>
      </w:r>
      <w:r w:rsidR="00A61394" w:rsidRPr="611CD828">
        <w:rPr>
          <w:rFonts w:eastAsiaTheme="minorEastAsia"/>
          <w:color w:val="000000" w:themeColor="text1"/>
          <w:sz w:val="22"/>
          <w:szCs w:val="22"/>
        </w:rPr>
        <w:t>“</w:t>
      </w:r>
      <w:r w:rsidRPr="611CD828">
        <w:rPr>
          <w:rFonts w:eastAsiaTheme="minorEastAsia"/>
          <w:color w:val="000000" w:themeColor="text1"/>
          <w:sz w:val="22"/>
          <w:szCs w:val="22"/>
        </w:rPr>
        <w:t>regular track</w:t>
      </w:r>
      <w:r w:rsidR="00E40A65" w:rsidRPr="611CD828">
        <w:rPr>
          <w:rFonts w:eastAsiaTheme="minorEastAsia"/>
          <w:color w:val="000000" w:themeColor="text1"/>
          <w:sz w:val="22"/>
          <w:szCs w:val="22"/>
        </w:rPr>
        <w:t>”</w:t>
      </w:r>
      <w:r w:rsidRPr="611CD828">
        <w:rPr>
          <w:rFonts w:eastAsiaTheme="minorEastAsia"/>
          <w:color w:val="000000" w:themeColor="text1"/>
          <w:sz w:val="22"/>
          <w:szCs w:val="22"/>
        </w:rPr>
        <w:t xml:space="preserve"> that provides grants up to $400,000 and prioritises </w:t>
      </w:r>
      <w:r w:rsidR="00BC692D" w:rsidRPr="611CD828">
        <w:rPr>
          <w:rFonts w:eastAsiaTheme="minorEastAsia"/>
          <w:color w:val="000000" w:themeColor="text1"/>
          <w:sz w:val="22"/>
          <w:szCs w:val="22"/>
        </w:rPr>
        <w:t xml:space="preserve">settings where </w:t>
      </w:r>
      <w:r w:rsidR="00102F59" w:rsidRPr="611CD828">
        <w:rPr>
          <w:rFonts w:eastAsiaTheme="minorEastAsia"/>
          <w:color w:val="000000" w:themeColor="text1"/>
          <w:sz w:val="22"/>
          <w:szCs w:val="22"/>
        </w:rPr>
        <w:t>new</w:t>
      </w:r>
      <w:r w:rsidR="00BC692D" w:rsidRPr="611CD828">
        <w:rPr>
          <w:rFonts w:eastAsiaTheme="minorEastAsia"/>
          <w:color w:val="000000" w:themeColor="text1"/>
          <w:sz w:val="22"/>
          <w:szCs w:val="22"/>
        </w:rPr>
        <w:t xml:space="preserve"> Fragility, Conflict, and Violence (FCV) instruments </w:t>
      </w:r>
      <w:r w:rsidR="00102F59" w:rsidRPr="611CD828">
        <w:rPr>
          <w:rFonts w:eastAsiaTheme="minorEastAsia"/>
          <w:color w:val="000000" w:themeColor="text1"/>
          <w:sz w:val="22"/>
          <w:szCs w:val="22"/>
        </w:rPr>
        <w:t xml:space="preserve">of the World Bank </w:t>
      </w:r>
      <w:r w:rsidR="00BC692D" w:rsidRPr="611CD828">
        <w:rPr>
          <w:rFonts w:eastAsiaTheme="minorEastAsia"/>
          <w:color w:val="000000" w:themeColor="text1"/>
          <w:sz w:val="22"/>
          <w:szCs w:val="22"/>
        </w:rPr>
        <w:t>are being rolled-out</w:t>
      </w:r>
      <w:r w:rsidRPr="611CD828">
        <w:rPr>
          <w:rFonts w:eastAsiaTheme="minorEastAsia"/>
          <w:color w:val="000000" w:themeColor="text1"/>
          <w:sz w:val="22"/>
          <w:szCs w:val="22"/>
        </w:rPr>
        <w:t xml:space="preserve">, and (ii) </w:t>
      </w:r>
      <w:r w:rsidR="00E40A65" w:rsidRPr="611CD828">
        <w:rPr>
          <w:rFonts w:eastAsiaTheme="minorEastAsia"/>
          <w:color w:val="000000" w:themeColor="text1"/>
          <w:sz w:val="22"/>
          <w:szCs w:val="22"/>
        </w:rPr>
        <w:t xml:space="preserve">a </w:t>
      </w:r>
      <w:r w:rsidR="00A61394" w:rsidRPr="611CD828">
        <w:rPr>
          <w:rFonts w:eastAsiaTheme="minorEastAsia"/>
          <w:color w:val="000000" w:themeColor="text1"/>
          <w:sz w:val="22"/>
          <w:szCs w:val="22"/>
        </w:rPr>
        <w:t>“</w:t>
      </w:r>
      <w:r w:rsidRPr="611CD828">
        <w:rPr>
          <w:rFonts w:eastAsiaTheme="minorEastAsia"/>
          <w:color w:val="000000" w:themeColor="text1"/>
          <w:sz w:val="22"/>
          <w:szCs w:val="22"/>
        </w:rPr>
        <w:t>fast track</w:t>
      </w:r>
      <w:r w:rsidR="00A61394" w:rsidRPr="611CD828">
        <w:rPr>
          <w:rFonts w:eastAsiaTheme="minorEastAsia"/>
          <w:color w:val="000000" w:themeColor="text1"/>
          <w:sz w:val="22"/>
          <w:szCs w:val="22"/>
        </w:rPr>
        <w:t>”</w:t>
      </w:r>
      <w:r w:rsidRPr="611CD828">
        <w:rPr>
          <w:rFonts w:eastAsiaTheme="minorEastAsia"/>
          <w:color w:val="000000" w:themeColor="text1"/>
          <w:sz w:val="22"/>
          <w:szCs w:val="22"/>
        </w:rPr>
        <w:t xml:space="preserve"> that provides grants up to $50,000 </w:t>
      </w:r>
      <w:r w:rsidR="00BC692D" w:rsidRPr="611CD828">
        <w:rPr>
          <w:rFonts w:eastAsiaTheme="minorEastAsia"/>
          <w:color w:val="000000" w:themeColor="text1"/>
          <w:sz w:val="22"/>
          <w:szCs w:val="22"/>
        </w:rPr>
        <w:t>for the rapid deployment of capacity in other preventions settings.</w:t>
      </w:r>
    </w:p>
    <w:p w14:paraId="016A8729" w14:textId="77777777" w:rsidR="00224643" w:rsidRPr="00607DEF" w:rsidRDefault="00224643" w:rsidP="00607DEF">
      <w:pPr>
        <w:ind w:left="-810"/>
        <w:jc w:val="both"/>
        <w:rPr>
          <w:b/>
          <w:bCs/>
          <w:color w:val="000000" w:themeColor="text1"/>
          <w:sz w:val="22"/>
          <w:szCs w:val="22"/>
        </w:rPr>
      </w:pPr>
    </w:p>
    <w:p w14:paraId="341BC4F5" w14:textId="683F05EE" w:rsidR="00736267" w:rsidRPr="00607DEF" w:rsidRDefault="00A61394" w:rsidP="00607DEF">
      <w:pPr>
        <w:ind w:left="-810"/>
        <w:jc w:val="both"/>
        <w:rPr>
          <w:sz w:val="22"/>
          <w:szCs w:val="22"/>
        </w:rPr>
      </w:pPr>
      <w:r w:rsidRPr="1DE817D5">
        <w:rPr>
          <w:sz w:val="22"/>
          <w:szCs w:val="22"/>
        </w:rPr>
        <w:t xml:space="preserve">As of June 2022, the Facility has </w:t>
      </w:r>
      <w:r w:rsidR="00A426F7" w:rsidRPr="1DE817D5">
        <w:rPr>
          <w:sz w:val="22"/>
          <w:szCs w:val="22"/>
        </w:rPr>
        <w:t xml:space="preserve">almost fully </w:t>
      </w:r>
      <w:r w:rsidR="00CB5934" w:rsidRPr="1DE817D5">
        <w:rPr>
          <w:sz w:val="22"/>
          <w:szCs w:val="22"/>
        </w:rPr>
        <w:t>allocated its</w:t>
      </w:r>
      <w:r w:rsidR="00A426F7" w:rsidRPr="1DE817D5">
        <w:rPr>
          <w:sz w:val="22"/>
          <w:szCs w:val="22"/>
        </w:rPr>
        <w:t xml:space="preserve"> existing budget. </w:t>
      </w:r>
      <w:r w:rsidR="00CB5934" w:rsidRPr="1DE817D5">
        <w:rPr>
          <w:sz w:val="22"/>
          <w:szCs w:val="22"/>
        </w:rPr>
        <w:t>The team</w:t>
      </w:r>
      <w:r w:rsidR="00A426F7" w:rsidRPr="1DE817D5">
        <w:rPr>
          <w:sz w:val="22"/>
          <w:szCs w:val="22"/>
        </w:rPr>
        <w:t xml:space="preserve"> is </w:t>
      </w:r>
      <w:r w:rsidR="00CB5934" w:rsidRPr="1DE817D5">
        <w:rPr>
          <w:sz w:val="22"/>
          <w:szCs w:val="22"/>
        </w:rPr>
        <w:t>discussing the Facility’s replenishment with</w:t>
      </w:r>
      <w:r w:rsidR="00A426F7" w:rsidRPr="1DE817D5">
        <w:rPr>
          <w:sz w:val="22"/>
          <w:szCs w:val="22"/>
        </w:rPr>
        <w:t xml:space="preserve"> existing and prospective donors 2022-2023</w:t>
      </w:r>
      <w:r w:rsidR="00CB5934" w:rsidRPr="1DE817D5">
        <w:rPr>
          <w:sz w:val="22"/>
          <w:szCs w:val="22"/>
        </w:rPr>
        <w:t>, and for multi</w:t>
      </w:r>
      <w:r w:rsidR="00D858BB" w:rsidRPr="1DE817D5">
        <w:rPr>
          <w:sz w:val="22"/>
          <w:szCs w:val="22"/>
        </w:rPr>
        <w:t>-</w:t>
      </w:r>
      <w:r w:rsidR="00CB5934" w:rsidRPr="1DE817D5">
        <w:rPr>
          <w:sz w:val="22"/>
          <w:szCs w:val="22"/>
        </w:rPr>
        <w:t>year contributions when possible</w:t>
      </w:r>
      <w:r w:rsidR="00A426F7" w:rsidRPr="1DE817D5">
        <w:rPr>
          <w:sz w:val="22"/>
          <w:szCs w:val="22"/>
        </w:rPr>
        <w:t>.</w:t>
      </w:r>
    </w:p>
    <w:p w14:paraId="7240A71A" w14:textId="77777777" w:rsidR="00790047" w:rsidRPr="00607DEF" w:rsidRDefault="00790047" w:rsidP="00607DEF">
      <w:pPr>
        <w:jc w:val="both"/>
        <w:rPr>
          <w:color w:val="000000" w:themeColor="text1"/>
          <w:sz w:val="22"/>
          <w:szCs w:val="22"/>
        </w:rPr>
      </w:pPr>
    </w:p>
    <w:p w14:paraId="69BA1696" w14:textId="0340CCAC" w:rsidR="00CA26CF" w:rsidRDefault="00790047" w:rsidP="00607DEF">
      <w:pPr>
        <w:ind w:left="-810"/>
        <w:jc w:val="both"/>
        <w:rPr>
          <w:b/>
          <w:bCs/>
          <w:color w:val="000000" w:themeColor="text1"/>
          <w:sz w:val="22"/>
          <w:szCs w:val="22"/>
        </w:rPr>
      </w:pPr>
      <w:r w:rsidRPr="00607DEF">
        <w:rPr>
          <w:color w:val="000000" w:themeColor="text1"/>
          <w:sz w:val="22"/>
          <w:szCs w:val="22"/>
        </w:rPr>
        <w:t xml:space="preserve">To date, </w:t>
      </w:r>
      <w:r w:rsidR="00977C4F">
        <w:rPr>
          <w:color w:val="000000" w:themeColor="text1"/>
          <w:sz w:val="22"/>
          <w:szCs w:val="22"/>
        </w:rPr>
        <w:t xml:space="preserve">the Facility has financed </w:t>
      </w:r>
      <w:r w:rsidRPr="00607DEF">
        <w:rPr>
          <w:color w:val="000000" w:themeColor="text1"/>
          <w:sz w:val="22"/>
          <w:szCs w:val="22"/>
        </w:rPr>
        <w:t xml:space="preserve">31 projects </w:t>
      </w:r>
      <w:r w:rsidR="00977C4F">
        <w:rPr>
          <w:color w:val="000000" w:themeColor="text1"/>
          <w:sz w:val="22"/>
          <w:szCs w:val="22"/>
        </w:rPr>
        <w:t>(</w:t>
      </w:r>
      <w:r w:rsidR="00A426F7" w:rsidRPr="00607DEF">
        <w:rPr>
          <w:color w:val="000000" w:themeColor="text1"/>
          <w:sz w:val="22"/>
          <w:szCs w:val="22"/>
        </w:rPr>
        <w:t xml:space="preserve">18 </w:t>
      </w:r>
      <w:r w:rsidRPr="00607DEF">
        <w:rPr>
          <w:color w:val="000000" w:themeColor="text1"/>
          <w:sz w:val="22"/>
          <w:szCs w:val="22"/>
        </w:rPr>
        <w:t xml:space="preserve">projects </w:t>
      </w:r>
      <w:r w:rsidR="00A426F7" w:rsidRPr="00607DEF">
        <w:rPr>
          <w:color w:val="000000" w:themeColor="text1"/>
          <w:sz w:val="22"/>
          <w:szCs w:val="22"/>
        </w:rPr>
        <w:t>completed</w:t>
      </w:r>
      <w:r w:rsidR="00977C4F">
        <w:rPr>
          <w:color w:val="000000" w:themeColor="text1"/>
          <w:sz w:val="22"/>
          <w:szCs w:val="22"/>
        </w:rPr>
        <w:t>/closed)</w:t>
      </w:r>
      <w:r w:rsidR="00CA26CF">
        <w:rPr>
          <w:color w:val="000000" w:themeColor="text1"/>
          <w:sz w:val="22"/>
          <w:szCs w:val="22"/>
        </w:rPr>
        <w:t xml:space="preserve"> since 2020</w:t>
      </w:r>
      <w:r w:rsidR="006F0CBE" w:rsidRPr="00607DEF">
        <w:rPr>
          <w:color w:val="000000" w:themeColor="text1"/>
          <w:sz w:val="22"/>
          <w:szCs w:val="22"/>
        </w:rPr>
        <w:t>.</w:t>
      </w:r>
      <w:r w:rsidR="006F0CBE" w:rsidRPr="00607DEF">
        <w:rPr>
          <w:b/>
          <w:bCs/>
          <w:color w:val="000000" w:themeColor="text1"/>
          <w:sz w:val="22"/>
          <w:szCs w:val="22"/>
        </w:rPr>
        <w:t xml:space="preserve"> </w:t>
      </w:r>
    </w:p>
    <w:p w14:paraId="0791D818" w14:textId="77777777" w:rsidR="00CA26CF" w:rsidRDefault="00CA26CF" w:rsidP="00607DEF">
      <w:pPr>
        <w:ind w:left="-810"/>
        <w:jc w:val="both"/>
        <w:rPr>
          <w:b/>
          <w:bCs/>
          <w:color w:val="000000" w:themeColor="text1"/>
          <w:sz w:val="22"/>
          <w:szCs w:val="22"/>
        </w:rPr>
      </w:pPr>
    </w:p>
    <w:p w14:paraId="269537C3" w14:textId="2066B59F" w:rsidR="006F0CBE" w:rsidRPr="00607DEF" w:rsidRDefault="006F0CBE" w:rsidP="00607DEF">
      <w:pPr>
        <w:ind w:left="-810"/>
        <w:jc w:val="both"/>
        <w:rPr>
          <w:b/>
          <w:bCs/>
          <w:color w:val="000000" w:themeColor="text1"/>
          <w:sz w:val="22"/>
          <w:szCs w:val="22"/>
        </w:rPr>
      </w:pPr>
      <w:r w:rsidRPr="611CD828">
        <w:rPr>
          <w:color w:val="000000" w:themeColor="text1"/>
          <w:sz w:val="22"/>
          <w:szCs w:val="22"/>
        </w:rPr>
        <w:t>Ther</w:t>
      </w:r>
      <w:r w:rsidR="00A2087C" w:rsidRPr="611CD828">
        <w:rPr>
          <w:color w:val="000000" w:themeColor="text1"/>
          <w:sz w:val="22"/>
          <w:szCs w:val="22"/>
        </w:rPr>
        <w:t>e</w:t>
      </w:r>
      <w:r w:rsidRPr="611CD828">
        <w:rPr>
          <w:color w:val="000000" w:themeColor="text1"/>
          <w:sz w:val="22"/>
          <w:szCs w:val="22"/>
        </w:rPr>
        <w:t xml:space="preserve"> are</w:t>
      </w:r>
      <w:r w:rsidR="00813DED" w:rsidRPr="611CD828">
        <w:rPr>
          <w:color w:val="000000" w:themeColor="text1"/>
          <w:sz w:val="22"/>
          <w:szCs w:val="22"/>
        </w:rPr>
        <w:t xml:space="preserve"> currently</w:t>
      </w:r>
      <w:r w:rsidR="00790047" w:rsidRPr="611CD828">
        <w:rPr>
          <w:color w:val="000000" w:themeColor="text1"/>
          <w:sz w:val="22"/>
          <w:szCs w:val="22"/>
        </w:rPr>
        <w:t xml:space="preserve"> 1</w:t>
      </w:r>
      <w:r w:rsidR="00C23445" w:rsidRPr="611CD828">
        <w:rPr>
          <w:color w:val="000000" w:themeColor="text1"/>
          <w:sz w:val="22"/>
          <w:szCs w:val="22"/>
        </w:rPr>
        <w:t>2</w:t>
      </w:r>
      <w:r w:rsidR="00790047" w:rsidRPr="611CD828">
        <w:rPr>
          <w:color w:val="000000" w:themeColor="text1"/>
          <w:sz w:val="22"/>
          <w:szCs w:val="22"/>
        </w:rPr>
        <w:t xml:space="preserve"> projects</w:t>
      </w:r>
      <w:r w:rsidRPr="611CD828">
        <w:rPr>
          <w:color w:val="000000" w:themeColor="text1"/>
          <w:sz w:val="22"/>
          <w:szCs w:val="22"/>
        </w:rPr>
        <w:t xml:space="preserve">: </w:t>
      </w:r>
      <w:r w:rsidR="00790047" w:rsidRPr="611CD828">
        <w:rPr>
          <w:color w:val="000000" w:themeColor="text1"/>
          <w:sz w:val="22"/>
          <w:szCs w:val="22"/>
        </w:rPr>
        <w:t xml:space="preserve">6 regular track projects in </w:t>
      </w:r>
      <w:r w:rsidR="00790047" w:rsidRPr="611CD828">
        <w:rPr>
          <w:color w:val="000000" w:themeColor="text1"/>
          <w:sz w:val="22"/>
          <w:szCs w:val="22"/>
          <w:u w:val="single"/>
        </w:rPr>
        <w:t xml:space="preserve">Afghanistan, </w:t>
      </w:r>
      <w:r w:rsidR="00A2087C" w:rsidRPr="611CD828">
        <w:rPr>
          <w:color w:val="000000" w:themeColor="text1"/>
          <w:sz w:val="22"/>
          <w:szCs w:val="22"/>
          <w:u w:val="single"/>
        </w:rPr>
        <w:t xml:space="preserve">Burkina Faso, </w:t>
      </w:r>
      <w:r w:rsidR="00790047" w:rsidRPr="611CD828">
        <w:rPr>
          <w:color w:val="000000" w:themeColor="text1"/>
          <w:sz w:val="22"/>
          <w:szCs w:val="22"/>
          <w:u w:val="single"/>
        </w:rPr>
        <w:t>DRC, Niger</w:t>
      </w:r>
      <w:r w:rsidRPr="611CD828">
        <w:rPr>
          <w:color w:val="000000" w:themeColor="text1"/>
          <w:sz w:val="22"/>
          <w:szCs w:val="22"/>
          <w:u w:val="single"/>
        </w:rPr>
        <w:t xml:space="preserve">, </w:t>
      </w:r>
      <w:r w:rsidR="00A2087C" w:rsidRPr="611CD828">
        <w:rPr>
          <w:color w:val="000000" w:themeColor="text1"/>
          <w:sz w:val="22"/>
          <w:szCs w:val="22"/>
          <w:u w:val="single"/>
        </w:rPr>
        <w:t>Somalia,</w:t>
      </w:r>
      <w:r w:rsidR="00A2087C" w:rsidRPr="611CD828">
        <w:rPr>
          <w:color w:val="000000" w:themeColor="text1"/>
          <w:sz w:val="22"/>
          <w:szCs w:val="22"/>
        </w:rPr>
        <w:t xml:space="preserve"> and</w:t>
      </w:r>
      <w:r w:rsidRPr="611CD828">
        <w:rPr>
          <w:color w:val="000000" w:themeColor="text1"/>
          <w:sz w:val="22"/>
          <w:szCs w:val="22"/>
        </w:rPr>
        <w:t xml:space="preserve"> a </w:t>
      </w:r>
      <w:r w:rsidR="00977C4F" w:rsidRPr="611CD828">
        <w:rPr>
          <w:color w:val="000000" w:themeColor="text1"/>
          <w:sz w:val="22"/>
          <w:szCs w:val="22"/>
        </w:rPr>
        <w:t>global policy project on fostering greater collaboration on security-development</w:t>
      </w:r>
      <w:r w:rsidRPr="611CD828">
        <w:rPr>
          <w:color w:val="000000" w:themeColor="text1"/>
          <w:sz w:val="22"/>
          <w:szCs w:val="22"/>
        </w:rPr>
        <w:t xml:space="preserve">; </w:t>
      </w:r>
      <w:r w:rsidR="00A2087C" w:rsidRPr="611CD828">
        <w:rPr>
          <w:color w:val="000000" w:themeColor="text1"/>
          <w:sz w:val="22"/>
          <w:szCs w:val="22"/>
        </w:rPr>
        <w:t xml:space="preserve">and </w:t>
      </w:r>
      <w:r w:rsidR="00790047" w:rsidRPr="611CD828">
        <w:rPr>
          <w:color w:val="000000" w:themeColor="text1"/>
          <w:sz w:val="22"/>
          <w:szCs w:val="22"/>
        </w:rPr>
        <w:t xml:space="preserve">6 fast track projects </w:t>
      </w:r>
      <w:r w:rsidR="00977C4F" w:rsidRPr="611CD828">
        <w:rPr>
          <w:color w:val="000000" w:themeColor="text1"/>
          <w:sz w:val="22"/>
          <w:szCs w:val="22"/>
        </w:rPr>
        <w:t xml:space="preserve">supporting risk analysis </w:t>
      </w:r>
      <w:r w:rsidR="00977C4F" w:rsidRPr="611CD828">
        <w:rPr>
          <w:color w:val="000000" w:themeColor="text1"/>
          <w:sz w:val="22"/>
          <w:szCs w:val="22"/>
          <w:u w:val="single"/>
        </w:rPr>
        <w:t xml:space="preserve">in </w:t>
      </w:r>
      <w:r w:rsidR="00A2087C" w:rsidRPr="611CD828">
        <w:rPr>
          <w:color w:val="000000" w:themeColor="text1"/>
          <w:sz w:val="22"/>
          <w:szCs w:val="22"/>
          <w:u w:val="single"/>
        </w:rPr>
        <w:t xml:space="preserve">Guinea, Lebanon, </w:t>
      </w:r>
      <w:r w:rsidR="00790047" w:rsidRPr="611CD828">
        <w:rPr>
          <w:color w:val="000000" w:themeColor="text1"/>
          <w:sz w:val="22"/>
          <w:szCs w:val="22"/>
          <w:u w:val="single"/>
        </w:rPr>
        <w:t>Mano River Union, Nepal, West Africa</w:t>
      </w:r>
      <w:r w:rsidR="00977C4F" w:rsidRPr="611CD828">
        <w:rPr>
          <w:color w:val="000000" w:themeColor="text1"/>
          <w:sz w:val="22"/>
          <w:szCs w:val="22"/>
          <w:u w:val="single"/>
        </w:rPr>
        <w:t>/ECOWAS</w:t>
      </w:r>
      <w:r w:rsidR="00A2087C" w:rsidRPr="611CD828">
        <w:rPr>
          <w:color w:val="000000" w:themeColor="text1"/>
          <w:sz w:val="22"/>
          <w:szCs w:val="22"/>
          <w:u w:val="single"/>
        </w:rPr>
        <w:t>,</w:t>
      </w:r>
      <w:r w:rsidR="00A2087C" w:rsidRPr="611CD828">
        <w:rPr>
          <w:color w:val="000000" w:themeColor="text1"/>
          <w:sz w:val="22"/>
          <w:szCs w:val="22"/>
        </w:rPr>
        <w:t xml:space="preserve"> </w:t>
      </w:r>
      <w:proofErr w:type="spellStart"/>
      <w:r w:rsidR="00A2087C" w:rsidRPr="611CD828">
        <w:rPr>
          <w:color w:val="000000" w:themeColor="text1"/>
          <w:sz w:val="22"/>
          <w:szCs w:val="22"/>
        </w:rPr>
        <w:t>iand</w:t>
      </w:r>
      <w:proofErr w:type="spellEnd"/>
      <w:r w:rsidRPr="611CD828">
        <w:rPr>
          <w:color w:val="000000" w:themeColor="text1"/>
          <w:sz w:val="22"/>
          <w:szCs w:val="22"/>
        </w:rPr>
        <w:t xml:space="preserve"> a</w:t>
      </w:r>
      <w:r w:rsidR="00977C4F" w:rsidRPr="611CD828">
        <w:rPr>
          <w:color w:val="000000" w:themeColor="text1"/>
          <w:sz w:val="22"/>
          <w:szCs w:val="22"/>
        </w:rPr>
        <w:t xml:space="preserve">n ongoing </w:t>
      </w:r>
      <w:r w:rsidR="00B054F9" w:rsidRPr="611CD828">
        <w:rPr>
          <w:color w:val="000000" w:themeColor="text1"/>
          <w:sz w:val="22"/>
          <w:szCs w:val="22"/>
        </w:rPr>
        <w:t xml:space="preserve">initiative to promote greater IFI literacy of RCs and their staff in collaboration with </w:t>
      </w:r>
      <w:r w:rsidR="00790047" w:rsidRPr="611CD828">
        <w:rPr>
          <w:color w:val="000000" w:themeColor="text1"/>
          <w:sz w:val="22"/>
          <w:szCs w:val="22"/>
        </w:rPr>
        <w:t>NYU</w:t>
      </w:r>
      <w:r w:rsidR="00B054F9" w:rsidRPr="611CD828">
        <w:rPr>
          <w:color w:val="000000" w:themeColor="text1"/>
          <w:sz w:val="22"/>
          <w:szCs w:val="22"/>
        </w:rPr>
        <w:t>’s</w:t>
      </w:r>
      <w:r w:rsidR="00790047" w:rsidRPr="611CD828">
        <w:rPr>
          <w:color w:val="000000" w:themeColor="text1"/>
          <w:sz w:val="22"/>
          <w:szCs w:val="22"/>
        </w:rPr>
        <w:t xml:space="preserve"> </w:t>
      </w:r>
      <w:proofErr w:type="spellStart"/>
      <w:r w:rsidR="00790047" w:rsidRPr="611CD828">
        <w:rPr>
          <w:color w:val="000000" w:themeColor="text1"/>
          <w:sz w:val="22"/>
          <w:szCs w:val="22"/>
        </w:rPr>
        <w:t>C</w:t>
      </w:r>
      <w:r w:rsidR="00B054F9" w:rsidRPr="611CD828">
        <w:rPr>
          <w:color w:val="000000" w:themeColor="text1"/>
          <w:sz w:val="22"/>
          <w:szCs w:val="22"/>
        </w:rPr>
        <w:t>enter</w:t>
      </w:r>
      <w:proofErr w:type="spellEnd"/>
      <w:r w:rsidR="00B054F9" w:rsidRPr="611CD828">
        <w:rPr>
          <w:color w:val="000000" w:themeColor="text1"/>
          <w:sz w:val="22"/>
          <w:szCs w:val="22"/>
        </w:rPr>
        <w:t xml:space="preserve"> for </w:t>
      </w:r>
      <w:r w:rsidR="00790047" w:rsidRPr="611CD828">
        <w:rPr>
          <w:color w:val="000000" w:themeColor="text1"/>
          <w:sz w:val="22"/>
          <w:szCs w:val="22"/>
        </w:rPr>
        <w:t>I</w:t>
      </w:r>
      <w:r w:rsidR="00B054F9" w:rsidRPr="611CD828">
        <w:rPr>
          <w:color w:val="000000" w:themeColor="text1"/>
          <w:sz w:val="22"/>
          <w:szCs w:val="22"/>
        </w:rPr>
        <w:t xml:space="preserve">nternational </w:t>
      </w:r>
      <w:r w:rsidR="00790047" w:rsidRPr="611CD828">
        <w:rPr>
          <w:color w:val="000000" w:themeColor="text1"/>
          <w:sz w:val="22"/>
          <w:szCs w:val="22"/>
        </w:rPr>
        <w:t>C</w:t>
      </w:r>
      <w:r w:rsidR="00B054F9" w:rsidRPr="611CD828">
        <w:rPr>
          <w:color w:val="000000" w:themeColor="text1"/>
          <w:sz w:val="22"/>
          <w:szCs w:val="22"/>
        </w:rPr>
        <w:t xml:space="preserve">ooperation and the </w:t>
      </w:r>
      <w:proofErr w:type="spellStart"/>
      <w:r w:rsidR="00B054F9" w:rsidRPr="611CD828">
        <w:rPr>
          <w:color w:val="000000" w:themeColor="text1"/>
          <w:sz w:val="22"/>
          <w:szCs w:val="22"/>
        </w:rPr>
        <w:t>Center</w:t>
      </w:r>
      <w:proofErr w:type="spellEnd"/>
      <w:r w:rsidR="00B054F9" w:rsidRPr="611CD828">
        <w:rPr>
          <w:color w:val="000000" w:themeColor="text1"/>
          <w:sz w:val="22"/>
          <w:szCs w:val="22"/>
        </w:rPr>
        <w:t xml:space="preserve"> for Global Development</w:t>
      </w:r>
      <w:r w:rsidRPr="611CD828">
        <w:rPr>
          <w:color w:val="000000" w:themeColor="text1"/>
          <w:sz w:val="22"/>
          <w:szCs w:val="22"/>
        </w:rPr>
        <w:t>.</w:t>
      </w:r>
    </w:p>
    <w:p w14:paraId="312418AA" w14:textId="77777777" w:rsidR="00790047" w:rsidRPr="00607DEF" w:rsidRDefault="00790047" w:rsidP="00607DEF">
      <w:pPr>
        <w:ind w:left="-810"/>
        <w:jc w:val="both"/>
        <w:rPr>
          <w:color w:val="000000" w:themeColor="text1"/>
          <w:sz w:val="22"/>
          <w:szCs w:val="22"/>
        </w:rPr>
      </w:pPr>
    </w:p>
    <w:p w14:paraId="7DE017B4" w14:textId="17376967" w:rsidR="00464346" w:rsidRPr="00607DEF" w:rsidRDefault="00B054F9" w:rsidP="00607DEF">
      <w:pPr>
        <w:ind w:left="-810"/>
        <w:jc w:val="both"/>
        <w:rPr>
          <w:b/>
          <w:bCs/>
          <w:color w:val="000000" w:themeColor="text1"/>
          <w:sz w:val="22"/>
          <w:szCs w:val="22"/>
        </w:rPr>
      </w:pPr>
      <w:r w:rsidRPr="611CD828">
        <w:rPr>
          <w:color w:val="000000" w:themeColor="text1"/>
          <w:sz w:val="22"/>
          <w:szCs w:val="22"/>
        </w:rPr>
        <w:t xml:space="preserve">A call for proposal was issued late 2021, which </w:t>
      </w:r>
      <w:proofErr w:type="spellStart"/>
      <w:r w:rsidRPr="611CD828">
        <w:rPr>
          <w:color w:val="000000" w:themeColor="text1"/>
          <w:sz w:val="22"/>
          <w:szCs w:val="22"/>
        </w:rPr>
        <w:t>laugmented</w:t>
      </w:r>
      <w:proofErr w:type="spellEnd"/>
      <w:r w:rsidRPr="611CD828">
        <w:rPr>
          <w:color w:val="000000" w:themeColor="text1"/>
          <w:sz w:val="22"/>
          <w:szCs w:val="22"/>
        </w:rPr>
        <w:t xml:space="preserve"> the Facility’s pipeline of projects. Out of expressions of interest received</w:t>
      </w:r>
      <w:r w:rsidR="00A2087C" w:rsidRPr="611CD828">
        <w:rPr>
          <w:color w:val="000000" w:themeColor="text1"/>
          <w:sz w:val="22"/>
          <w:szCs w:val="22"/>
        </w:rPr>
        <w:t>,</w:t>
      </w:r>
      <w:r w:rsidR="00A2087C" w:rsidRPr="611CD828">
        <w:rPr>
          <w:b/>
          <w:bCs/>
          <w:color w:val="000000" w:themeColor="text1"/>
          <w:sz w:val="22"/>
          <w:szCs w:val="22"/>
        </w:rPr>
        <w:t xml:space="preserve"> </w:t>
      </w:r>
      <w:r w:rsidR="00B7751B" w:rsidRPr="611CD828">
        <w:rPr>
          <w:color w:val="000000" w:themeColor="text1"/>
          <w:sz w:val="22"/>
          <w:szCs w:val="22"/>
        </w:rPr>
        <w:t>2</w:t>
      </w:r>
      <w:r w:rsidR="00B7751B" w:rsidRPr="611CD828">
        <w:rPr>
          <w:b/>
          <w:bCs/>
          <w:color w:val="000000" w:themeColor="text1"/>
          <w:sz w:val="22"/>
          <w:szCs w:val="22"/>
        </w:rPr>
        <w:t xml:space="preserve"> </w:t>
      </w:r>
      <w:r w:rsidR="00464346" w:rsidRPr="611CD828">
        <w:rPr>
          <w:color w:val="000000" w:themeColor="text1"/>
          <w:sz w:val="22"/>
          <w:szCs w:val="22"/>
        </w:rPr>
        <w:t xml:space="preserve">regular track </w:t>
      </w:r>
      <w:r w:rsidR="00C23445" w:rsidRPr="611CD828">
        <w:rPr>
          <w:color w:val="000000" w:themeColor="text1"/>
          <w:sz w:val="22"/>
          <w:szCs w:val="22"/>
        </w:rPr>
        <w:t xml:space="preserve">projects in </w:t>
      </w:r>
      <w:r w:rsidR="008B6863" w:rsidRPr="611CD828">
        <w:rPr>
          <w:color w:val="000000" w:themeColor="text1"/>
          <w:sz w:val="22"/>
          <w:szCs w:val="22"/>
        </w:rPr>
        <w:t xml:space="preserve">the </w:t>
      </w:r>
      <w:r w:rsidR="00C23445" w:rsidRPr="611CD828">
        <w:rPr>
          <w:color w:val="000000" w:themeColor="text1"/>
          <w:sz w:val="22"/>
          <w:szCs w:val="22"/>
          <w:u w:val="single"/>
        </w:rPr>
        <w:t>Gambia and Chad</w:t>
      </w:r>
      <w:r w:rsidR="00C23445" w:rsidRPr="611CD828">
        <w:rPr>
          <w:color w:val="000000" w:themeColor="text1"/>
          <w:sz w:val="22"/>
          <w:szCs w:val="22"/>
        </w:rPr>
        <w:t xml:space="preserve"> and 4 </w:t>
      </w:r>
      <w:r w:rsidR="00464346" w:rsidRPr="611CD828">
        <w:rPr>
          <w:color w:val="000000" w:themeColor="text1"/>
          <w:sz w:val="22"/>
          <w:szCs w:val="22"/>
        </w:rPr>
        <w:t xml:space="preserve">fast track </w:t>
      </w:r>
      <w:r w:rsidR="00C23445" w:rsidRPr="611CD828">
        <w:rPr>
          <w:color w:val="000000" w:themeColor="text1"/>
          <w:sz w:val="22"/>
          <w:szCs w:val="22"/>
        </w:rPr>
        <w:t xml:space="preserve">projects in </w:t>
      </w:r>
      <w:r w:rsidR="00C23445" w:rsidRPr="611CD828">
        <w:rPr>
          <w:color w:val="000000" w:themeColor="text1"/>
          <w:sz w:val="22"/>
          <w:szCs w:val="22"/>
          <w:u w:val="single"/>
        </w:rPr>
        <w:t>Libya, Kosovo, Chile, Equatorial Guinea</w:t>
      </w:r>
      <w:r w:rsidR="00A2087C" w:rsidRPr="611CD828">
        <w:rPr>
          <w:color w:val="000000" w:themeColor="text1"/>
          <w:sz w:val="22"/>
          <w:szCs w:val="22"/>
        </w:rPr>
        <w:t xml:space="preserve">, and </w:t>
      </w:r>
      <w:r w:rsidR="00A2087C" w:rsidRPr="611CD828">
        <w:rPr>
          <w:color w:val="000000" w:themeColor="text1"/>
          <w:sz w:val="22"/>
          <w:szCs w:val="22"/>
          <w:u w:val="single"/>
        </w:rPr>
        <w:t xml:space="preserve">Cote </w:t>
      </w:r>
      <w:r w:rsidRPr="611CD828">
        <w:rPr>
          <w:color w:val="000000" w:themeColor="text1"/>
          <w:sz w:val="22"/>
          <w:szCs w:val="22"/>
          <w:u w:val="single"/>
        </w:rPr>
        <w:t>d’Ivoire</w:t>
      </w:r>
      <w:r w:rsidRPr="611CD828">
        <w:rPr>
          <w:color w:val="000000" w:themeColor="text1"/>
          <w:sz w:val="22"/>
          <w:szCs w:val="22"/>
        </w:rPr>
        <w:t xml:space="preserve"> </w:t>
      </w:r>
      <w:r w:rsidR="00A2087C" w:rsidRPr="611CD828">
        <w:rPr>
          <w:color w:val="000000" w:themeColor="text1"/>
          <w:sz w:val="22"/>
          <w:szCs w:val="22"/>
        </w:rPr>
        <w:t xml:space="preserve">have </w:t>
      </w:r>
      <w:r w:rsidR="008B6863" w:rsidRPr="611CD828">
        <w:rPr>
          <w:color w:val="000000" w:themeColor="text1"/>
          <w:sz w:val="22"/>
          <w:szCs w:val="22"/>
        </w:rPr>
        <w:t>started</w:t>
      </w:r>
      <w:r w:rsidR="00A2087C" w:rsidRPr="611CD828">
        <w:rPr>
          <w:color w:val="000000" w:themeColor="text1"/>
          <w:sz w:val="22"/>
          <w:szCs w:val="22"/>
        </w:rPr>
        <w:t xml:space="preserve">, with </w:t>
      </w:r>
      <w:r w:rsidRPr="611CD828">
        <w:rPr>
          <w:color w:val="000000" w:themeColor="text1"/>
          <w:sz w:val="22"/>
          <w:szCs w:val="22"/>
        </w:rPr>
        <w:t xml:space="preserve">initiatives </w:t>
      </w:r>
      <w:r w:rsidR="00A2087C" w:rsidRPr="611CD828">
        <w:rPr>
          <w:color w:val="000000" w:themeColor="text1"/>
          <w:sz w:val="22"/>
          <w:szCs w:val="22"/>
        </w:rPr>
        <w:t>in</w:t>
      </w:r>
      <w:r w:rsidR="00464346" w:rsidRPr="611CD828">
        <w:rPr>
          <w:color w:val="000000" w:themeColor="text1"/>
          <w:sz w:val="22"/>
          <w:szCs w:val="22"/>
        </w:rPr>
        <w:t xml:space="preserve"> </w:t>
      </w:r>
      <w:r w:rsidR="00A2087C" w:rsidRPr="611CD828">
        <w:rPr>
          <w:color w:val="000000" w:themeColor="text1"/>
          <w:sz w:val="22"/>
          <w:szCs w:val="22"/>
        </w:rPr>
        <w:t xml:space="preserve">Benin, Mali, Mozambique, South Sudan, Sudan, and Tunisia, </w:t>
      </w:r>
      <w:r w:rsidRPr="611CD828">
        <w:rPr>
          <w:color w:val="000000" w:themeColor="text1"/>
          <w:sz w:val="22"/>
          <w:szCs w:val="22"/>
        </w:rPr>
        <w:t>under consultation/development</w:t>
      </w:r>
      <w:r w:rsidR="00A2087C" w:rsidRPr="611CD828">
        <w:rPr>
          <w:color w:val="000000" w:themeColor="text1"/>
          <w:sz w:val="22"/>
          <w:szCs w:val="22"/>
        </w:rPr>
        <w:t>.</w:t>
      </w:r>
      <w:r w:rsidR="00464346" w:rsidRPr="611CD828">
        <w:rPr>
          <w:color w:val="000000" w:themeColor="text1"/>
          <w:sz w:val="22"/>
          <w:szCs w:val="22"/>
        </w:rPr>
        <w:t xml:space="preserve"> </w:t>
      </w:r>
    </w:p>
    <w:p w14:paraId="47B38952" w14:textId="77777777" w:rsidR="00790047" w:rsidRPr="00607DEF" w:rsidRDefault="00790047" w:rsidP="00607DEF">
      <w:pPr>
        <w:jc w:val="both"/>
        <w:rPr>
          <w:b/>
          <w:bCs/>
          <w:color w:val="000000" w:themeColor="text1"/>
          <w:sz w:val="22"/>
          <w:szCs w:val="22"/>
        </w:rPr>
      </w:pPr>
    </w:p>
    <w:p w14:paraId="4DA7DF69" w14:textId="1533A22A" w:rsidR="00790047" w:rsidRPr="00607DEF" w:rsidRDefault="00951AC0" w:rsidP="00607DEF">
      <w:pPr>
        <w:ind w:left="-810"/>
        <w:jc w:val="both"/>
        <w:rPr>
          <w:b/>
          <w:bCs/>
          <w:color w:val="000000" w:themeColor="text1"/>
          <w:sz w:val="22"/>
          <w:szCs w:val="22"/>
        </w:rPr>
      </w:pPr>
      <w:r w:rsidRPr="00607DEF">
        <w:rPr>
          <w:color w:val="000000" w:themeColor="text1"/>
          <w:sz w:val="22"/>
          <w:szCs w:val="22"/>
        </w:rPr>
        <w:t xml:space="preserve">The Facility </w:t>
      </w:r>
      <w:r w:rsidR="008B6863">
        <w:rPr>
          <w:color w:val="000000" w:themeColor="text1"/>
          <w:sz w:val="22"/>
          <w:szCs w:val="22"/>
        </w:rPr>
        <w:t xml:space="preserve">has </w:t>
      </w:r>
      <w:r w:rsidR="00A2087C" w:rsidRPr="00607DEF">
        <w:rPr>
          <w:color w:val="000000" w:themeColor="text1"/>
          <w:sz w:val="22"/>
          <w:szCs w:val="22"/>
        </w:rPr>
        <w:t xml:space="preserve">also </w:t>
      </w:r>
      <w:r w:rsidR="005B68B5">
        <w:rPr>
          <w:color w:val="000000" w:themeColor="text1"/>
          <w:sz w:val="22"/>
          <w:szCs w:val="22"/>
        </w:rPr>
        <w:t xml:space="preserve">consolidated its </w:t>
      </w:r>
      <w:r w:rsidRPr="00607DEF">
        <w:rPr>
          <w:color w:val="000000" w:themeColor="text1"/>
          <w:sz w:val="22"/>
          <w:szCs w:val="22"/>
        </w:rPr>
        <w:t xml:space="preserve">monitoring, reporting, knowledge management and communication </w:t>
      </w:r>
      <w:r w:rsidR="005B68B5">
        <w:rPr>
          <w:color w:val="000000" w:themeColor="text1"/>
          <w:sz w:val="22"/>
          <w:szCs w:val="22"/>
        </w:rPr>
        <w:t xml:space="preserve">capacities through the recruitment of a programme management associate and knowledge management analyst. </w:t>
      </w:r>
    </w:p>
    <w:p w14:paraId="54C37BC9" w14:textId="77777777" w:rsidR="00161D02" w:rsidRPr="00D15CF1" w:rsidRDefault="00161D02" w:rsidP="001B352F">
      <w:pPr>
        <w:ind w:right="-154"/>
        <w:jc w:val="both"/>
        <w:rPr>
          <w:sz w:val="22"/>
          <w:szCs w:val="22"/>
        </w:rPr>
      </w:pPr>
    </w:p>
    <w:p w14:paraId="6A70A7D2" w14:textId="587603F4" w:rsidR="008C782A" w:rsidRPr="00627A1C" w:rsidRDefault="008364E5" w:rsidP="001B352F">
      <w:pPr>
        <w:ind w:left="-810" w:right="-154"/>
        <w:jc w:val="both"/>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6637FF99" w14:textId="7DF7ADC8" w:rsidR="00764773" w:rsidRPr="00627A1C" w:rsidRDefault="00790047" w:rsidP="001B352F">
      <w:pPr>
        <w:ind w:left="-810"/>
        <w:jc w:val="both"/>
      </w:pPr>
      <w:r>
        <w:t>N/A</w:t>
      </w:r>
    </w:p>
    <w:p w14:paraId="63D89FCC"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1B352F">
      <w:pPr>
        <w:ind w:left="-810"/>
        <w:jc w:val="both"/>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1B352F">
      <w:pPr>
        <w:ind w:left="-810"/>
        <w:jc w:val="both"/>
        <w:rPr>
          <w:i/>
        </w:rPr>
      </w:pPr>
    </w:p>
    <w:p w14:paraId="503A73CA" w14:textId="77777777" w:rsidR="008364E5" w:rsidRPr="00627A1C" w:rsidRDefault="008364E5" w:rsidP="001B352F">
      <w:pPr>
        <w:numPr>
          <w:ilvl w:val="0"/>
          <w:numId w:val="2"/>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1B352F">
      <w:pPr>
        <w:numPr>
          <w:ilvl w:val="0"/>
          <w:numId w:val="2"/>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1B352F">
      <w:pPr>
        <w:jc w:val="both"/>
        <w:rPr>
          <w:i/>
        </w:rPr>
      </w:pPr>
    </w:p>
    <w:p w14:paraId="00C1C1D9" w14:textId="77777777" w:rsidR="003D4CD7" w:rsidRPr="00627A1C" w:rsidRDefault="00BA5D85" w:rsidP="001B352F">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942A19C"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A92446">
        <w:rPr>
          <w:b/>
          <w:bCs/>
          <w:sz w:val="23"/>
          <w:szCs w:val="23"/>
        </w:rPr>
        <w:t>The strategic partnership between the UN and World Bank advances resources towards collective outcomes in crisis-affected situations</w:t>
      </w:r>
    </w:p>
    <w:p w14:paraId="41A3C253" w14:textId="77777777" w:rsidR="00D3351A" w:rsidRPr="00627A1C" w:rsidRDefault="00D3351A" w:rsidP="00323ABC">
      <w:pPr>
        <w:ind w:left="-720"/>
        <w:rPr>
          <w:b/>
        </w:rPr>
      </w:pPr>
    </w:p>
    <w:p w14:paraId="4262CE1B" w14:textId="62C3D0C5"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A92446">
        <w:rPr>
          <w:b/>
        </w:rPr>
        <w:fldChar w:fldCharType="begin">
          <w:ffData>
            <w:name w:val="Dropdown2"/>
            <w:enabled w:val="0"/>
            <w:calcOnExit w:val="0"/>
            <w:ddList>
              <w:listEntry w:val="on track"/>
            </w:ddList>
          </w:ffData>
        </w:fldChar>
      </w:r>
      <w:bookmarkStart w:id="8" w:name="Dropdown2"/>
      <w:r w:rsidR="00A92446">
        <w:rPr>
          <w:b/>
        </w:rPr>
        <w:instrText xml:space="preserve"> FORMDROPDOWN </w:instrText>
      </w:r>
      <w:r w:rsidR="002510E4">
        <w:rPr>
          <w:b/>
        </w:rPr>
      </w:r>
      <w:r w:rsidR="002510E4">
        <w:rPr>
          <w:b/>
        </w:rPr>
        <w:fldChar w:fldCharType="separate"/>
      </w:r>
      <w:r w:rsidR="00A92446">
        <w:rPr>
          <w:b/>
        </w:rPr>
        <w:fldChar w:fldCharType="end"/>
      </w:r>
      <w:bookmarkEnd w:id="8"/>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3C51C1EC" w14:textId="77777777" w:rsidR="00790047" w:rsidRDefault="00790047" w:rsidP="00D15CF1">
      <w:pPr>
        <w:jc w:val="both"/>
        <w:rPr>
          <w:rFonts w:eastAsiaTheme="minorHAnsi"/>
          <w:color w:val="000000" w:themeColor="text1"/>
          <w:sz w:val="22"/>
          <w:szCs w:val="22"/>
        </w:rPr>
      </w:pPr>
    </w:p>
    <w:p w14:paraId="4C81320F" w14:textId="495F7334" w:rsidR="00C23445" w:rsidRDefault="00790047" w:rsidP="00B001D7">
      <w:pPr>
        <w:ind w:left="-720"/>
        <w:jc w:val="both"/>
        <w:rPr>
          <w:rFonts w:eastAsiaTheme="minorHAnsi"/>
          <w:color w:val="000000" w:themeColor="text1"/>
          <w:sz w:val="22"/>
          <w:szCs w:val="22"/>
        </w:rPr>
      </w:pPr>
      <w:r w:rsidRPr="00223FD5">
        <w:rPr>
          <w:rFonts w:eastAsiaTheme="minorHAnsi"/>
          <w:color w:val="000000" w:themeColor="text1"/>
          <w:sz w:val="22"/>
          <w:szCs w:val="22"/>
        </w:rPr>
        <w:t xml:space="preserve">Through its two funding streams, the Facility </w:t>
      </w:r>
      <w:r w:rsidR="0077526D">
        <w:rPr>
          <w:rFonts w:eastAsiaTheme="minorHAnsi"/>
          <w:color w:val="000000" w:themeColor="text1"/>
          <w:sz w:val="22"/>
          <w:szCs w:val="22"/>
        </w:rPr>
        <w:t>is</w:t>
      </w:r>
      <w:r w:rsidRPr="00223FD5">
        <w:rPr>
          <w:rFonts w:eastAsiaTheme="minorHAnsi"/>
          <w:color w:val="000000" w:themeColor="text1"/>
          <w:sz w:val="22"/>
          <w:szCs w:val="22"/>
        </w:rPr>
        <w:t xml:space="preserve"> supporting </w:t>
      </w:r>
      <w:r w:rsidR="005B68B5">
        <w:rPr>
          <w:rFonts w:eastAsiaTheme="minorHAnsi"/>
          <w:color w:val="000000" w:themeColor="text1"/>
          <w:sz w:val="22"/>
          <w:szCs w:val="22"/>
        </w:rPr>
        <w:t xml:space="preserve">greater strategic and operational alignment between the </w:t>
      </w:r>
      <w:r w:rsidR="00B7751B">
        <w:rPr>
          <w:rFonts w:eastAsiaTheme="minorHAnsi"/>
          <w:color w:val="000000" w:themeColor="text1"/>
          <w:sz w:val="22"/>
          <w:szCs w:val="22"/>
        </w:rPr>
        <w:t>UN</w:t>
      </w:r>
      <w:r w:rsidR="005B68B5">
        <w:rPr>
          <w:rFonts w:eastAsiaTheme="minorHAnsi"/>
          <w:color w:val="000000" w:themeColor="text1"/>
          <w:sz w:val="22"/>
          <w:szCs w:val="22"/>
        </w:rPr>
        <w:t xml:space="preserve"> and </w:t>
      </w:r>
      <w:r w:rsidR="00B7751B">
        <w:rPr>
          <w:rFonts w:eastAsiaTheme="minorHAnsi"/>
          <w:color w:val="000000" w:themeColor="text1"/>
          <w:sz w:val="22"/>
          <w:szCs w:val="22"/>
        </w:rPr>
        <w:t xml:space="preserve">WB, </w:t>
      </w:r>
      <w:r w:rsidR="00163B43">
        <w:rPr>
          <w:rFonts w:eastAsiaTheme="minorHAnsi"/>
          <w:color w:val="000000" w:themeColor="text1"/>
          <w:sz w:val="22"/>
          <w:szCs w:val="22"/>
        </w:rPr>
        <w:t>as well as</w:t>
      </w:r>
      <w:r w:rsidR="00B7751B">
        <w:rPr>
          <w:rFonts w:eastAsiaTheme="minorHAnsi"/>
          <w:color w:val="000000" w:themeColor="text1"/>
          <w:sz w:val="22"/>
          <w:szCs w:val="22"/>
        </w:rPr>
        <w:t xml:space="preserve"> </w:t>
      </w:r>
      <w:r w:rsidR="005B68B5">
        <w:rPr>
          <w:rFonts w:eastAsiaTheme="minorHAnsi"/>
          <w:color w:val="000000" w:themeColor="text1"/>
          <w:sz w:val="22"/>
          <w:szCs w:val="22"/>
        </w:rPr>
        <w:t xml:space="preserve">initiatives that foster collaboration </w:t>
      </w:r>
      <w:r w:rsidR="00B7751B">
        <w:rPr>
          <w:rFonts w:eastAsiaTheme="minorHAnsi"/>
          <w:color w:val="000000" w:themeColor="text1"/>
          <w:sz w:val="22"/>
          <w:szCs w:val="22"/>
        </w:rPr>
        <w:t xml:space="preserve">with </w:t>
      </w:r>
      <w:r w:rsidR="005B68B5">
        <w:rPr>
          <w:rFonts w:eastAsiaTheme="minorHAnsi"/>
          <w:color w:val="000000" w:themeColor="text1"/>
          <w:sz w:val="22"/>
          <w:szCs w:val="22"/>
        </w:rPr>
        <w:t xml:space="preserve">the </w:t>
      </w:r>
      <w:r w:rsidR="00073A84">
        <w:rPr>
          <w:rFonts w:eastAsiaTheme="minorHAnsi"/>
          <w:color w:val="000000" w:themeColor="text1"/>
          <w:sz w:val="22"/>
          <w:szCs w:val="22"/>
        </w:rPr>
        <w:t>AfDB</w:t>
      </w:r>
      <w:r w:rsidR="00B7751B">
        <w:rPr>
          <w:rFonts w:eastAsiaTheme="minorHAnsi"/>
          <w:color w:val="000000" w:themeColor="text1"/>
          <w:sz w:val="22"/>
          <w:szCs w:val="22"/>
        </w:rPr>
        <w:t xml:space="preserve"> and IMF</w:t>
      </w:r>
      <w:r w:rsidR="00163B43">
        <w:rPr>
          <w:rFonts w:eastAsiaTheme="minorHAnsi"/>
          <w:color w:val="000000" w:themeColor="text1"/>
          <w:sz w:val="22"/>
          <w:szCs w:val="22"/>
        </w:rPr>
        <w:t xml:space="preserve"> </w:t>
      </w:r>
      <w:r w:rsidR="000B65EC">
        <w:rPr>
          <w:rFonts w:eastAsiaTheme="minorHAnsi"/>
          <w:color w:val="000000" w:themeColor="text1"/>
          <w:sz w:val="22"/>
          <w:szCs w:val="22"/>
        </w:rPr>
        <w:t>i</w:t>
      </w:r>
      <w:r w:rsidR="00163B43">
        <w:rPr>
          <w:rFonts w:eastAsiaTheme="minorHAnsi"/>
          <w:color w:val="000000" w:themeColor="text1"/>
          <w:sz w:val="22"/>
          <w:szCs w:val="22"/>
        </w:rPr>
        <w:t>n priority settings.</w:t>
      </w:r>
    </w:p>
    <w:p w14:paraId="12A19886" w14:textId="0F04DC80" w:rsidR="0037494F" w:rsidRDefault="0037494F" w:rsidP="00D15CF1">
      <w:pPr>
        <w:jc w:val="both"/>
        <w:rPr>
          <w:rFonts w:eastAsiaTheme="minorHAnsi"/>
          <w:b/>
          <w:bCs/>
          <w:color w:val="000000" w:themeColor="text1"/>
          <w:sz w:val="22"/>
          <w:szCs w:val="22"/>
          <w:lang w:val="en-US"/>
        </w:rPr>
      </w:pPr>
    </w:p>
    <w:p w14:paraId="7A7DFE02" w14:textId="082DBAC1" w:rsidR="00CD7402" w:rsidRPr="00D15CF1" w:rsidRDefault="009C3242" w:rsidP="00956FFD">
      <w:pPr>
        <w:ind w:left="-720"/>
        <w:jc w:val="both"/>
        <w:rPr>
          <w:rFonts w:eastAsiaTheme="minorHAnsi"/>
          <w:color w:val="000000" w:themeColor="text1"/>
          <w:sz w:val="22"/>
          <w:szCs w:val="22"/>
        </w:rPr>
      </w:pPr>
      <w:r w:rsidRPr="00E40A65">
        <w:rPr>
          <w:rFonts w:eastAsiaTheme="minorHAnsi"/>
          <w:color w:val="000000" w:themeColor="text1"/>
          <w:sz w:val="22"/>
          <w:szCs w:val="22"/>
          <w:u w:val="single"/>
          <w:lang w:val="en-US"/>
        </w:rPr>
        <w:t>Liaison and coordination:</w:t>
      </w:r>
      <w:r>
        <w:rPr>
          <w:rFonts w:eastAsiaTheme="minorHAnsi"/>
          <w:color w:val="000000" w:themeColor="text1"/>
          <w:sz w:val="22"/>
          <w:szCs w:val="22"/>
          <w:lang w:val="en-US"/>
        </w:rPr>
        <w:t xml:space="preserve"> </w:t>
      </w:r>
      <w:r w:rsidR="0037494F" w:rsidRPr="00D15CF1">
        <w:rPr>
          <w:rFonts w:eastAsiaTheme="minorHAnsi"/>
          <w:color w:val="000000" w:themeColor="text1"/>
          <w:sz w:val="22"/>
          <w:szCs w:val="22"/>
          <w:lang w:val="en-US"/>
        </w:rPr>
        <w:t>The Facility is deploy</w:t>
      </w:r>
      <w:r w:rsidR="00DD339F">
        <w:rPr>
          <w:rFonts w:eastAsiaTheme="minorHAnsi"/>
          <w:color w:val="000000" w:themeColor="text1"/>
          <w:sz w:val="22"/>
          <w:szCs w:val="22"/>
          <w:lang w:val="en-US"/>
        </w:rPr>
        <w:t>ing</w:t>
      </w:r>
      <w:r w:rsidR="0037494F" w:rsidRPr="00D15CF1">
        <w:rPr>
          <w:rFonts w:eastAsiaTheme="minorHAnsi"/>
          <w:color w:val="000000" w:themeColor="text1"/>
          <w:sz w:val="22"/>
          <w:szCs w:val="22"/>
          <w:lang w:val="en-US"/>
        </w:rPr>
        <w:t xml:space="preserve"> </w:t>
      </w:r>
      <w:r w:rsidR="00956FFD">
        <w:rPr>
          <w:rFonts w:eastAsiaTheme="minorHAnsi"/>
          <w:color w:val="000000" w:themeColor="text1"/>
          <w:sz w:val="22"/>
          <w:szCs w:val="22"/>
          <w:lang w:val="en-US"/>
        </w:rPr>
        <w:t xml:space="preserve">“regular track” </w:t>
      </w:r>
      <w:r w:rsidR="0037494F" w:rsidRPr="00D15CF1">
        <w:rPr>
          <w:rFonts w:eastAsiaTheme="minorHAnsi"/>
          <w:color w:val="000000" w:themeColor="text1"/>
          <w:sz w:val="22"/>
          <w:szCs w:val="22"/>
          <w:lang w:val="en-US"/>
        </w:rPr>
        <w:t xml:space="preserve">liaison and coordination capacities to </w:t>
      </w:r>
      <w:r w:rsidR="00506098">
        <w:rPr>
          <w:rFonts w:eastAsiaTheme="minorHAnsi"/>
          <w:color w:val="000000" w:themeColor="text1"/>
          <w:sz w:val="22"/>
          <w:szCs w:val="22"/>
          <w:lang w:val="en-US"/>
        </w:rPr>
        <w:t xml:space="preserve">promote coherence, such as increasing institutional capacities to integrate humanitarian-development-peacebuilding responses in local </w:t>
      </w:r>
      <w:r w:rsidR="0037494F" w:rsidRPr="0037494F">
        <w:rPr>
          <w:rFonts w:eastAsiaTheme="minorHAnsi"/>
          <w:color w:val="000000" w:themeColor="text1"/>
          <w:sz w:val="22"/>
          <w:szCs w:val="22"/>
        </w:rPr>
        <w:t xml:space="preserve"> </w:t>
      </w:r>
      <w:r w:rsidR="00506098">
        <w:rPr>
          <w:rFonts w:eastAsiaTheme="minorHAnsi"/>
          <w:color w:val="000000" w:themeColor="text1"/>
          <w:sz w:val="22"/>
          <w:szCs w:val="22"/>
        </w:rPr>
        <w:t>and national planning processes (</w:t>
      </w:r>
      <w:r w:rsidR="00506098" w:rsidRPr="00DD4E1F">
        <w:rPr>
          <w:rFonts w:eastAsiaTheme="minorHAnsi"/>
          <w:b/>
          <w:bCs/>
          <w:color w:val="000000" w:themeColor="text1"/>
          <w:sz w:val="22"/>
          <w:szCs w:val="22"/>
        </w:rPr>
        <w:t>Cameroon</w:t>
      </w:r>
      <w:r w:rsidR="00506098">
        <w:rPr>
          <w:rFonts w:eastAsiaTheme="minorHAnsi"/>
          <w:color w:val="000000" w:themeColor="text1"/>
          <w:sz w:val="22"/>
          <w:szCs w:val="22"/>
        </w:rPr>
        <w:t xml:space="preserve"> and </w:t>
      </w:r>
      <w:r w:rsidR="00506098" w:rsidRPr="00DD4E1F">
        <w:rPr>
          <w:rFonts w:eastAsiaTheme="minorHAnsi"/>
          <w:b/>
          <w:bCs/>
          <w:color w:val="000000" w:themeColor="text1"/>
          <w:sz w:val="22"/>
          <w:szCs w:val="22"/>
        </w:rPr>
        <w:t>Chad</w:t>
      </w:r>
      <w:r w:rsidR="00506098">
        <w:rPr>
          <w:rFonts w:eastAsiaTheme="minorHAnsi"/>
          <w:color w:val="000000" w:themeColor="text1"/>
          <w:sz w:val="22"/>
          <w:szCs w:val="22"/>
        </w:rPr>
        <w:t>), foster</w:t>
      </w:r>
      <w:r w:rsidR="00D76340">
        <w:rPr>
          <w:rFonts w:eastAsiaTheme="minorHAnsi"/>
          <w:color w:val="000000" w:themeColor="text1"/>
          <w:sz w:val="22"/>
          <w:szCs w:val="22"/>
        </w:rPr>
        <w:t>ing</w:t>
      </w:r>
      <w:r w:rsidR="00506098">
        <w:rPr>
          <w:rFonts w:eastAsiaTheme="minorHAnsi"/>
          <w:color w:val="000000" w:themeColor="text1"/>
          <w:sz w:val="22"/>
          <w:szCs w:val="22"/>
        </w:rPr>
        <w:t xml:space="preserve"> synergies in the context of a mission drawdown (</w:t>
      </w:r>
      <w:r w:rsidR="00506098" w:rsidRPr="00DD4E1F">
        <w:rPr>
          <w:rFonts w:eastAsiaTheme="minorHAnsi"/>
          <w:b/>
          <w:bCs/>
          <w:color w:val="000000" w:themeColor="text1"/>
          <w:sz w:val="22"/>
          <w:szCs w:val="22"/>
        </w:rPr>
        <w:t>DRC</w:t>
      </w:r>
      <w:r w:rsidR="00506098">
        <w:rPr>
          <w:rFonts w:eastAsiaTheme="minorHAnsi"/>
          <w:color w:val="000000" w:themeColor="text1"/>
          <w:sz w:val="22"/>
          <w:szCs w:val="22"/>
        </w:rPr>
        <w:t xml:space="preserve">), advancing </w:t>
      </w:r>
      <w:r w:rsidR="00956FFD">
        <w:rPr>
          <w:rFonts w:eastAsiaTheme="minorHAnsi"/>
          <w:color w:val="000000" w:themeColor="text1"/>
          <w:sz w:val="22"/>
          <w:szCs w:val="22"/>
        </w:rPr>
        <w:t xml:space="preserve">the monitoring and achievement of political </w:t>
      </w:r>
      <w:r w:rsidR="00506098">
        <w:rPr>
          <w:rFonts w:eastAsiaTheme="minorHAnsi"/>
          <w:color w:val="000000" w:themeColor="text1"/>
          <w:sz w:val="22"/>
          <w:szCs w:val="22"/>
        </w:rPr>
        <w:t xml:space="preserve">transition </w:t>
      </w:r>
      <w:r w:rsidR="00956FFD">
        <w:rPr>
          <w:rFonts w:eastAsiaTheme="minorHAnsi"/>
          <w:color w:val="000000" w:themeColor="text1"/>
          <w:sz w:val="22"/>
          <w:szCs w:val="22"/>
        </w:rPr>
        <w:t>benchmarks (</w:t>
      </w:r>
      <w:r w:rsidR="00956FFD" w:rsidRPr="00DD4E1F">
        <w:rPr>
          <w:rFonts w:eastAsiaTheme="minorHAnsi"/>
          <w:b/>
          <w:bCs/>
          <w:color w:val="000000" w:themeColor="text1"/>
          <w:sz w:val="22"/>
          <w:szCs w:val="22"/>
        </w:rPr>
        <w:t>the Gambia</w:t>
      </w:r>
      <w:r w:rsidR="00956FFD">
        <w:rPr>
          <w:rFonts w:eastAsiaTheme="minorHAnsi"/>
          <w:color w:val="000000" w:themeColor="text1"/>
          <w:sz w:val="22"/>
          <w:szCs w:val="22"/>
        </w:rPr>
        <w:t xml:space="preserve">) and enhancing </w:t>
      </w:r>
      <w:r w:rsidR="00583C88">
        <w:rPr>
          <w:rFonts w:eastAsiaTheme="minorHAnsi"/>
          <w:color w:val="000000" w:themeColor="text1"/>
          <w:sz w:val="22"/>
          <w:szCs w:val="22"/>
        </w:rPr>
        <w:t>the dialogue between the UN and IFIs through</w:t>
      </w:r>
      <w:r w:rsidR="00956FFD">
        <w:rPr>
          <w:rFonts w:eastAsiaTheme="minorHAnsi"/>
          <w:color w:val="000000" w:themeColor="text1"/>
          <w:sz w:val="22"/>
          <w:szCs w:val="22"/>
        </w:rPr>
        <w:t xml:space="preserve"> shared capacities (</w:t>
      </w:r>
      <w:r w:rsidR="00956FFD" w:rsidRPr="00DD4E1F">
        <w:rPr>
          <w:rFonts w:eastAsiaTheme="minorHAnsi"/>
          <w:b/>
          <w:bCs/>
          <w:color w:val="000000" w:themeColor="text1"/>
          <w:sz w:val="22"/>
          <w:szCs w:val="22"/>
        </w:rPr>
        <w:t>Somalia</w:t>
      </w:r>
      <w:r w:rsidR="00956FFD">
        <w:rPr>
          <w:rFonts w:eastAsiaTheme="minorHAnsi"/>
          <w:color w:val="000000" w:themeColor="text1"/>
          <w:sz w:val="22"/>
          <w:szCs w:val="22"/>
        </w:rPr>
        <w:t xml:space="preserve">). </w:t>
      </w:r>
    </w:p>
    <w:p w14:paraId="1F4E81F4" w14:textId="77777777" w:rsidR="009B06F0" w:rsidRPr="00E40A65" w:rsidRDefault="009B06F0" w:rsidP="00D15CF1">
      <w:pPr>
        <w:jc w:val="both"/>
        <w:rPr>
          <w:rFonts w:eastAsiaTheme="minorHAnsi"/>
          <w:b/>
          <w:bCs/>
          <w:color w:val="000000" w:themeColor="text1"/>
          <w:sz w:val="22"/>
          <w:szCs w:val="22"/>
        </w:rPr>
      </w:pPr>
    </w:p>
    <w:p w14:paraId="553F9DE3" w14:textId="7F8C6B4A" w:rsidR="00AE49EE" w:rsidRDefault="0040546A" w:rsidP="007E166D">
      <w:pPr>
        <w:ind w:left="-720"/>
        <w:jc w:val="both"/>
        <w:rPr>
          <w:color w:val="000000" w:themeColor="text1"/>
          <w:sz w:val="22"/>
          <w:szCs w:val="22"/>
        </w:rPr>
      </w:pPr>
      <w:r w:rsidRPr="00E40A65">
        <w:rPr>
          <w:color w:val="000000" w:themeColor="text1"/>
          <w:sz w:val="22"/>
          <w:szCs w:val="22"/>
          <w:u w:val="single"/>
        </w:rPr>
        <w:t>Support to Recovery and Peacebuilding Assessments (RPBAs):</w:t>
      </w:r>
      <w:r>
        <w:rPr>
          <w:color w:val="000000" w:themeColor="text1"/>
          <w:sz w:val="22"/>
          <w:szCs w:val="22"/>
        </w:rPr>
        <w:t xml:space="preserve"> </w:t>
      </w:r>
      <w:r w:rsidR="00482D9D">
        <w:rPr>
          <w:color w:val="000000" w:themeColor="text1"/>
          <w:sz w:val="22"/>
          <w:szCs w:val="22"/>
        </w:rPr>
        <w:t>T</w:t>
      </w:r>
      <w:r w:rsidR="002536A2" w:rsidRPr="00B001D7">
        <w:rPr>
          <w:color w:val="000000" w:themeColor="text1"/>
          <w:sz w:val="22"/>
          <w:szCs w:val="22"/>
        </w:rPr>
        <w:t xml:space="preserve">he Facility </w:t>
      </w:r>
      <w:r w:rsidR="00AE49EE">
        <w:rPr>
          <w:color w:val="000000" w:themeColor="text1"/>
          <w:sz w:val="22"/>
          <w:szCs w:val="22"/>
        </w:rPr>
        <w:t>is supporting the development and implementation of</w:t>
      </w:r>
      <w:r w:rsidR="002536A2" w:rsidRPr="00B001D7">
        <w:rPr>
          <w:color w:val="000000" w:themeColor="text1"/>
          <w:sz w:val="22"/>
          <w:szCs w:val="22"/>
        </w:rPr>
        <w:t xml:space="preserve"> RPBAs in </w:t>
      </w:r>
      <w:r w:rsidR="009B06F0" w:rsidRPr="00D15CF1">
        <w:rPr>
          <w:b/>
          <w:bCs/>
          <w:color w:val="000000" w:themeColor="text1"/>
          <w:sz w:val="22"/>
          <w:szCs w:val="22"/>
        </w:rPr>
        <w:t>Burkina Faso</w:t>
      </w:r>
      <w:r w:rsidR="009B06F0" w:rsidRPr="00B31D54">
        <w:rPr>
          <w:color w:val="000000" w:themeColor="text1"/>
          <w:sz w:val="22"/>
          <w:szCs w:val="22"/>
        </w:rPr>
        <w:t xml:space="preserve">, </w:t>
      </w:r>
      <w:r w:rsidR="00926CDC" w:rsidRPr="00D15CF1">
        <w:rPr>
          <w:b/>
          <w:bCs/>
          <w:color w:val="000000" w:themeColor="text1"/>
          <w:sz w:val="22"/>
          <w:szCs w:val="22"/>
        </w:rPr>
        <w:t>Libya</w:t>
      </w:r>
      <w:r w:rsidR="009B6461" w:rsidRPr="00D15CF1">
        <w:rPr>
          <w:b/>
          <w:bCs/>
          <w:color w:val="000000" w:themeColor="text1"/>
          <w:sz w:val="22"/>
          <w:szCs w:val="22"/>
        </w:rPr>
        <w:t>,</w:t>
      </w:r>
      <w:r w:rsidR="009B6461" w:rsidRPr="00B31D54">
        <w:rPr>
          <w:color w:val="000000" w:themeColor="text1"/>
          <w:sz w:val="22"/>
          <w:szCs w:val="22"/>
        </w:rPr>
        <w:t xml:space="preserve"> </w:t>
      </w:r>
      <w:r w:rsidR="00DD4E1F">
        <w:rPr>
          <w:color w:val="000000" w:themeColor="text1"/>
          <w:sz w:val="22"/>
          <w:szCs w:val="22"/>
        </w:rPr>
        <w:t>with</w:t>
      </w:r>
      <w:r w:rsidR="002536A2" w:rsidRPr="00B31D54">
        <w:rPr>
          <w:color w:val="000000" w:themeColor="text1"/>
          <w:sz w:val="22"/>
          <w:szCs w:val="22"/>
        </w:rPr>
        <w:t xml:space="preserve"> </w:t>
      </w:r>
      <w:r w:rsidR="002536A2" w:rsidRPr="00D15CF1">
        <w:rPr>
          <w:color w:val="000000" w:themeColor="text1"/>
          <w:sz w:val="22"/>
          <w:szCs w:val="22"/>
        </w:rPr>
        <w:t xml:space="preserve">liaison and </w:t>
      </w:r>
      <w:r w:rsidR="00AE49EE" w:rsidRPr="00B31D54">
        <w:rPr>
          <w:color w:val="000000" w:themeColor="text1"/>
          <w:sz w:val="22"/>
          <w:szCs w:val="22"/>
        </w:rPr>
        <w:t>t</w:t>
      </w:r>
      <w:r w:rsidR="00AE49EE" w:rsidRPr="00D15CF1">
        <w:rPr>
          <w:color w:val="000000" w:themeColor="text1"/>
          <w:sz w:val="22"/>
          <w:szCs w:val="22"/>
        </w:rPr>
        <w:t xml:space="preserve">echnical </w:t>
      </w:r>
      <w:r w:rsidR="002536A2" w:rsidRPr="00D15CF1">
        <w:rPr>
          <w:color w:val="000000" w:themeColor="text1"/>
          <w:sz w:val="22"/>
          <w:szCs w:val="22"/>
        </w:rPr>
        <w:t xml:space="preserve">backstopping </w:t>
      </w:r>
      <w:r w:rsidR="00DD4E1F">
        <w:rPr>
          <w:color w:val="000000" w:themeColor="text1"/>
          <w:sz w:val="22"/>
          <w:szCs w:val="22"/>
        </w:rPr>
        <w:t xml:space="preserve">provided </w:t>
      </w:r>
      <w:r w:rsidR="00AE49EE">
        <w:rPr>
          <w:color w:val="000000" w:themeColor="text1"/>
          <w:sz w:val="22"/>
          <w:szCs w:val="22"/>
        </w:rPr>
        <w:t>for</w:t>
      </w:r>
      <w:r w:rsidR="002536A2" w:rsidRPr="00D15CF1">
        <w:rPr>
          <w:color w:val="000000" w:themeColor="text1"/>
          <w:sz w:val="22"/>
          <w:szCs w:val="22"/>
        </w:rPr>
        <w:t xml:space="preserve"> </w:t>
      </w:r>
      <w:r w:rsidR="002536A2" w:rsidRPr="00D15CF1">
        <w:rPr>
          <w:b/>
          <w:bCs/>
          <w:color w:val="000000" w:themeColor="text1"/>
          <w:sz w:val="22"/>
          <w:szCs w:val="22"/>
        </w:rPr>
        <w:t>Mozambique</w:t>
      </w:r>
      <w:r w:rsidR="002536A2" w:rsidRPr="00D15CF1">
        <w:rPr>
          <w:color w:val="000000" w:themeColor="text1"/>
          <w:sz w:val="22"/>
          <w:szCs w:val="22"/>
        </w:rPr>
        <w:t>.</w:t>
      </w:r>
      <w:r w:rsidR="009B6461" w:rsidRPr="00D15CF1">
        <w:rPr>
          <w:color w:val="000000" w:themeColor="text1"/>
          <w:sz w:val="22"/>
          <w:szCs w:val="22"/>
        </w:rPr>
        <w:t xml:space="preserve"> </w:t>
      </w:r>
    </w:p>
    <w:p w14:paraId="77E5F8E7" w14:textId="77777777" w:rsidR="00AE49EE" w:rsidRDefault="00AE49EE" w:rsidP="007E166D">
      <w:pPr>
        <w:ind w:left="-720"/>
        <w:jc w:val="both"/>
        <w:rPr>
          <w:color w:val="000000" w:themeColor="text1"/>
          <w:sz w:val="22"/>
          <w:szCs w:val="22"/>
        </w:rPr>
      </w:pPr>
    </w:p>
    <w:p w14:paraId="685E1E59" w14:textId="1BBE5615" w:rsidR="004C39F8" w:rsidRDefault="00AE49EE" w:rsidP="007E166D">
      <w:pPr>
        <w:ind w:left="-720"/>
        <w:jc w:val="both"/>
        <w:rPr>
          <w:color w:val="000000" w:themeColor="text1"/>
          <w:sz w:val="22"/>
          <w:szCs w:val="22"/>
        </w:rPr>
      </w:pPr>
      <w:r w:rsidRPr="00E40A65">
        <w:rPr>
          <w:color w:val="000000" w:themeColor="text1"/>
          <w:sz w:val="22"/>
          <w:szCs w:val="22"/>
          <w:u w:val="single"/>
        </w:rPr>
        <w:t xml:space="preserve">Aligning </w:t>
      </w:r>
      <w:r w:rsidR="006E1AB5">
        <w:rPr>
          <w:color w:val="000000" w:themeColor="text1"/>
          <w:sz w:val="22"/>
          <w:szCs w:val="22"/>
          <w:u w:val="single"/>
        </w:rPr>
        <w:t>r</w:t>
      </w:r>
      <w:r w:rsidRPr="00E40A65">
        <w:rPr>
          <w:color w:val="000000" w:themeColor="text1"/>
          <w:sz w:val="22"/>
          <w:szCs w:val="22"/>
          <w:u w:val="single"/>
        </w:rPr>
        <w:t xml:space="preserve">isk </w:t>
      </w:r>
      <w:r w:rsidR="006E1AB5">
        <w:rPr>
          <w:color w:val="000000" w:themeColor="text1"/>
          <w:sz w:val="22"/>
          <w:szCs w:val="22"/>
          <w:u w:val="single"/>
        </w:rPr>
        <w:t>a</w:t>
      </w:r>
      <w:r w:rsidRPr="00E40A65">
        <w:rPr>
          <w:color w:val="000000" w:themeColor="text1"/>
          <w:sz w:val="22"/>
          <w:szCs w:val="22"/>
          <w:u w:val="single"/>
        </w:rPr>
        <w:t>nalyses:</w:t>
      </w:r>
      <w:r>
        <w:rPr>
          <w:color w:val="000000" w:themeColor="text1"/>
          <w:sz w:val="22"/>
          <w:szCs w:val="22"/>
        </w:rPr>
        <w:t xml:space="preserve"> </w:t>
      </w:r>
      <w:r w:rsidR="00B43698">
        <w:rPr>
          <w:color w:val="000000" w:themeColor="text1"/>
          <w:sz w:val="22"/>
          <w:szCs w:val="22"/>
        </w:rPr>
        <w:t>The</w:t>
      </w:r>
      <w:r w:rsidR="00B001D7" w:rsidRPr="00D15CF1">
        <w:rPr>
          <w:color w:val="000000" w:themeColor="text1"/>
          <w:sz w:val="22"/>
          <w:szCs w:val="22"/>
        </w:rPr>
        <w:t xml:space="preserve"> Facility</w:t>
      </w:r>
      <w:r>
        <w:rPr>
          <w:color w:val="000000" w:themeColor="text1"/>
          <w:sz w:val="22"/>
          <w:szCs w:val="22"/>
        </w:rPr>
        <w:t xml:space="preserve"> is also investing in joint or joined-up risk analys</w:t>
      </w:r>
      <w:r w:rsidR="007B0AF5">
        <w:rPr>
          <w:color w:val="000000" w:themeColor="text1"/>
          <w:sz w:val="22"/>
          <w:szCs w:val="22"/>
        </w:rPr>
        <w:t>e</w:t>
      </w:r>
      <w:r>
        <w:rPr>
          <w:color w:val="000000" w:themeColor="text1"/>
          <w:sz w:val="22"/>
          <w:szCs w:val="22"/>
        </w:rPr>
        <w:t xml:space="preserve">s </w:t>
      </w:r>
      <w:r w:rsidR="007B0AF5">
        <w:rPr>
          <w:color w:val="000000" w:themeColor="text1"/>
          <w:sz w:val="22"/>
          <w:szCs w:val="22"/>
        </w:rPr>
        <w:t xml:space="preserve">such as the joint FCDO-WB-UN Regional Risk and Resilience Assessment in </w:t>
      </w:r>
      <w:r w:rsidR="007B0AF5" w:rsidRPr="006E1AB5">
        <w:rPr>
          <w:b/>
          <w:bCs/>
          <w:color w:val="000000" w:themeColor="text1"/>
          <w:sz w:val="22"/>
          <w:szCs w:val="22"/>
        </w:rPr>
        <w:t>Central Asia</w:t>
      </w:r>
      <w:r w:rsidR="007B0AF5">
        <w:rPr>
          <w:color w:val="000000" w:themeColor="text1"/>
          <w:sz w:val="22"/>
          <w:szCs w:val="22"/>
        </w:rPr>
        <w:t xml:space="preserve"> (published, with follow-up consultations on monitoring indicators)</w:t>
      </w:r>
      <w:r w:rsidR="00AD32B0">
        <w:rPr>
          <w:color w:val="000000" w:themeColor="text1"/>
          <w:sz w:val="22"/>
          <w:szCs w:val="22"/>
        </w:rPr>
        <w:t xml:space="preserve"> and</w:t>
      </w:r>
      <w:r w:rsidR="007B0AF5">
        <w:rPr>
          <w:color w:val="000000" w:themeColor="text1"/>
          <w:sz w:val="22"/>
          <w:szCs w:val="22"/>
        </w:rPr>
        <w:t xml:space="preserve"> the AfDB-MRU Secretariat-UN </w:t>
      </w:r>
      <w:proofErr w:type="spellStart"/>
      <w:r w:rsidR="00AD32B0">
        <w:rPr>
          <w:color w:val="000000" w:themeColor="text1"/>
          <w:sz w:val="22"/>
          <w:szCs w:val="22"/>
        </w:rPr>
        <w:t>subregional</w:t>
      </w:r>
      <w:proofErr w:type="spellEnd"/>
      <w:r w:rsidR="00AD32B0">
        <w:rPr>
          <w:color w:val="000000" w:themeColor="text1"/>
          <w:sz w:val="22"/>
          <w:szCs w:val="22"/>
        </w:rPr>
        <w:t xml:space="preserve"> </w:t>
      </w:r>
      <w:r w:rsidR="007B0AF5">
        <w:rPr>
          <w:color w:val="000000" w:themeColor="text1"/>
          <w:sz w:val="22"/>
          <w:szCs w:val="22"/>
        </w:rPr>
        <w:t>Fragility and Resilience Assessment</w:t>
      </w:r>
      <w:r w:rsidR="00AD32B0">
        <w:rPr>
          <w:color w:val="000000" w:themeColor="text1"/>
          <w:sz w:val="22"/>
          <w:szCs w:val="22"/>
        </w:rPr>
        <w:t xml:space="preserve"> for </w:t>
      </w:r>
      <w:r w:rsidR="00AD32B0" w:rsidRPr="006E1AB5">
        <w:rPr>
          <w:b/>
          <w:bCs/>
          <w:color w:val="000000" w:themeColor="text1"/>
          <w:sz w:val="22"/>
          <w:szCs w:val="22"/>
        </w:rPr>
        <w:t>Mano River Basin</w:t>
      </w:r>
      <w:r w:rsidR="00AD32B0">
        <w:rPr>
          <w:color w:val="000000" w:themeColor="text1"/>
          <w:sz w:val="22"/>
          <w:szCs w:val="22"/>
        </w:rPr>
        <w:t xml:space="preserve"> countries</w:t>
      </w:r>
      <w:r w:rsidR="007B0AF5">
        <w:rPr>
          <w:color w:val="000000" w:themeColor="text1"/>
          <w:sz w:val="22"/>
          <w:szCs w:val="22"/>
        </w:rPr>
        <w:t xml:space="preserve"> (key findings to be discussed in a closed-door meeting planned for 28 June)</w:t>
      </w:r>
      <w:r w:rsidR="00AD32B0">
        <w:rPr>
          <w:color w:val="000000" w:themeColor="text1"/>
          <w:sz w:val="22"/>
          <w:szCs w:val="22"/>
        </w:rPr>
        <w:t xml:space="preserve">. </w:t>
      </w:r>
    </w:p>
    <w:p w14:paraId="29ADC608" w14:textId="77777777" w:rsidR="004C39F8" w:rsidRDefault="004C39F8" w:rsidP="007E166D">
      <w:pPr>
        <w:ind w:left="-720"/>
        <w:jc w:val="both"/>
        <w:rPr>
          <w:color w:val="000000" w:themeColor="text1"/>
          <w:sz w:val="22"/>
          <w:szCs w:val="22"/>
        </w:rPr>
      </w:pPr>
    </w:p>
    <w:p w14:paraId="6C918A83" w14:textId="63A4FC33" w:rsidR="009B06F0" w:rsidRPr="00D15CF1" w:rsidRDefault="006E1AB5" w:rsidP="007E166D">
      <w:pPr>
        <w:ind w:left="-720"/>
        <w:jc w:val="both"/>
        <w:rPr>
          <w:color w:val="000000" w:themeColor="text1"/>
          <w:sz w:val="22"/>
          <w:szCs w:val="22"/>
        </w:rPr>
      </w:pPr>
      <w:r w:rsidRPr="006E1AB5">
        <w:rPr>
          <w:color w:val="000000" w:themeColor="text1"/>
          <w:sz w:val="22"/>
          <w:szCs w:val="22"/>
          <w:u w:val="single"/>
        </w:rPr>
        <w:t>Other analyses/assessments:</w:t>
      </w:r>
      <w:r>
        <w:rPr>
          <w:color w:val="000000" w:themeColor="text1"/>
          <w:sz w:val="22"/>
          <w:szCs w:val="22"/>
        </w:rPr>
        <w:t xml:space="preserve"> </w:t>
      </w:r>
      <w:r w:rsidR="004C39F8">
        <w:rPr>
          <w:color w:val="000000" w:themeColor="text1"/>
          <w:sz w:val="22"/>
          <w:szCs w:val="22"/>
        </w:rPr>
        <w:t>Grants are also</w:t>
      </w:r>
      <w:r w:rsidR="00AD32B0">
        <w:rPr>
          <w:color w:val="000000" w:themeColor="text1"/>
          <w:sz w:val="22"/>
          <w:szCs w:val="22"/>
        </w:rPr>
        <w:t xml:space="preserve"> foster</w:t>
      </w:r>
      <w:r w:rsidR="004C39F8">
        <w:rPr>
          <w:color w:val="000000" w:themeColor="text1"/>
          <w:sz w:val="22"/>
          <w:szCs w:val="22"/>
        </w:rPr>
        <w:t>ing</w:t>
      </w:r>
      <w:r w:rsidR="00AD32B0">
        <w:rPr>
          <w:color w:val="000000" w:themeColor="text1"/>
          <w:sz w:val="22"/>
          <w:szCs w:val="22"/>
        </w:rPr>
        <w:t xml:space="preserve"> new conversations on the </w:t>
      </w:r>
      <w:r w:rsidR="00AD32B0" w:rsidRPr="006E1AB5">
        <w:rPr>
          <w:b/>
          <w:bCs/>
          <w:color w:val="000000" w:themeColor="text1"/>
          <w:sz w:val="22"/>
          <w:szCs w:val="22"/>
        </w:rPr>
        <w:t>security-development nexus</w:t>
      </w:r>
      <w:r w:rsidR="00AD32B0">
        <w:rPr>
          <w:color w:val="000000" w:themeColor="text1"/>
          <w:sz w:val="22"/>
          <w:szCs w:val="22"/>
        </w:rPr>
        <w:t xml:space="preserve"> </w:t>
      </w:r>
      <w:r w:rsidR="008025E0">
        <w:rPr>
          <w:color w:val="000000" w:themeColor="text1"/>
          <w:sz w:val="22"/>
          <w:szCs w:val="22"/>
        </w:rPr>
        <w:t xml:space="preserve">through new research, documenting good practices, and generating an executive position paper </w:t>
      </w:r>
      <w:r w:rsidR="00AD32B0">
        <w:rPr>
          <w:color w:val="000000" w:themeColor="text1"/>
          <w:sz w:val="22"/>
          <w:szCs w:val="22"/>
        </w:rPr>
        <w:t>(with DPO/OROLSI)</w:t>
      </w:r>
      <w:r w:rsidR="007B0AF5">
        <w:rPr>
          <w:color w:val="000000" w:themeColor="text1"/>
          <w:sz w:val="22"/>
          <w:szCs w:val="22"/>
        </w:rPr>
        <w:t xml:space="preserve">, </w:t>
      </w:r>
      <w:r w:rsidR="00AD32B0">
        <w:rPr>
          <w:color w:val="000000" w:themeColor="text1"/>
          <w:sz w:val="22"/>
          <w:szCs w:val="22"/>
        </w:rPr>
        <w:t xml:space="preserve">civil society capacities for conflict prevention in </w:t>
      </w:r>
      <w:r w:rsidR="00AD32B0" w:rsidRPr="0043459C">
        <w:rPr>
          <w:b/>
          <w:bCs/>
          <w:color w:val="000000" w:themeColor="text1"/>
          <w:sz w:val="22"/>
          <w:szCs w:val="22"/>
        </w:rPr>
        <w:t>Western Africa</w:t>
      </w:r>
      <w:r w:rsidR="00AD32B0">
        <w:rPr>
          <w:color w:val="000000" w:themeColor="text1"/>
          <w:sz w:val="22"/>
          <w:szCs w:val="22"/>
        </w:rPr>
        <w:t xml:space="preserve"> (with ECOWAS), and an understanding of challenges affecting women peacebuilders</w:t>
      </w:r>
      <w:r w:rsidR="00DC2F18">
        <w:rPr>
          <w:color w:val="000000" w:themeColor="text1"/>
          <w:sz w:val="22"/>
          <w:szCs w:val="22"/>
        </w:rPr>
        <w:t xml:space="preserve"> and resilience factors to encourage </w:t>
      </w:r>
      <w:r w:rsidR="0043459C">
        <w:rPr>
          <w:color w:val="000000" w:themeColor="text1"/>
          <w:sz w:val="22"/>
          <w:szCs w:val="22"/>
        </w:rPr>
        <w:t xml:space="preserve">1) </w:t>
      </w:r>
      <w:r w:rsidR="00DC2F18">
        <w:rPr>
          <w:color w:val="000000" w:themeColor="text1"/>
          <w:sz w:val="22"/>
          <w:szCs w:val="22"/>
        </w:rPr>
        <w:t>their participation to dialogue and socioeconomic processes</w:t>
      </w:r>
      <w:r w:rsidR="00AD32B0">
        <w:rPr>
          <w:color w:val="000000" w:themeColor="text1"/>
          <w:sz w:val="22"/>
          <w:szCs w:val="22"/>
        </w:rPr>
        <w:t xml:space="preserve"> (</w:t>
      </w:r>
      <w:r w:rsidR="00AD32B0" w:rsidRPr="0043459C">
        <w:rPr>
          <w:b/>
          <w:bCs/>
          <w:color w:val="000000" w:themeColor="text1"/>
          <w:sz w:val="22"/>
          <w:szCs w:val="22"/>
        </w:rPr>
        <w:t>Chile</w:t>
      </w:r>
      <w:r w:rsidR="00AD32B0">
        <w:rPr>
          <w:color w:val="000000" w:themeColor="text1"/>
          <w:sz w:val="22"/>
          <w:szCs w:val="22"/>
        </w:rPr>
        <w:t>)</w:t>
      </w:r>
      <w:r w:rsidR="00963FFC">
        <w:rPr>
          <w:color w:val="000000" w:themeColor="text1"/>
          <w:sz w:val="22"/>
          <w:szCs w:val="22"/>
        </w:rPr>
        <w:t xml:space="preserve"> and </w:t>
      </w:r>
      <w:r w:rsidR="0043459C">
        <w:rPr>
          <w:color w:val="000000" w:themeColor="text1"/>
          <w:sz w:val="22"/>
          <w:szCs w:val="22"/>
        </w:rPr>
        <w:t xml:space="preserve">2) inclusion in </w:t>
      </w:r>
      <w:r w:rsidR="00963FFC">
        <w:rPr>
          <w:color w:val="000000" w:themeColor="text1"/>
          <w:sz w:val="22"/>
          <w:szCs w:val="22"/>
        </w:rPr>
        <w:t xml:space="preserve">social protection </w:t>
      </w:r>
      <w:r w:rsidR="0043459C">
        <w:rPr>
          <w:color w:val="000000" w:themeColor="text1"/>
          <w:sz w:val="22"/>
          <w:szCs w:val="22"/>
        </w:rPr>
        <w:t>programs</w:t>
      </w:r>
      <w:r w:rsidR="00963FFC">
        <w:rPr>
          <w:color w:val="000000" w:themeColor="text1"/>
          <w:sz w:val="22"/>
          <w:szCs w:val="22"/>
        </w:rPr>
        <w:t xml:space="preserve"> (</w:t>
      </w:r>
      <w:r w:rsidR="00963FFC" w:rsidRPr="0043459C">
        <w:rPr>
          <w:b/>
          <w:bCs/>
          <w:color w:val="000000" w:themeColor="text1"/>
          <w:sz w:val="22"/>
          <w:szCs w:val="22"/>
        </w:rPr>
        <w:t>Nepal</w:t>
      </w:r>
      <w:r w:rsidR="00963FFC">
        <w:rPr>
          <w:color w:val="000000" w:themeColor="text1"/>
          <w:sz w:val="22"/>
          <w:szCs w:val="22"/>
        </w:rPr>
        <w:t>)</w:t>
      </w:r>
      <w:r w:rsidR="00AD32B0">
        <w:rPr>
          <w:color w:val="000000" w:themeColor="text1"/>
          <w:sz w:val="22"/>
          <w:szCs w:val="22"/>
        </w:rPr>
        <w:t xml:space="preserve">. </w:t>
      </w:r>
      <w:r w:rsidR="00B001D7" w:rsidRPr="00D15CF1">
        <w:rPr>
          <w:color w:val="000000" w:themeColor="text1"/>
          <w:sz w:val="22"/>
          <w:szCs w:val="22"/>
        </w:rPr>
        <w:t xml:space="preserve"> </w:t>
      </w:r>
    </w:p>
    <w:p w14:paraId="39D62A0B" w14:textId="77777777" w:rsidR="00F85322" w:rsidRDefault="00F85322" w:rsidP="00B31D54">
      <w:pPr>
        <w:ind w:left="-720"/>
        <w:jc w:val="both"/>
        <w:rPr>
          <w:rFonts w:eastAsiaTheme="minorHAnsi"/>
          <w:color w:val="000000" w:themeColor="text1"/>
          <w:sz w:val="22"/>
          <w:szCs w:val="22"/>
          <w:lang w:val="en-US"/>
        </w:rPr>
      </w:pPr>
    </w:p>
    <w:p w14:paraId="35E1697F" w14:textId="3D3BDDDA" w:rsidR="00B43698" w:rsidRDefault="00AD32B0" w:rsidP="00B43698">
      <w:pPr>
        <w:ind w:left="-720"/>
        <w:jc w:val="both"/>
        <w:rPr>
          <w:rFonts w:eastAsiaTheme="minorHAnsi"/>
          <w:b/>
          <w:bCs/>
          <w:color w:val="000000" w:themeColor="text1"/>
          <w:sz w:val="22"/>
          <w:szCs w:val="22"/>
          <w:lang w:val="en-US"/>
        </w:rPr>
      </w:pPr>
      <w:r w:rsidRPr="006E1AB5">
        <w:rPr>
          <w:rFonts w:eastAsiaTheme="minorHAnsi"/>
          <w:color w:val="000000" w:themeColor="text1"/>
          <w:sz w:val="22"/>
          <w:szCs w:val="22"/>
          <w:u w:val="single"/>
          <w:lang w:val="en-US"/>
        </w:rPr>
        <w:t>Data:</w:t>
      </w:r>
      <w:r>
        <w:rPr>
          <w:rFonts w:eastAsiaTheme="minorHAnsi"/>
          <w:color w:val="000000" w:themeColor="text1"/>
          <w:sz w:val="22"/>
          <w:szCs w:val="22"/>
          <w:lang w:val="en-US"/>
        </w:rPr>
        <w:t xml:space="preserve"> </w:t>
      </w:r>
      <w:r w:rsidR="00966CB7">
        <w:rPr>
          <w:rFonts w:eastAsiaTheme="minorHAnsi"/>
          <w:color w:val="000000" w:themeColor="text1"/>
          <w:sz w:val="22"/>
          <w:szCs w:val="22"/>
          <w:lang w:val="en-US"/>
        </w:rPr>
        <w:t xml:space="preserve">In </w:t>
      </w:r>
      <w:r w:rsidR="00966CB7" w:rsidRPr="006E1AB5">
        <w:rPr>
          <w:rFonts w:eastAsiaTheme="minorHAnsi"/>
          <w:b/>
          <w:bCs/>
          <w:color w:val="000000" w:themeColor="text1"/>
          <w:sz w:val="22"/>
          <w:szCs w:val="22"/>
          <w:lang w:val="en-US"/>
        </w:rPr>
        <w:t>Niger</w:t>
      </w:r>
      <w:r w:rsidR="00966CB7">
        <w:rPr>
          <w:rFonts w:eastAsiaTheme="minorHAnsi"/>
          <w:color w:val="000000" w:themeColor="text1"/>
          <w:sz w:val="22"/>
          <w:szCs w:val="22"/>
          <w:lang w:val="en-US"/>
        </w:rPr>
        <w:t xml:space="preserve">, the UN is supporting a streamlined approach to data collection, management, and analysis </w:t>
      </w:r>
      <w:r w:rsidR="006E6CAE">
        <w:rPr>
          <w:rFonts w:eastAsiaTheme="minorHAnsi"/>
          <w:color w:val="000000" w:themeColor="text1"/>
          <w:sz w:val="22"/>
          <w:szCs w:val="22"/>
          <w:lang w:val="en-US"/>
        </w:rPr>
        <w:t xml:space="preserve">that is expected to contribute to greater coherence on evidence-generation, in direct support to the Office of the Prime Minister, and the inter-ministerial monitoring committee of the </w:t>
      </w:r>
      <w:r w:rsidR="00940399">
        <w:rPr>
          <w:rFonts w:eastAsiaTheme="minorHAnsi"/>
          <w:color w:val="000000" w:themeColor="text1"/>
          <w:sz w:val="22"/>
          <w:szCs w:val="22"/>
          <w:lang w:val="en-US"/>
        </w:rPr>
        <w:t xml:space="preserve">country’s </w:t>
      </w:r>
      <w:r w:rsidR="006E6CAE">
        <w:rPr>
          <w:rFonts w:eastAsiaTheme="minorHAnsi"/>
          <w:color w:val="000000" w:themeColor="text1"/>
          <w:sz w:val="22"/>
          <w:szCs w:val="22"/>
          <w:lang w:val="en-US"/>
        </w:rPr>
        <w:t xml:space="preserve">prevention and resilience action plan. </w:t>
      </w:r>
    </w:p>
    <w:p w14:paraId="2F69AC29" w14:textId="39312CFA" w:rsidR="00D15CF1" w:rsidRDefault="00D15CF1" w:rsidP="1DE817D5">
      <w:pPr>
        <w:ind w:left="-720"/>
        <w:jc w:val="both"/>
        <w:rPr>
          <w:rFonts w:eastAsiaTheme="minorEastAsia"/>
          <w:b/>
          <w:bCs/>
          <w:color w:val="000000" w:themeColor="text1"/>
          <w:sz w:val="22"/>
          <w:szCs w:val="22"/>
          <w:lang w:val="en-US"/>
        </w:rPr>
      </w:pPr>
    </w:p>
    <w:p w14:paraId="1BED1026" w14:textId="0859BD8B" w:rsidR="00D15CF1" w:rsidRDefault="000A113F" w:rsidP="611CD828">
      <w:pPr>
        <w:ind w:left="-720"/>
        <w:jc w:val="both"/>
        <w:rPr>
          <w:color w:val="000000" w:themeColor="text1"/>
          <w:sz w:val="22"/>
          <w:szCs w:val="22"/>
          <w:lang w:val="en-US"/>
        </w:rPr>
      </w:pPr>
      <w:r w:rsidRPr="611CD828">
        <w:rPr>
          <w:color w:val="000000" w:themeColor="text1"/>
          <w:sz w:val="22"/>
          <w:szCs w:val="22"/>
          <w:u w:val="single"/>
        </w:rPr>
        <w:lastRenderedPageBreak/>
        <w:t>IMF:</w:t>
      </w:r>
      <w:r w:rsidRPr="611CD828">
        <w:rPr>
          <w:color w:val="000000" w:themeColor="text1"/>
          <w:sz w:val="22"/>
          <w:szCs w:val="22"/>
        </w:rPr>
        <w:t xml:space="preserve"> </w:t>
      </w:r>
      <w:r w:rsidR="008025E0" w:rsidRPr="611CD828">
        <w:rPr>
          <w:color w:val="000000" w:themeColor="text1"/>
          <w:sz w:val="22"/>
          <w:szCs w:val="22"/>
        </w:rPr>
        <w:t>Capacities of the HDP Partnership Facility are directly contributing to the facilitation of country level dialogue</w:t>
      </w:r>
      <w:r w:rsidR="007B2B52" w:rsidRPr="611CD828">
        <w:rPr>
          <w:color w:val="000000" w:themeColor="text1"/>
          <w:sz w:val="22"/>
          <w:szCs w:val="22"/>
        </w:rPr>
        <w:t>s</w:t>
      </w:r>
      <w:r w:rsidR="008025E0" w:rsidRPr="611CD828">
        <w:rPr>
          <w:color w:val="000000" w:themeColor="text1"/>
          <w:sz w:val="22"/>
          <w:szCs w:val="22"/>
        </w:rPr>
        <w:t xml:space="preserve"> which involve the IMF Resident Representative, and the DC-based Mission Chief, together with the UN</w:t>
      </w:r>
      <w:r w:rsidR="00772C91" w:rsidRPr="611CD828">
        <w:rPr>
          <w:color w:val="000000" w:themeColor="text1"/>
          <w:sz w:val="22"/>
          <w:szCs w:val="22"/>
        </w:rPr>
        <w:t>,</w:t>
      </w:r>
      <w:r w:rsidR="008025E0" w:rsidRPr="611CD828">
        <w:rPr>
          <w:color w:val="000000" w:themeColor="text1"/>
          <w:sz w:val="22"/>
          <w:szCs w:val="22"/>
        </w:rPr>
        <w:t xml:space="preserve"> led by the Resident Coordination, and the World Bank when appropriat</w:t>
      </w:r>
      <w:r w:rsidR="00772C91" w:rsidRPr="611CD828">
        <w:rPr>
          <w:color w:val="000000" w:themeColor="text1"/>
          <w:sz w:val="22"/>
          <w:szCs w:val="22"/>
        </w:rPr>
        <w:t xml:space="preserve">e. This serves </w:t>
      </w:r>
      <w:r w:rsidR="007B2B52" w:rsidRPr="611CD828">
        <w:rPr>
          <w:color w:val="000000" w:themeColor="text1"/>
          <w:sz w:val="22"/>
          <w:szCs w:val="22"/>
        </w:rPr>
        <w:t>as a forum to</w:t>
      </w:r>
      <w:r w:rsidR="008025E0" w:rsidRPr="611CD828">
        <w:rPr>
          <w:color w:val="000000" w:themeColor="text1"/>
          <w:sz w:val="22"/>
          <w:szCs w:val="22"/>
        </w:rPr>
        <w:t xml:space="preserve"> informally share views o</w:t>
      </w:r>
      <w:r w:rsidR="003866EE" w:rsidRPr="611CD828">
        <w:rPr>
          <w:color w:val="000000" w:themeColor="text1"/>
          <w:sz w:val="22"/>
          <w:szCs w:val="22"/>
        </w:rPr>
        <w:t>n</w:t>
      </w:r>
      <w:r w:rsidR="008025E0" w:rsidRPr="611CD828">
        <w:rPr>
          <w:color w:val="000000" w:themeColor="text1"/>
          <w:sz w:val="22"/>
          <w:szCs w:val="22"/>
        </w:rPr>
        <w:t xml:space="preserve"> a country situation</w:t>
      </w:r>
      <w:r w:rsidR="007B2B52" w:rsidRPr="611CD828">
        <w:rPr>
          <w:color w:val="000000" w:themeColor="text1"/>
          <w:sz w:val="22"/>
          <w:szCs w:val="22"/>
        </w:rPr>
        <w:t xml:space="preserve"> and</w:t>
      </w:r>
      <w:r w:rsidR="008025E0" w:rsidRPr="611CD828">
        <w:rPr>
          <w:color w:val="000000" w:themeColor="text1"/>
          <w:sz w:val="22"/>
          <w:szCs w:val="22"/>
        </w:rPr>
        <w:t xml:space="preserve"> align on</w:t>
      </w:r>
      <w:r w:rsidR="007B2B52" w:rsidRPr="611CD828">
        <w:rPr>
          <w:color w:val="000000" w:themeColor="text1"/>
          <w:sz w:val="22"/>
          <w:szCs w:val="22"/>
        </w:rPr>
        <w:t xml:space="preserve"> an understanding of multidimensional</w:t>
      </w:r>
      <w:r w:rsidR="008025E0" w:rsidRPr="611CD828">
        <w:rPr>
          <w:color w:val="000000" w:themeColor="text1"/>
          <w:sz w:val="22"/>
          <w:szCs w:val="22"/>
        </w:rPr>
        <w:t xml:space="preserve"> risks. Three country dialogues were facilitated during this reporting period. </w:t>
      </w:r>
    </w:p>
    <w:p w14:paraId="0F034DD4" w14:textId="77777777" w:rsidR="00D15CF1" w:rsidRDefault="00D15CF1" w:rsidP="00D15CF1">
      <w:pPr>
        <w:ind w:left="-720"/>
        <w:jc w:val="both"/>
        <w:rPr>
          <w:rFonts w:eastAsiaTheme="minorHAnsi"/>
          <w:color w:val="000000" w:themeColor="text1"/>
          <w:sz w:val="22"/>
          <w:szCs w:val="22"/>
          <w:lang w:val="en-US"/>
        </w:rPr>
      </w:pPr>
    </w:p>
    <w:p w14:paraId="5676D500" w14:textId="40932A2A" w:rsidR="00C00025" w:rsidRPr="00D15CF1" w:rsidRDefault="00B435B9" w:rsidP="76BEF54F">
      <w:pPr>
        <w:ind w:left="-720"/>
        <w:jc w:val="both"/>
        <w:rPr>
          <w:rFonts w:eastAsiaTheme="minorEastAsia"/>
          <w:color w:val="000000" w:themeColor="text1"/>
          <w:sz w:val="22"/>
          <w:szCs w:val="22"/>
          <w:lang w:val="en-US"/>
        </w:rPr>
      </w:pPr>
      <w:r w:rsidRPr="611CD828">
        <w:rPr>
          <w:rFonts w:eastAsiaTheme="minorEastAsia"/>
          <w:color w:val="000000" w:themeColor="text1"/>
          <w:sz w:val="22"/>
          <w:szCs w:val="22"/>
          <w:u w:val="single"/>
        </w:rPr>
        <w:t>RC seminars:</w:t>
      </w:r>
      <w:r w:rsidRPr="611CD828">
        <w:rPr>
          <w:rFonts w:eastAsiaTheme="minorEastAsia"/>
          <w:color w:val="000000" w:themeColor="text1"/>
          <w:sz w:val="22"/>
          <w:szCs w:val="22"/>
        </w:rPr>
        <w:t xml:space="preserve"> </w:t>
      </w:r>
      <w:r w:rsidR="004D4E27" w:rsidRPr="611CD828">
        <w:rPr>
          <w:rFonts w:eastAsiaTheme="minorEastAsia"/>
          <w:color w:val="000000" w:themeColor="text1"/>
          <w:sz w:val="22"/>
          <w:szCs w:val="22"/>
        </w:rPr>
        <w:t>Under an ongoing partnership with the Development Coordination Office (DCO) which oversees the RC syste</w:t>
      </w:r>
      <w:r w:rsidR="00A51F26" w:rsidRPr="611CD828">
        <w:rPr>
          <w:rFonts w:eastAsiaTheme="minorEastAsia"/>
          <w:color w:val="000000" w:themeColor="text1"/>
          <w:sz w:val="22"/>
          <w:szCs w:val="22"/>
        </w:rPr>
        <w:t>m</w:t>
      </w:r>
      <w:r w:rsidR="001228AE" w:rsidRPr="611CD828">
        <w:rPr>
          <w:rFonts w:eastAsiaTheme="minorEastAsia"/>
          <w:color w:val="000000" w:themeColor="text1"/>
          <w:sz w:val="22"/>
          <w:szCs w:val="22"/>
        </w:rPr>
        <w:t xml:space="preserve">, the Facility invests in consolidating the leadership of RCs and their staff in engaging with </w:t>
      </w:r>
      <w:r w:rsidR="00251F8B" w:rsidRPr="611CD828">
        <w:rPr>
          <w:rFonts w:eastAsiaTheme="minorEastAsia"/>
          <w:color w:val="000000" w:themeColor="text1"/>
          <w:sz w:val="22"/>
          <w:szCs w:val="22"/>
        </w:rPr>
        <w:t>IFIs</w:t>
      </w:r>
      <w:r w:rsidR="001228AE" w:rsidRPr="611CD828">
        <w:rPr>
          <w:rFonts w:eastAsiaTheme="minorEastAsia"/>
          <w:color w:val="000000" w:themeColor="text1"/>
          <w:sz w:val="22"/>
          <w:szCs w:val="22"/>
        </w:rPr>
        <w:t>, through a series of “deep-dives” (</w:t>
      </w:r>
      <w:proofErr w:type="spellStart"/>
      <w:r w:rsidR="00251F8B" w:rsidRPr="611CD828">
        <w:rPr>
          <w:rFonts w:eastAsiaTheme="minorEastAsia"/>
          <w:color w:val="000000" w:themeColor="text1"/>
          <w:sz w:val="22"/>
          <w:szCs w:val="22"/>
        </w:rPr>
        <w:t>ie</w:t>
      </w:r>
      <w:proofErr w:type="spellEnd"/>
      <w:r w:rsidR="00251F8B" w:rsidRPr="611CD828">
        <w:rPr>
          <w:rFonts w:eastAsiaTheme="minorEastAsia"/>
          <w:color w:val="000000" w:themeColor="text1"/>
          <w:sz w:val="22"/>
          <w:szCs w:val="22"/>
        </w:rPr>
        <w:t xml:space="preserve">. on </w:t>
      </w:r>
      <w:r w:rsidR="001228AE" w:rsidRPr="611CD828">
        <w:rPr>
          <w:rFonts w:eastAsiaTheme="minorEastAsia"/>
          <w:color w:val="000000" w:themeColor="text1"/>
          <w:sz w:val="22"/>
          <w:szCs w:val="22"/>
        </w:rPr>
        <w:t xml:space="preserve">social protection, FCV, and climate action), with NYU’s </w:t>
      </w:r>
      <w:proofErr w:type="spellStart"/>
      <w:r w:rsidR="001228AE" w:rsidRPr="611CD828">
        <w:rPr>
          <w:rFonts w:eastAsiaTheme="minorEastAsia"/>
          <w:color w:val="000000" w:themeColor="text1"/>
          <w:sz w:val="22"/>
          <w:szCs w:val="22"/>
        </w:rPr>
        <w:t>Center</w:t>
      </w:r>
      <w:proofErr w:type="spellEnd"/>
      <w:r w:rsidR="001228AE" w:rsidRPr="611CD828">
        <w:rPr>
          <w:rFonts w:eastAsiaTheme="minorEastAsia"/>
          <w:color w:val="000000" w:themeColor="text1"/>
          <w:sz w:val="22"/>
          <w:szCs w:val="22"/>
        </w:rPr>
        <w:t xml:space="preserve"> for International Cooperation and the </w:t>
      </w:r>
      <w:proofErr w:type="spellStart"/>
      <w:r w:rsidR="001228AE" w:rsidRPr="611CD828">
        <w:rPr>
          <w:rFonts w:eastAsiaTheme="minorEastAsia"/>
          <w:color w:val="000000" w:themeColor="text1"/>
          <w:sz w:val="22"/>
          <w:szCs w:val="22"/>
        </w:rPr>
        <w:t>Center</w:t>
      </w:r>
      <w:proofErr w:type="spellEnd"/>
      <w:r w:rsidR="001228AE" w:rsidRPr="611CD828">
        <w:rPr>
          <w:rFonts w:eastAsiaTheme="minorEastAsia"/>
          <w:color w:val="000000" w:themeColor="text1"/>
          <w:sz w:val="22"/>
          <w:szCs w:val="22"/>
        </w:rPr>
        <w:t xml:space="preserve"> for Global Development</w:t>
      </w:r>
      <w:r w:rsidR="003E6CD9" w:rsidRPr="611CD828">
        <w:rPr>
          <w:rFonts w:eastAsiaTheme="minorEastAsia"/>
          <w:color w:val="000000" w:themeColor="text1"/>
          <w:sz w:val="22"/>
          <w:szCs w:val="22"/>
        </w:rPr>
        <w:t xml:space="preserve">. When surveyed, </w:t>
      </w:r>
      <w:r w:rsidR="00790047" w:rsidRPr="611CD828">
        <w:rPr>
          <w:color w:val="000000" w:themeColor="text1"/>
          <w:sz w:val="22"/>
          <w:szCs w:val="22"/>
        </w:rPr>
        <w:t xml:space="preserve">88% of participants </w:t>
      </w:r>
      <w:r w:rsidR="00F85322" w:rsidRPr="611CD828">
        <w:rPr>
          <w:color w:val="000000" w:themeColor="text1"/>
          <w:sz w:val="22"/>
          <w:szCs w:val="22"/>
        </w:rPr>
        <w:t xml:space="preserve">found the sessions </w:t>
      </w:r>
      <w:r w:rsidR="00790047" w:rsidRPr="611CD828">
        <w:rPr>
          <w:color w:val="000000" w:themeColor="text1"/>
          <w:sz w:val="22"/>
          <w:szCs w:val="22"/>
        </w:rPr>
        <w:t>useful and informative</w:t>
      </w:r>
      <w:r w:rsidR="00513CE6" w:rsidRPr="611CD828">
        <w:rPr>
          <w:color w:val="000000" w:themeColor="text1"/>
          <w:sz w:val="22"/>
          <w:szCs w:val="22"/>
        </w:rPr>
        <w:t>.</w:t>
      </w:r>
      <w:r w:rsidR="00790047" w:rsidRPr="611CD828">
        <w:rPr>
          <w:color w:val="000000" w:themeColor="text1"/>
          <w:sz w:val="22"/>
          <w:szCs w:val="22"/>
        </w:rPr>
        <w:t xml:space="preserve"> </w:t>
      </w:r>
      <w:r w:rsidR="00790047" w:rsidRPr="611CD828">
        <w:rPr>
          <w:rFonts w:eastAsiaTheme="minorEastAsia"/>
          <w:color w:val="000000" w:themeColor="text1"/>
          <w:sz w:val="22"/>
          <w:szCs w:val="22"/>
        </w:rPr>
        <w:t xml:space="preserve">Furthermore, </w:t>
      </w:r>
      <w:r w:rsidR="00790047" w:rsidRPr="611CD828">
        <w:rPr>
          <w:color w:val="000000" w:themeColor="text1"/>
          <w:sz w:val="22"/>
          <w:szCs w:val="22"/>
        </w:rPr>
        <w:t xml:space="preserve">the Facility has supported </w:t>
      </w:r>
      <w:r w:rsidR="00513CE6" w:rsidRPr="611CD828">
        <w:rPr>
          <w:color w:val="000000" w:themeColor="text1"/>
          <w:sz w:val="22"/>
          <w:szCs w:val="22"/>
        </w:rPr>
        <w:t>7</w:t>
      </w:r>
      <w:r w:rsidR="00790047" w:rsidRPr="611CD828">
        <w:rPr>
          <w:color w:val="000000" w:themeColor="text1"/>
          <w:sz w:val="22"/>
          <w:szCs w:val="22"/>
        </w:rPr>
        <w:t xml:space="preserve"> </w:t>
      </w:r>
      <w:r w:rsidR="00261CE0" w:rsidRPr="611CD828">
        <w:rPr>
          <w:color w:val="000000" w:themeColor="text1"/>
          <w:sz w:val="22"/>
          <w:szCs w:val="22"/>
        </w:rPr>
        <w:t xml:space="preserve">learning </w:t>
      </w:r>
      <w:r w:rsidR="00790047" w:rsidRPr="611CD828">
        <w:rPr>
          <w:color w:val="000000" w:themeColor="text1"/>
          <w:sz w:val="22"/>
          <w:szCs w:val="22"/>
        </w:rPr>
        <w:t xml:space="preserve">discussions, country-specific exchanges, </w:t>
      </w:r>
      <w:r w:rsidR="003C75F2" w:rsidRPr="611CD828">
        <w:rPr>
          <w:color w:val="000000" w:themeColor="text1"/>
          <w:sz w:val="22"/>
          <w:szCs w:val="22"/>
        </w:rPr>
        <w:t xml:space="preserve">and </w:t>
      </w:r>
      <w:r w:rsidR="00261CE0" w:rsidRPr="611CD828">
        <w:rPr>
          <w:color w:val="000000" w:themeColor="text1"/>
          <w:sz w:val="22"/>
          <w:szCs w:val="22"/>
        </w:rPr>
        <w:t xml:space="preserve">internal </w:t>
      </w:r>
      <w:r w:rsidR="00513CE6" w:rsidRPr="611CD828">
        <w:rPr>
          <w:color w:val="000000" w:themeColor="text1"/>
          <w:sz w:val="22"/>
          <w:szCs w:val="22"/>
        </w:rPr>
        <w:t>lessons learn</w:t>
      </w:r>
      <w:r w:rsidR="00261CE0" w:rsidRPr="611CD828">
        <w:rPr>
          <w:color w:val="000000" w:themeColor="text1"/>
          <w:sz w:val="22"/>
          <w:szCs w:val="22"/>
        </w:rPr>
        <w:t xml:space="preserve">ed notes documenting good practices </w:t>
      </w:r>
    </w:p>
    <w:p w14:paraId="66315724" w14:textId="06C219A0" w:rsidR="00C00025" w:rsidRPr="00D15CF1" w:rsidRDefault="00C00025" w:rsidP="76BEF54F">
      <w:pPr>
        <w:ind w:left="-720"/>
        <w:jc w:val="both"/>
        <w:rPr>
          <w:color w:val="000000" w:themeColor="text1"/>
          <w:sz w:val="22"/>
          <w:szCs w:val="22"/>
        </w:rPr>
      </w:pPr>
    </w:p>
    <w:p w14:paraId="3E2FE9AD" w14:textId="5E1CCC0C" w:rsidR="00C00025" w:rsidRPr="00D15CF1" w:rsidRDefault="00790047" w:rsidP="76BEF54F">
      <w:pPr>
        <w:ind w:left="-720"/>
        <w:jc w:val="both"/>
        <w:rPr>
          <w:rFonts w:eastAsiaTheme="minorEastAsia"/>
          <w:color w:val="000000" w:themeColor="text1"/>
          <w:sz w:val="22"/>
          <w:szCs w:val="22"/>
          <w:lang w:val="en-US"/>
        </w:rPr>
      </w:pPr>
      <w:r w:rsidRPr="76BEF54F">
        <w:rPr>
          <w:color w:val="000000" w:themeColor="text1"/>
          <w:sz w:val="22"/>
          <w:szCs w:val="22"/>
          <w:u w:val="single"/>
        </w:rPr>
        <w:t>UN-IFI Roundup:</w:t>
      </w:r>
      <w:r w:rsidRPr="003E6CD9">
        <w:rPr>
          <w:color w:val="000000" w:themeColor="text1"/>
          <w:sz w:val="22"/>
          <w:szCs w:val="22"/>
        </w:rPr>
        <w:t xml:space="preserve"> The Facility also </w:t>
      </w:r>
      <w:r w:rsidR="003C75F2" w:rsidRPr="003E6CD9">
        <w:rPr>
          <w:color w:val="000000" w:themeColor="text1"/>
          <w:sz w:val="22"/>
          <w:szCs w:val="22"/>
        </w:rPr>
        <w:t xml:space="preserve">maintains </w:t>
      </w:r>
      <w:r w:rsidRPr="003E6CD9">
        <w:rPr>
          <w:color w:val="000000" w:themeColor="text1"/>
          <w:sz w:val="22"/>
          <w:szCs w:val="22"/>
        </w:rPr>
        <w:t>a</w:t>
      </w:r>
      <w:r w:rsidR="003C75F2" w:rsidRPr="003E6CD9">
        <w:rPr>
          <w:color w:val="000000" w:themeColor="text1"/>
          <w:sz w:val="22"/>
          <w:szCs w:val="22"/>
        </w:rPr>
        <w:t>n internal</w:t>
      </w:r>
      <w:r w:rsidRPr="003E6CD9">
        <w:rPr>
          <w:color w:val="000000" w:themeColor="text1"/>
          <w:sz w:val="22"/>
          <w:szCs w:val="22"/>
        </w:rPr>
        <w:t xml:space="preserve"> </w:t>
      </w:r>
      <w:r w:rsidR="00D15CF1" w:rsidRPr="003E6CD9">
        <w:rPr>
          <w:color w:val="000000" w:themeColor="text1"/>
          <w:sz w:val="22"/>
          <w:szCs w:val="22"/>
        </w:rPr>
        <w:t xml:space="preserve">weekly </w:t>
      </w:r>
      <w:r w:rsidRPr="003E6CD9">
        <w:rPr>
          <w:color w:val="000000" w:themeColor="text1"/>
          <w:sz w:val="22"/>
          <w:szCs w:val="22"/>
        </w:rPr>
        <w:t>UN-IFI roundup which has a growing subscribers list</w:t>
      </w:r>
      <w:r w:rsidR="003C75F2" w:rsidRPr="003E6CD9">
        <w:rPr>
          <w:color w:val="000000" w:themeColor="text1"/>
          <w:sz w:val="22"/>
          <w:szCs w:val="22"/>
        </w:rPr>
        <w:t>.</w:t>
      </w:r>
      <w:r w:rsidR="00C54483" w:rsidRPr="00D15CF1">
        <w:rPr>
          <w:rFonts w:ascii="Segoe UI" w:hAnsi="Segoe UI" w:cs="Segoe UI"/>
          <w:color w:val="000000" w:themeColor="text1"/>
          <w:sz w:val="27"/>
          <w:szCs w:val="27"/>
          <w:shd w:val="clear" w:color="auto" w:fill="FFFFFF"/>
          <w:lang w:val="en-US" w:eastAsia="en-US"/>
        </w:rPr>
        <w:t xml:space="preserve"> </w:t>
      </w:r>
    </w:p>
    <w:p w14:paraId="379AA309" w14:textId="77777777" w:rsidR="00790047" w:rsidRPr="00AD26B4" w:rsidRDefault="00790047" w:rsidP="00D15CF1">
      <w:pPr>
        <w:jc w:val="both"/>
        <w:rPr>
          <w:color w:val="000000" w:themeColor="text1"/>
          <w:sz w:val="22"/>
          <w:szCs w:val="22"/>
        </w:rPr>
      </w:pPr>
    </w:p>
    <w:p w14:paraId="7073B5F1" w14:textId="4B8C034A" w:rsidR="008F4724" w:rsidRDefault="003F5946" w:rsidP="000B65EC">
      <w:pPr>
        <w:ind w:left="-720"/>
        <w:jc w:val="both"/>
        <w:rPr>
          <w:color w:val="000000" w:themeColor="text1"/>
          <w:sz w:val="22"/>
          <w:szCs w:val="22"/>
        </w:rPr>
      </w:pPr>
      <w:r w:rsidRPr="76BEF54F">
        <w:rPr>
          <w:color w:val="000000" w:themeColor="text1"/>
          <w:sz w:val="22"/>
          <w:szCs w:val="22"/>
          <w:u w:val="single"/>
        </w:rPr>
        <w:t>Partnership monitoring report:</w:t>
      </w:r>
      <w:r w:rsidRPr="76BEF54F">
        <w:rPr>
          <w:color w:val="000000" w:themeColor="text1"/>
          <w:sz w:val="22"/>
          <w:szCs w:val="22"/>
        </w:rPr>
        <w:t xml:space="preserve"> </w:t>
      </w:r>
      <w:r w:rsidR="004C71BF" w:rsidRPr="76BEF54F">
        <w:rPr>
          <w:color w:val="000000" w:themeColor="text1"/>
          <w:sz w:val="22"/>
          <w:szCs w:val="22"/>
        </w:rPr>
        <w:t xml:space="preserve">The </w:t>
      </w:r>
      <w:r w:rsidR="003435AA" w:rsidRPr="76BEF54F">
        <w:rPr>
          <w:color w:val="000000" w:themeColor="text1"/>
          <w:sz w:val="22"/>
          <w:szCs w:val="22"/>
        </w:rPr>
        <w:t xml:space="preserve">Facility </w:t>
      </w:r>
      <w:r w:rsidR="004C71BF" w:rsidRPr="76BEF54F">
        <w:rPr>
          <w:color w:val="000000" w:themeColor="text1"/>
          <w:sz w:val="22"/>
          <w:szCs w:val="22"/>
        </w:rPr>
        <w:t xml:space="preserve">is co-drafting and coordinating UN inputs for the 2022 </w:t>
      </w:r>
      <w:r w:rsidR="00790047" w:rsidRPr="76BEF54F">
        <w:rPr>
          <w:color w:val="000000" w:themeColor="text1"/>
          <w:sz w:val="22"/>
          <w:szCs w:val="22"/>
        </w:rPr>
        <w:t xml:space="preserve">UN-WB </w:t>
      </w:r>
      <w:r w:rsidR="003C75F2" w:rsidRPr="76BEF54F">
        <w:rPr>
          <w:color w:val="000000" w:themeColor="text1"/>
          <w:sz w:val="22"/>
          <w:szCs w:val="22"/>
        </w:rPr>
        <w:t xml:space="preserve">partnership </w:t>
      </w:r>
      <w:r w:rsidR="00790047" w:rsidRPr="76BEF54F">
        <w:rPr>
          <w:color w:val="000000" w:themeColor="text1"/>
          <w:sz w:val="22"/>
          <w:szCs w:val="22"/>
        </w:rPr>
        <w:t xml:space="preserve">monitoring report, </w:t>
      </w:r>
      <w:r w:rsidR="00163B43" w:rsidRPr="76BEF54F">
        <w:rPr>
          <w:color w:val="000000" w:themeColor="text1"/>
          <w:sz w:val="22"/>
          <w:szCs w:val="22"/>
        </w:rPr>
        <w:t xml:space="preserve">with </w:t>
      </w:r>
      <w:r w:rsidR="008F4724" w:rsidRPr="76BEF54F">
        <w:rPr>
          <w:color w:val="000000" w:themeColor="text1"/>
          <w:sz w:val="22"/>
          <w:szCs w:val="22"/>
        </w:rPr>
        <w:t>contribution</w:t>
      </w:r>
      <w:r w:rsidR="00163B43" w:rsidRPr="76BEF54F">
        <w:rPr>
          <w:color w:val="000000" w:themeColor="text1"/>
          <w:sz w:val="22"/>
          <w:szCs w:val="22"/>
        </w:rPr>
        <w:t xml:space="preserve">s </w:t>
      </w:r>
      <w:r w:rsidR="008F4724" w:rsidRPr="76BEF54F">
        <w:rPr>
          <w:color w:val="000000" w:themeColor="text1"/>
          <w:sz w:val="22"/>
          <w:szCs w:val="22"/>
        </w:rPr>
        <w:t xml:space="preserve">received </w:t>
      </w:r>
      <w:r w:rsidR="00163B43" w:rsidRPr="76BEF54F">
        <w:rPr>
          <w:color w:val="000000" w:themeColor="text1"/>
          <w:sz w:val="22"/>
          <w:szCs w:val="22"/>
        </w:rPr>
        <w:t>from</w:t>
      </w:r>
      <w:r w:rsidR="003435AA" w:rsidRPr="76BEF54F">
        <w:rPr>
          <w:color w:val="000000" w:themeColor="text1"/>
          <w:sz w:val="22"/>
          <w:szCs w:val="22"/>
        </w:rPr>
        <w:t xml:space="preserve"> 37 countries</w:t>
      </w:r>
      <w:r w:rsidR="007B7258" w:rsidRPr="76BEF54F">
        <w:rPr>
          <w:color w:val="000000" w:themeColor="text1"/>
          <w:sz w:val="22"/>
          <w:szCs w:val="22"/>
        </w:rPr>
        <w:t xml:space="preserve"> at the time of completing this mid</w:t>
      </w:r>
      <w:r w:rsidR="008F4724" w:rsidRPr="76BEF54F">
        <w:rPr>
          <w:color w:val="000000" w:themeColor="text1"/>
          <w:sz w:val="22"/>
          <w:szCs w:val="22"/>
        </w:rPr>
        <w:t>-</w:t>
      </w:r>
      <w:r w:rsidR="007B7258" w:rsidRPr="76BEF54F">
        <w:rPr>
          <w:color w:val="000000" w:themeColor="text1"/>
          <w:sz w:val="22"/>
          <w:szCs w:val="22"/>
        </w:rPr>
        <w:t>year report</w:t>
      </w:r>
      <w:r w:rsidR="00DD339F" w:rsidRPr="76BEF54F">
        <w:rPr>
          <w:color w:val="000000" w:themeColor="text1"/>
          <w:sz w:val="22"/>
          <w:szCs w:val="22"/>
        </w:rPr>
        <w:t xml:space="preserve">. </w:t>
      </w:r>
    </w:p>
    <w:p w14:paraId="077BF2DE" w14:textId="77777777" w:rsidR="008F4724" w:rsidRDefault="008F4724" w:rsidP="000B65EC">
      <w:pPr>
        <w:ind w:left="-720"/>
        <w:jc w:val="both"/>
        <w:rPr>
          <w:color w:val="000000" w:themeColor="text1"/>
          <w:sz w:val="22"/>
          <w:szCs w:val="22"/>
        </w:rPr>
      </w:pPr>
    </w:p>
    <w:p w14:paraId="0F78E5EE" w14:textId="2E3946D9" w:rsidR="00790047" w:rsidRPr="00C11638" w:rsidRDefault="00790047" w:rsidP="76BEF54F">
      <w:pPr>
        <w:ind w:left="-720"/>
        <w:rPr>
          <w:rFonts w:eastAsiaTheme="minorEastAsia"/>
          <w:color w:val="000000" w:themeColor="text1"/>
          <w:sz w:val="22"/>
          <w:szCs w:val="22"/>
        </w:rPr>
      </w:pPr>
      <w:r w:rsidRPr="1DE817D5">
        <w:rPr>
          <w:color w:val="000000" w:themeColor="text1"/>
          <w:sz w:val="22"/>
          <w:szCs w:val="22"/>
          <w:u w:val="single"/>
        </w:rPr>
        <w:t>Knowledge Management Survey on UN-WB collaboration:</w:t>
      </w:r>
      <w:r w:rsidRPr="1DE817D5">
        <w:rPr>
          <w:color w:val="000000" w:themeColor="text1"/>
          <w:sz w:val="22"/>
          <w:szCs w:val="22"/>
        </w:rPr>
        <w:t xml:space="preserve"> The Facility </w:t>
      </w:r>
      <w:r w:rsidR="004C71BF" w:rsidRPr="1DE817D5">
        <w:rPr>
          <w:color w:val="000000" w:themeColor="text1"/>
          <w:sz w:val="22"/>
          <w:szCs w:val="22"/>
        </w:rPr>
        <w:t xml:space="preserve">has </w:t>
      </w:r>
      <w:r w:rsidRPr="1DE817D5">
        <w:rPr>
          <w:color w:val="000000" w:themeColor="text1"/>
          <w:sz w:val="22"/>
          <w:szCs w:val="22"/>
        </w:rPr>
        <w:t xml:space="preserve">also </w:t>
      </w:r>
      <w:r w:rsidR="004C71BF" w:rsidRPr="1DE817D5">
        <w:rPr>
          <w:color w:val="000000" w:themeColor="text1"/>
          <w:sz w:val="22"/>
          <w:szCs w:val="22"/>
        </w:rPr>
        <w:t xml:space="preserve">administered a survey in 2022 to key UN staff in the peace and security pillar (HQ and field). The survey indicates that </w:t>
      </w:r>
      <w:r w:rsidR="000867D6" w:rsidRPr="1DE817D5">
        <w:rPr>
          <w:color w:val="000000" w:themeColor="text1"/>
          <w:sz w:val="22"/>
          <w:szCs w:val="22"/>
        </w:rPr>
        <w:t>59</w:t>
      </w:r>
      <w:r w:rsidRPr="1DE817D5">
        <w:rPr>
          <w:color w:val="000000" w:themeColor="text1"/>
          <w:sz w:val="22"/>
          <w:szCs w:val="22"/>
        </w:rPr>
        <w:t xml:space="preserve">% </w:t>
      </w:r>
      <w:r w:rsidR="00684CF9" w:rsidRPr="1DE817D5">
        <w:rPr>
          <w:color w:val="000000" w:themeColor="text1"/>
          <w:sz w:val="22"/>
          <w:szCs w:val="22"/>
        </w:rPr>
        <w:t xml:space="preserve">of staff have </w:t>
      </w:r>
      <w:r w:rsidRPr="1DE817D5">
        <w:rPr>
          <w:color w:val="000000" w:themeColor="text1"/>
          <w:sz w:val="22"/>
          <w:szCs w:val="22"/>
        </w:rPr>
        <w:t xml:space="preserve">good </w:t>
      </w:r>
      <w:r w:rsidRPr="1DE817D5">
        <w:rPr>
          <w:rFonts w:eastAsiaTheme="minorEastAsia"/>
          <w:color w:val="000000" w:themeColor="text1"/>
          <w:sz w:val="22"/>
          <w:szCs w:val="22"/>
        </w:rPr>
        <w:t>general</w:t>
      </w:r>
      <w:r w:rsidRPr="1DE817D5">
        <w:rPr>
          <w:color w:val="000000" w:themeColor="text1"/>
          <w:sz w:val="22"/>
          <w:szCs w:val="22"/>
        </w:rPr>
        <w:t xml:space="preserve"> </w:t>
      </w:r>
      <w:r w:rsidRPr="1DE817D5">
        <w:rPr>
          <w:rFonts w:eastAsiaTheme="minorEastAsia"/>
          <w:color w:val="000000" w:themeColor="text1"/>
          <w:sz w:val="22"/>
          <w:szCs w:val="22"/>
        </w:rPr>
        <w:t>knowledge of the WB</w:t>
      </w:r>
      <w:r w:rsidR="00163B43" w:rsidRPr="1DE817D5">
        <w:rPr>
          <w:rFonts w:eastAsiaTheme="minorEastAsia"/>
          <w:color w:val="000000" w:themeColor="text1"/>
          <w:sz w:val="22"/>
          <w:szCs w:val="22"/>
        </w:rPr>
        <w:t xml:space="preserve">, which has increased compared to 50% reported in the survey in 2020. Meanwhile, </w:t>
      </w:r>
      <w:r w:rsidRPr="1DE817D5">
        <w:rPr>
          <w:rFonts w:eastAsiaTheme="minorEastAsia"/>
          <w:color w:val="000000" w:themeColor="text1"/>
          <w:sz w:val="22"/>
          <w:szCs w:val="22"/>
        </w:rPr>
        <w:t xml:space="preserve">53% </w:t>
      </w:r>
      <w:r w:rsidR="00684CF9" w:rsidRPr="1DE817D5">
        <w:rPr>
          <w:rFonts w:eastAsiaTheme="minorEastAsia"/>
          <w:color w:val="000000" w:themeColor="text1"/>
          <w:sz w:val="22"/>
          <w:szCs w:val="22"/>
        </w:rPr>
        <w:t>have reported sound capacity within their teams, to identify and leverage opportunities for collaboration, compared to 33% reported in 2020.</w:t>
      </w:r>
    </w:p>
    <w:p w14:paraId="5259B852" w14:textId="77777777" w:rsidR="00DD339F" w:rsidRDefault="00790047" w:rsidP="00DD339F">
      <w:pPr>
        <w:ind w:left="-720"/>
        <w:rPr>
          <w:i/>
        </w:rPr>
      </w:pPr>
      <w:r>
        <w:rPr>
          <w:b/>
        </w:rPr>
        <w:br w:type="page"/>
      </w:r>
      <w:r w:rsidR="00627A1C"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5F45D8AE" w14:textId="77777777" w:rsidR="00DD339F" w:rsidRDefault="00DD339F" w:rsidP="00DD339F">
      <w:pPr>
        <w:ind w:left="-720"/>
        <w:rPr>
          <w:rFonts w:eastAsiaTheme="minorHAnsi"/>
          <w:color w:val="000000" w:themeColor="text1"/>
          <w:sz w:val="22"/>
          <w:szCs w:val="22"/>
        </w:rPr>
      </w:pPr>
    </w:p>
    <w:p w14:paraId="3D86D379" w14:textId="273D7E64" w:rsidR="00DD339F" w:rsidRDefault="00C11638" w:rsidP="008E7E88">
      <w:pPr>
        <w:ind w:left="-720"/>
        <w:jc w:val="both"/>
        <w:rPr>
          <w:color w:val="000000" w:themeColor="text1"/>
          <w:sz w:val="22"/>
          <w:szCs w:val="22"/>
        </w:rPr>
      </w:pPr>
      <w:r w:rsidRPr="611CD828">
        <w:rPr>
          <w:rFonts w:eastAsiaTheme="minorEastAsia"/>
          <w:color w:val="000000" w:themeColor="text1"/>
          <w:sz w:val="22"/>
          <w:szCs w:val="22"/>
        </w:rPr>
        <w:t>In line with its results framework, and with the objective to reach its commitment to Gender Marker 2, t</w:t>
      </w:r>
      <w:r w:rsidR="00125D34" w:rsidRPr="611CD828">
        <w:rPr>
          <w:rFonts w:eastAsiaTheme="minorEastAsia"/>
          <w:color w:val="000000" w:themeColor="text1"/>
          <w:sz w:val="22"/>
          <w:szCs w:val="22"/>
        </w:rPr>
        <w:t>he Facility</w:t>
      </w:r>
      <w:r w:rsidR="008E7E88" w:rsidRPr="611CD828">
        <w:rPr>
          <w:rFonts w:eastAsiaTheme="minorEastAsia"/>
          <w:color w:val="000000" w:themeColor="text1"/>
          <w:sz w:val="22"/>
          <w:szCs w:val="22"/>
        </w:rPr>
        <w:t xml:space="preserve"> proactively sought to collect gender-responsive and gender-focused expressions of interest under its 2021 Call for Proposal. </w:t>
      </w:r>
      <w:r w:rsidR="00125D34" w:rsidRPr="611CD828">
        <w:rPr>
          <w:rFonts w:eastAsiaTheme="minorEastAsia"/>
          <w:color w:val="000000" w:themeColor="text1"/>
          <w:sz w:val="22"/>
          <w:szCs w:val="22"/>
        </w:rPr>
        <w:t xml:space="preserve"> </w:t>
      </w:r>
    </w:p>
    <w:p w14:paraId="558A8FAF" w14:textId="77777777" w:rsidR="00DD339F" w:rsidRDefault="00DD339F" w:rsidP="00DD339F">
      <w:pPr>
        <w:ind w:left="-720"/>
        <w:jc w:val="both"/>
        <w:rPr>
          <w:color w:val="000000" w:themeColor="text1"/>
          <w:sz w:val="22"/>
          <w:szCs w:val="22"/>
        </w:rPr>
      </w:pPr>
    </w:p>
    <w:p w14:paraId="7A625B4F" w14:textId="0A88904F" w:rsidR="00DD339F" w:rsidRDefault="00125D34" w:rsidP="1DE817D5">
      <w:pPr>
        <w:ind w:left="-720"/>
        <w:jc w:val="both"/>
        <w:rPr>
          <w:rFonts w:eastAsiaTheme="minorEastAsia"/>
          <w:color w:val="000000" w:themeColor="text1"/>
          <w:sz w:val="22"/>
          <w:szCs w:val="22"/>
        </w:rPr>
      </w:pPr>
      <w:r w:rsidRPr="1DE817D5">
        <w:rPr>
          <w:color w:val="000000" w:themeColor="text1"/>
          <w:sz w:val="22"/>
          <w:szCs w:val="22"/>
        </w:rPr>
        <w:t xml:space="preserve">A project </w:t>
      </w:r>
      <w:r w:rsidRPr="1DE817D5">
        <w:rPr>
          <w:rFonts w:eastAsiaTheme="minorEastAsia"/>
          <w:color w:val="000000" w:themeColor="text1"/>
          <w:sz w:val="22"/>
          <w:szCs w:val="22"/>
        </w:rPr>
        <w:t xml:space="preserve">in </w:t>
      </w:r>
      <w:r w:rsidR="00790047" w:rsidRPr="1DE817D5">
        <w:rPr>
          <w:rFonts w:eastAsiaTheme="minorEastAsia"/>
          <w:b/>
          <w:bCs/>
          <w:color w:val="000000" w:themeColor="text1"/>
          <w:sz w:val="22"/>
          <w:szCs w:val="22"/>
        </w:rPr>
        <w:t>Nepal</w:t>
      </w:r>
      <w:r w:rsidRPr="1DE817D5">
        <w:rPr>
          <w:rFonts w:eastAsiaTheme="minorEastAsia"/>
          <w:color w:val="000000" w:themeColor="text1"/>
          <w:sz w:val="22"/>
          <w:szCs w:val="22"/>
        </w:rPr>
        <w:t xml:space="preserve"> helping to identify gaps and opportunities for gender-responsive policies</w:t>
      </w:r>
      <w:r w:rsidR="007C7136" w:rsidRPr="1DE817D5">
        <w:rPr>
          <w:rFonts w:eastAsiaTheme="minorEastAsia"/>
          <w:color w:val="000000" w:themeColor="text1"/>
          <w:sz w:val="22"/>
          <w:szCs w:val="22"/>
        </w:rPr>
        <w:t>, in settings where the lack of meaningful inclusion remains unaddressed</w:t>
      </w:r>
      <w:r w:rsidRPr="1DE817D5">
        <w:rPr>
          <w:rFonts w:eastAsiaTheme="minorEastAsia"/>
          <w:color w:val="000000" w:themeColor="text1"/>
          <w:sz w:val="22"/>
          <w:szCs w:val="22"/>
        </w:rPr>
        <w:t xml:space="preserve">. In </w:t>
      </w:r>
      <w:r w:rsidRPr="1DE817D5">
        <w:rPr>
          <w:rFonts w:eastAsiaTheme="minorEastAsia"/>
          <w:b/>
          <w:bCs/>
          <w:color w:val="000000" w:themeColor="text1"/>
          <w:sz w:val="22"/>
          <w:szCs w:val="22"/>
        </w:rPr>
        <w:t>Chile,</w:t>
      </w:r>
      <w:r w:rsidRPr="1DE817D5">
        <w:rPr>
          <w:rFonts w:eastAsiaTheme="minorEastAsia"/>
          <w:color w:val="000000" w:themeColor="text1"/>
          <w:sz w:val="22"/>
          <w:szCs w:val="22"/>
        </w:rPr>
        <w:t xml:space="preserve"> the Facility is supporting work with indigenous women in regions affected by economic disparities and social tensions.  </w:t>
      </w:r>
    </w:p>
    <w:p w14:paraId="4DAB328F" w14:textId="77777777" w:rsidR="008950F6" w:rsidRDefault="008950F6" w:rsidP="00275432">
      <w:pPr>
        <w:ind w:left="-720"/>
        <w:jc w:val="both"/>
        <w:rPr>
          <w:rFonts w:eastAsiaTheme="minorHAnsi"/>
          <w:color w:val="000000" w:themeColor="text1"/>
          <w:sz w:val="22"/>
          <w:szCs w:val="22"/>
        </w:rPr>
      </w:pPr>
    </w:p>
    <w:p w14:paraId="176E4056" w14:textId="7AA33507" w:rsidR="004B1AB6" w:rsidRDefault="00275432" w:rsidP="611CD828">
      <w:pPr>
        <w:ind w:left="-720"/>
        <w:jc w:val="both"/>
        <w:rPr>
          <w:rFonts w:eastAsiaTheme="minorEastAsia"/>
          <w:color w:val="000000" w:themeColor="text1"/>
          <w:sz w:val="22"/>
          <w:szCs w:val="22"/>
        </w:rPr>
      </w:pPr>
      <w:r w:rsidRPr="611CD828">
        <w:rPr>
          <w:rFonts w:eastAsiaTheme="minorEastAsia"/>
          <w:color w:val="000000" w:themeColor="text1"/>
          <w:sz w:val="22"/>
          <w:szCs w:val="22"/>
        </w:rPr>
        <w:t>To augment the quantity and quality of proposals tackling gender equality and women’s empowerment, the Facility is working closely with UN Women</w:t>
      </w:r>
      <w:r w:rsidR="004B1AB6" w:rsidRPr="611CD828">
        <w:rPr>
          <w:rFonts w:eastAsiaTheme="minorEastAsia"/>
          <w:color w:val="000000" w:themeColor="text1"/>
          <w:sz w:val="22"/>
          <w:szCs w:val="22"/>
        </w:rPr>
        <w:t>. Dedicated briefings on the Facility and UN-IFI partnerships were delivered to HQ and field-based UN Women staff, to further identify and leverage entry points for collaboration</w:t>
      </w:r>
      <w:r w:rsidR="00015143" w:rsidRPr="611CD828">
        <w:rPr>
          <w:rFonts w:eastAsiaTheme="minorEastAsia"/>
          <w:color w:val="000000" w:themeColor="text1"/>
          <w:sz w:val="22"/>
          <w:szCs w:val="22"/>
        </w:rPr>
        <w:t xml:space="preserve">, in addition to an informal dialogue with the World Bank on Women, Peace, and Security (WPS). </w:t>
      </w:r>
    </w:p>
    <w:p w14:paraId="09A3A0A6" w14:textId="500BE15B" w:rsidR="00161D02" w:rsidRPr="00627A1C" w:rsidRDefault="00161D02" w:rsidP="00DD339F">
      <w:pPr>
        <w:ind w:left="-720"/>
        <w:jc w:val="both"/>
        <w:rPr>
          <w:b/>
        </w:rPr>
      </w:pPr>
    </w:p>
    <w:p w14:paraId="6556A7A4" w14:textId="77777777" w:rsidR="00323ABC" w:rsidRPr="00627A1C" w:rsidRDefault="00323ABC" w:rsidP="00DD339F">
      <w:pPr>
        <w:jc w:val="both"/>
        <w:rPr>
          <w:b/>
        </w:rPr>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2300043" w:rsidR="00206D45" w:rsidRPr="00206D45" w:rsidRDefault="004E3B3E" w:rsidP="009A0FD1">
      <w:pPr>
        <w:jc w:val="both"/>
        <w:rPr>
          <w:b/>
          <w:u w:val="single"/>
        </w:rPr>
      </w:pPr>
      <w:r w:rsidRPr="00206D45">
        <w:rPr>
          <w:b/>
          <w:u w:val="single"/>
        </w:rPr>
        <w:lastRenderedPageBreak/>
        <w:t>INDICATOR BASED PERFORMANCE ASSESSMENT</w:t>
      </w:r>
      <w:r w:rsidR="004911BF">
        <w:rPr>
          <w:b/>
          <w:u w:val="single"/>
        </w:rPr>
        <w:t xml:space="preserve"> </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32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980"/>
        <w:gridCol w:w="1530"/>
        <w:gridCol w:w="1620"/>
        <w:gridCol w:w="3060"/>
        <w:gridCol w:w="3150"/>
      </w:tblGrid>
      <w:tr w:rsidR="006E26CC" w:rsidRPr="00627A1C" w14:paraId="2FB3856E" w14:textId="77777777" w:rsidTr="1DE817D5">
        <w:trPr>
          <w:tblHeader/>
        </w:trPr>
        <w:tc>
          <w:tcPr>
            <w:tcW w:w="1867" w:type="dxa"/>
          </w:tcPr>
          <w:p w14:paraId="2D392B53" w14:textId="77777777" w:rsidR="006E26CC" w:rsidRPr="00627A1C" w:rsidRDefault="006E26CC" w:rsidP="004E3B3E">
            <w:pPr>
              <w:jc w:val="center"/>
              <w:rPr>
                <w:b/>
                <w:lang w:val="en-US" w:eastAsia="en-US"/>
              </w:rPr>
            </w:pPr>
          </w:p>
        </w:tc>
        <w:tc>
          <w:tcPr>
            <w:tcW w:w="1980" w:type="dxa"/>
            <w:shd w:val="clear" w:color="auto" w:fill="EEECE1"/>
          </w:tcPr>
          <w:p w14:paraId="053FC867" w14:textId="77777777" w:rsidR="006E26CC" w:rsidRPr="00627A1C" w:rsidRDefault="006E26CC"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6E26CC" w:rsidRPr="00627A1C" w:rsidRDefault="006E26CC"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6E26CC" w:rsidRPr="00627A1C" w:rsidRDefault="006E26CC" w:rsidP="004E3B3E">
            <w:pPr>
              <w:jc w:val="center"/>
              <w:rPr>
                <w:b/>
                <w:lang w:val="en-US" w:eastAsia="en-US"/>
              </w:rPr>
            </w:pPr>
            <w:r w:rsidRPr="00627A1C">
              <w:rPr>
                <w:b/>
                <w:lang w:val="en-US" w:eastAsia="en-US"/>
              </w:rPr>
              <w:t>End of project Indicator Target</w:t>
            </w:r>
          </w:p>
        </w:tc>
        <w:tc>
          <w:tcPr>
            <w:tcW w:w="3060" w:type="dxa"/>
          </w:tcPr>
          <w:p w14:paraId="4BB7824B" w14:textId="77777777" w:rsidR="006E26CC" w:rsidRPr="00627A1C" w:rsidRDefault="006E26CC" w:rsidP="004E3B3E">
            <w:pPr>
              <w:jc w:val="center"/>
              <w:rPr>
                <w:b/>
                <w:lang w:val="en-US" w:eastAsia="en-US"/>
              </w:rPr>
            </w:pPr>
            <w:r w:rsidRPr="00627A1C">
              <w:rPr>
                <w:b/>
                <w:lang w:val="en-US" w:eastAsia="en-US"/>
              </w:rPr>
              <w:t>Current indicator progress</w:t>
            </w:r>
          </w:p>
        </w:tc>
        <w:tc>
          <w:tcPr>
            <w:tcW w:w="3150" w:type="dxa"/>
          </w:tcPr>
          <w:p w14:paraId="5A0E53A2" w14:textId="77777777" w:rsidR="006E26CC" w:rsidRPr="00627A1C" w:rsidRDefault="006E26CC" w:rsidP="004E3B3E">
            <w:pPr>
              <w:jc w:val="center"/>
              <w:rPr>
                <w:b/>
                <w:lang w:val="en-US" w:eastAsia="en-US"/>
              </w:rPr>
            </w:pPr>
            <w:r w:rsidRPr="00627A1C">
              <w:rPr>
                <w:b/>
                <w:lang w:val="en-US" w:eastAsia="en-US"/>
              </w:rPr>
              <w:t>Reasons for Variance/ Delay</w:t>
            </w:r>
          </w:p>
          <w:p w14:paraId="72AB4644" w14:textId="77777777" w:rsidR="006E26CC" w:rsidRPr="00627A1C" w:rsidRDefault="006E26CC" w:rsidP="004E3B3E">
            <w:pPr>
              <w:jc w:val="center"/>
              <w:rPr>
                <w:b/>
                <w:lang w:val="en-US" w:eastAsia="en-US"/>
              </w:rPr>
            </w:pPr>
            <w:r w:rsidRPr="00627A1C">
              <w:rPr>
                <w:b/>
                <w:lang w:val="en-US" w:eastAsia="en-US"/>
              </w:rPr>
              <w:t>(if any)</w:t>
            </w:r>
          </w:p>
        </w:tc>
      </w:tr>
      <w:tr w:rsidR="006E26CC" w:rsidRPr="00627A1C" w14:paraId="328F4662" w14:textId="77777777" w:rsidTr="1DE817D5">
        <w:trPr>
          <w:trHeight w:val="548"/>
        </w:trPr>
        <w:tc>
          <w:tcPr>
            <w:tcW w:w="1867" w:type="dxa"/>
            <w:vMerge w:val="restart"/>
          </w:tcPr>
          <w:p w14:paraId="1512A800" w14:textId="77777777" w:rsidR="006E26CC" w:rsidRPr="00627A1C" w:rsidRDefault="006E26CC" w:rsidP="006E26CC">
            <w:pPr>
              <w:rPr>
                <w:b/>
                <w:lang w:val="en-US" w:eastAsia="en-US"/>
              </w:rPr>
            </w:pPr>
            <w:r w:rsidRPr="00627A1C">
              <w:rPr>
                <w:b/>
                <w:lang w:val="en-US" w:eastAsia="en-US"/>
              </w:rPr>
              <w:t>Outcome 1</w:t>
            </w:r>
          </w:p>
          <w:p w14:paraId="3AFFBD7B" w14:textId="77777777" w:rsidR="006E26CC" w:rsidRDefault="006E26CC" w:rsidP="006E26CC">
            <w:pPr>
              <w:pStyle w:val="Default"/>
              <w:rPr>
                <w:sz w:val="23"/>
                <w:szCs w:val="23"/>
              </w:rPr>
            </w:pPr>
            <w:r>
              <w:rPr>
                <w:b/>
                <w:bCs/>
                <w:sz w:val="23"/>
                <w:szCs w:val="23"/>
              </w:rPr>
              <w:t xml:space="preserve">The strategic partnership between the UN and World Bank advances resources towards collective outcomes in crisis-affected situations </w:t>
            </w:r>
          </w:p>
          <w:p w14:paraId="07C3D614" w14:textId="0FD41778" w:rsidR="006E26CC" w:rsidRPr="00627A1C" w:rsidRDefault="006E26CC" w:rsidP="006E26CC">
            <w:pPr>
              <w:rPr>
                <w:b/>
                <w:lang w:val="en-US" w:eastAsia="en-US"/>
              </w:rPr>
            </w:pPr>
          </w:p>
        </w:tc>
        <w:tc>
          <w:tcPr>
            <w:tcW w:w="1980" w:type="dxa"/>
            <w:shd w:val="clear" w:color="auto" w:fill="EEECE1"/>
          </w:tcPr>
          <w:p w14:paraId="7EF87B14" w14:textId="77777777" w:rsidR="006E26CC" w:rsidRPr="00627A1C" w:rsidRDefault="006E26CC" w:rsidP="006E26CC">
            <w:pPr>
              <w:jc w:val="both"/>
              <w:rPr>
                <w:lang w:val="en-US" w:eastAsia="en-US"/>
              </w:rPr>
            </w:pPr>
            <w:r w:rsidRPr="00627A1C">
              <w:rPr>
                <w:lang w:val="en-US" w:eastAsia="en-US"/>
              </w:rPr>
              <w:t>Indicator 1.1</w:t>
            </w:r>
          </w:p>
          <w:p w14:paraId="069082C2" w14:textId="77777777" w:rsidR="006E26CC" w:rsidRDefault="006E26CC" w:rsidP="006E26CC">
            <w:pPr>
              <w:pStyle w:val="Default"/>
              <w:jc w:val="both"/>
              <w:rPr>
                <w:sz w:val="23"/>
                <w:szCs w:val="23"/>
              </w:rPr>
            </w:pPr>
            <w:r>
              <w:rPr>
                <w:sz w:val="23"/>
                <w:szCs w:val="23"/>
              </w:rPr>
              <w:t xml:space="preserve">Share of RCs serving in crisis-affected situations reporting joint strategic priorities with the World Bank in prevention/HDP collaboration </w:t>
            </w:r>
          </w:p>
          <w:p w14:paraId="1D96A8DA" w14:textId="70CB3C97" w:rsidR="006E26CC" w:rsidRPr="00627A1C" w:rsidRDefault="006E26CC" w:rsidP="006E26CC">
            <w:pPr>
              <w:jc w:val="both"/>
              <w:rPr>
                <w:lang w:val="en-US" w:eastAsia="en-US"/>
              </w:rPr>
            </w:pPr>
          </w:p>
        </w:tc>
        <w:tc>
          <w:tcPr>
            <w:tcW w:w="1530" w:type="dxa"/>
            <w:shd w:val="clear" w:color="auto" w:fill="EEECE1"/>
          </w:tcPr>
          <w:p w14:paraId="2735CAD2" w14:textId="77777777" w:rsidR="006E26CC" w:rsidRDefault="006E26CC" w:rsidP="006E26CC">
            <w:pPr>
              <w:pStyle w:val="Default"/>
              <w:rPr>
                <w:sz w:val="23"/>
                <w:szCs w:val="23"/>
              </w:rPr>
            </w:pPr>
            <w:r>
              <w:rPr>
                <w:sz w:val="23"/>
                <w:szCs w:val="23"/>
              </w:rPr>
              <w:t xml:space="preserve">47 RCs, out of which 13 are reporting joint strategic priorities in prevention/HDP collaboration (27%) </w:t>
            </w:r>
          </w:p>
          <w:p w14:paraId="37D86CF7" w14:textId="41A43F75" w:rsidR="006E26CC" w:rsidRPr="00627A1C" w:rsidRDefault="006E26CC" w:rsidP="006E26CC">
            <w:pPr>
              <w:rPr>
                <w:lang w:val="en-US" w:eastAsia="en-US"/>
              </w:rPr>
            </w:pPr>
            <w:r>
              <w:rPr>
                <w:i/>
                <w:iCs/>
                <w:sz w:val="23"/>
                <w:szCs w:val="23"/>
              </w:rPr>
              <w:t xml:space="preserve">(Partnership Monitoring Report, 2020) </w:t>
            </w:r>
          </w:p>
        </w:tc>
        <w:tc>
          <w:tcPr>
            <w:tcW w:w="1620" w:type="dxa"/>
            <w:shd w:val="clear" w:color="auto" w:fill="EEECE1"/>
          </w:tcPr>
          <w:p w14:paraId="65294A6B" w14:textId="77777777" w:rsidR="006E26CC" w:rsidRDefault="006E26CC" w:rsidP="006E26CC">
            <w:pPr>
              <w:pStyle w:val="Default"/>
              <w:rPr>
                <w:sz w:val="23"/>
                <w:szCs w:val="23"/>
              </w:rPr>
            </w:pPr>
            <w:r>
              <w:rPr>
                <w:sz w:val="23"/>
                <w:szCs w:val="23"/>
              </w:rPr>
              <w:t xml:space="preserve">Target: at least 40% by March 2022 </w:t>
            </w:r>
          </w:p>
          <w:p w14:paraId="04D91B4C" w14:textId="5F34F71A" w:rsidR="006E26CC" w:rsidRPr="00627A1C" w:rsidRDefault="006E26CC" w:rsidP="006E26CC"/>
        </w:tc>
        <w:tc>
          <w:tcPr>
            <w:tcW w:w="3060" w:type="dxa"/>
          </w:tcPr>
          <w:p w14:paraId="4C905E40" w14:textId="77777777" w:rsidR="006E26CC" w:rsidRPr="00033CAA" w:rsidRDefault="006E26CC" w:rsidP="006E26CC">
            <w:pPr>
              <w:rPr>
                <w:bCs/>
              </w:rPr>
            </w:pPr>
            <w:r>
              <w:t xml:space="preserve">Same as baseline, </w:t>
            </w:r>
            <w:r w:rsidRPr="00033CAA">
              <w:rPr>
                <w:bCs/>
              </w:rPr>
              <w:t xml:space="preserve">47 RCs, out of which 13 are reporting joint strategic priorities </w:t>
            </w:r>
            <w:r>
              <w:rPr>
                <w:bCs/>
              </w:rPr>
              <w:t xml:space="preserve">in prevention/HDP collaboration </w:t>
            </w:r>
            <w:r w:rsidRPr="00033CAA">
              <w:rPr>
                <w:bCs/>
              </w:rPr>
              <w:t>(27%)</w:t>
            </w:r>
          </w:p>
          <w:p w14:paraId="426BEDFE" w14:textId="20E47262" w:rsidR="006E26CC" w:rsidRPr="00627A1C" w:rsidRDefault="006E26CC" w:rsidP="006E26CC"/>
        </w:tc>
        <w:tc>
          <w:tcPr>
            <w:tcW w:w="3150" w:type="dxa"/>
          </w:tcPr>
          <w:p w14:paraId="25257F95" w14:textId="77777777" w:rsidR="008F14D5" w:rsidRDefault="006E26CC" w:rsidP="006E26CC">
            <w:pPr>
              <w:pStyle w:val="Default"/>
              <w:rPr>
                <w:bCs/>
                <w:lang w:eastAsia="en-US"/>
              </w:rPr>
            </w:pPr>
            <w:r w:rsidRPr="00B621F4">
              <w:rPr>
                <w:bCs/>
                <w:lang w:eastAsia="en-US"/>
              </w:rPr>
              <w:t xml:space="preserve">No </w:t>
            </w:r>
            <w:r>
              <w:rPr>
                <w:bCs/>
                <w:lang w:eastAsia="en-US"/>
              </w:rPr>
              <w:t xml:space="preserve">update as of </w:t>
            </w:r>
            <w:r w:rsidR="00DC4F44">
              <w:rPr>
                <w:bCs/>
                <w:lang w:eastAsia="en-US"/>
              </w:rPr>
              <w:t xml:space="preserve">June </w:t>
            </w:r>
            <w:r>
              <w:rPr>
                <w:bCs/>
                <w:lang w:eastAsia="en-US"/>
              </w:rPr>
              <w:t xml:space="preserve">2022. </w:t>
            </w:r>
          </w:p>
          <w:p w14:paraId="48120054" w14:textId="77777777" w:rsidR="008F14D5" w:rsidRDefault="008F14D5" w:rsidP="006E26CC">
            <w:pPr>
              <w:pStyle w:val="Default"/>
              <w:rPr>
                <w:bCs/>
                <w:lang w:eastAsia="en-US"/>
              </w:rPr>
            </w:pPr>
          </w:p>
          <w:p w14:paraId="4196001E" w14:textId="2A9C450E" w:rsidR="006E26CC" w:rsidRPr="00627A1C" w:rsidRDefault="006E26CC" w:rsidP="006E26CC">
            <w:pPr>
              <w:pStyle w:val="Default"/>
            </w:pPr>
            <w:r>
              <w:rPr>
                <w:bCs/>
                <w:lang w:eastAsia="en-US"/>
              </w:rPr>
              <w:t xml:space="preserve">Data collection for the </w:t>
            </w:r>
            <w:r w:rsidRPr="00B621F4">
              <w:rPr>
                <w:bCs/>
                <w:lang w:eastAsia="en-US"/>
              </w:rPr>
              <w:t>UN-WB Partnership survey</w:t>
            </w:r>
            <w:r>
              <w:rPr>
                <w:bCs/>
                <w:lang w:eastAsia="en-US"/>
              </w:rPr>
              <w:t xml:space="preserve"> </w:t>
            </w:r>
            <w:r w:rsidR="00DC4F44">
              <w:rPr>
                <w:bCs/>
                <w:lang w:eastAsia="en-US"/>
              </w:rPr>
              <w:t>was launched in</w:t>
            </w:r>
            <w:r>
              <w:rPr>
                <w:bCs/>
                <w:lang w:eastAsia="en-US"/>
              </w:rPr>
              <w:t xml:space="preserve"> May 2022.</w:t>
            </w:r>
          </w:p>
        </w:tc>
      </w:tr>
      <w:tr w:rsidR="006E26CC" w:rsidRPr="00627A1C" w14:paraId="1C54105C" w14:textId="77777777" w:rsidTr="1DE817D5">
        <w:trPr>
          <w:trHeight w:val="548"/>
        </w:trPr>
        <w:tc>
          <w:tcPr>
            <w:tcW w:w="1867" w:type="dxa"/>
            <w:vMerge/>
          </w:tcPr>
          <w:p w14:paraId="3D8BDC04" w14:textId="77777777" w:rsidR="006E26CC" w:rsidRPr="00627A1C" w:rsidRDefault="006E26CC" w:rsidP="004E3B3E">
            <w:pPr>
              <w:rPr>
                <w:b/>
                <w:lang w:val="en-US" w:eastAsia="en-US"/>
              </w:rPr>
            </w:pPr>
          </w:p>
        </w:tc>
        <w:tc>
          <w:tcPr>
            <w:tcW w:w="1980" w:type="dxa"/>
            <w:shd w:val="clear" w:color="auto" w:fill="EEECE1"/>
          </w:tcPr>
          <w:p w14:paraId="39846B0E" w14:textId="77777777" w:rsidR="006E26CC" w:rsidRPr="00627A1C" w:rsidRDefault="006E26CC" w:rsidP="004E3B3E">
            <w:pPr>
              <w:jc w:val="both"/>
              <w:rPr>
                <w:lang w:val="en-US" w:eastAsia="en-US"/>
              </w:rPr>
            </w:pPr>
            <w:r w:rsidRPr="00627A1C">
              <w:rPr>
                <w:lang w:val="en-US" w:eastAsia="en-US"/>
              </w:rPr>
              <w:t>Indicator 1.2</w:t>
            </w:r>
          </w:p>
          <w:p w14:paraId="56608518" w14:textId="77777777" w:rsidR="006E26CC" w:rsidRDefault="006E26CC" w:rsidP="006D429E">
            <w:pPr>
              <w:pStyle w:val="Default"/>
              <w:jc w:val="both"/>
              <w:rPr>
                <w:sz w:val="23"/>
                <w:szCs w:val="23"/>
              </w:rPr>
            </w:pPr>
            <w:r>
              <w:rPr>
                <w:sz w:val="23"/>
                <w:szCs w:val="23"/>
              </w:rPr>
              <w:t xml:space="preserve">Amount of IFI funding in response to joint frameworks </w:t>
            </w:r>
          </w:p>
          <w:p w14:paraId="280BDD9E" w14:textId="3FC190A6" w:rsidR="006E26CC" w:rsidRPr="00627A1C" w:rsidRDefault="006E26CC" w:rsidP="004E3B3E">
            <w:pPr>
              <w:jc w:val="both"/>
              <w:rPr>
                <w:lang w:val="en-US" w:eastAsia="en-US"/>
              </w:rPr>
            </w:pPr>
          </w:p>
        </w:tc>
        <w:tc>
          <w:tcPr>
            <w:tcW w:w="1530" w:type="dxa"/>
            <w:shd w:val="clear" w:color="auto" w:fill="EEECE1"/>
          </w:tcPr>
          <w:p w14:paraId="2CFECC24" w14:textId="77777777" w:rsidR="006E26CC" w:rsidRDefault="006E26CC" w:rsidP="00A92446">
            <w:pPr>
              <w:pStyle w:val="Default"/>
              <w:rPr>
                <w:sz w:val="23"/>
                <w:szCs w:val="23"/>
              </w:rPr>
            </w:pPr>
            <w:r>
              <w:rPr>
                <w:sz w:val="23"/>
                <w:szCs w:val="23"/>
              </w:rPr>
              <w:t xml:space="preserve">Baseline: $52 million </w:t>
            </w:r>
          </w:p>
          <w:p w14:paraId="6A41AE98" w14:textId="6C67819C" w:rsidR="006E26CC" w:rsidRPr="00627A1C" w:rsidRDefault="006E26CC"/>
        </w:tc>
        <w:tc>
          <w:tcPr>
            <w:tcW w:w="1620" w:type="dxa"/>
            <w:shd w:val="clear" w:color="auto" w:fill="EEECE1"/>
          </w:tcPr>
          <w:p w14:paraId="3101B255" w14:textId="77777777" w:rsidR="006E26CC" w:rsidRDefault="006E26CC" w:rsidP="00A92446">
            <w:pPr>
              <w:pStyle w:val="Default"/>
              <w:rPr>
                <w:sz w:val="23"/>
                <w:szCs w:val="23"/>
              </w:rPr>
            </w:pPr>
            <w:r>
              <w:rPr>
                <w:sz w:val="23"/>
                <w:szCs w:val="23"/>
              </w:rPr>
              <w:t xml:space="preserve">Target: </w:t>
            </w:r>
          </w:p>
          <w:p w14:paraId="2923290B" w14:textId="77777777" w:rsidR="006E26CC" w:rsidRDefault="006E26CC" w:rsidP="00A92446">
            <w:pPr>
              <w:pStyle w:val="Default"/>
              <w:rPr>
                <w:sz w:val="22"/>
                <w:szCs w:val="22"/>
              </w:rPr>
            </w:pPr>
            <w:r>
              <w:rPr>
                <w:i/>
                <w:iCs/>
                <w:sz w:val="22"/>
                <w:szCs w:val="22"/>
              </w:rPr>
              <w:t xml:space="preserve">Overall $300 million by end 2021 </w:t>
            </w:r>
          </w:p>
          <w:p w14:paraId="74D3DFE5" w14:textId="6BA77FE4" w:rsidR="006E26CC" w:rsidRPr="00627A1C" w:rsidRDefault="006E26CC" w:rsidP="00A92446">
            <w:r>
              <w:rPr>
                <w:i/>
                <w:iCs/>
                <w:sz w:val="22"/>
                <w:szCs w:val="22"/>
              </w:rPr>
              <w:t xml:space="preserve">HDPP Facility-supported US$300 </w:t>
            </w:r>
          </w:p>
        </w:tc>
        <w:tc>
          <w:tcPr>
            <w:tcW w:w="3060" w:type="dxa"/>
          </w:tcPr>
          <w:p w14:paraId="3EC27E78" w14:textId="77777777" w:rsidR="006E26CC" w:rsidRPr="00626E64" w:rsidRDefault="006E26CC" w:rsidP="006E26CC">
            <w:pPr>
              <w:rPr>
                <w:bCs/>
                <w:lang w:val="en-US" w:eastAsia="en-US"/>
              </w:rPr>
            </w:pPr>
            <w:r>
              <w:rPr>
                <w:bCs/>
                <w:lang w:val="en-US" w:eastAsia="en-US"/>
              </w:rPr>
              <w:t>Indicator (developed pre-reform for the DPPA Strategic Plan) needs to be reformulated to better reflect the nature of collaboration on new FCV instruments.</w:t>
            </w:r>
          </w:p>
          <w:p w14:paraId="099449C1" w14:textId="37832F83" w:rsidR="006E26CC" w:rsidRPr="00627A1C" w:rsidRDefault="006E26CC"/>
        </w:tc>
        <w:tc>
          <w:tcPr>
            <w:tcW w:w="3150" w:type="dxa"/>
          </w:tcPr>
          <w:p w14:paraId="18DE1EE6" w14:textId="511AC319" w:rsidR="006E26CC" w:rsidRPr="008F14D5" w:rsidRDefault="006E26CC">
            <w:pPr>
              <w:rPr>
                <w:bCs/>
              </w:rPr>
            </w:pPr>
            <w:r w:rsidRPr="008F14D5">
              <w:rPr>
                <w:bCs/>
                <w:lang w:val="en-US" w:eastAsia="en-US"/>
              </w:rPr>
              <w:t>N/A</w:t>
            </w:r>
          </w:p>
        </w:tc>
      </w:tr>
      <w:tr w:rsidR="006E26CC" w:rsidRPr="00627A1C" w14:paraId="44809174" w14:textId="77777777" w:rsidTr="1DE817D5">
        <w:trPr>
          <w:trHeight w:val="422"/>
        </w:trPr>
        <w:tc>
          <w:tcPr>
            <w:tcW w:w="1867" w:type="dxa"/>
            <w:vMerge w:val="restart"/>
          </w:tcPr>
          <w:p w14:paraId="04F7201A" w14:textId="656CEC32" w:rsidR="006E26CC" w:rsidRPr="00627A1C" w:rsidRDefault="006E26CC" w:rsidP="006E26CC">
            <w:pPr>
              <w:rPr>
                <w:b/>
                <w:lang w:val="en-US" w:eastAsia="en-US"/>
              </w:rPr>
            </w:pPr>
            <w:r w:rsidRPr="00627A1C">
              <w:rPr>
                <w:b/>
                <w:lang w:val="en-US" w:eastAsia="en-US"/>
              </w:rPr>
              <w:lastRenderedPageBreak/>
              <w:t xml:space="preserve">Outcome </w:t>
            </w:r>
            <w:r>
              <w:rPr>
                <w:b/>
                <w:lang w:val="en-US" w:eastAsia="en-US"/>
              </w:rPr>
              <w:t>1.1</w:t>
            </w:r>
          </w:p>
          <w:p w14:paraId="629656D8" w14:textId="77777777" w:rsidR="006E26CC" w:rsidRDefault="006E26CC" w:rsidP="006E26CC">
            <w:r w:rsidRPr="00BE6F8D">
              <w:t>Additional capacities deployed in high-priority prevention and transition settings (that may be eligible to supplementary assistance through the IDA19 FCV envelopes) in support of government-led strategies and of strategic partnership with the World Bank – “regular track”</w:t>
            </w:r>
          </w:p>
          <w:p w14:paraId="21EDAAB3" w14:textId="77777777" w:rsidR="006E26CC" w:rsidRPr="00627A1C" w:rsidRDefault="006E26CC" w:rsidP="006E26CC">
            <w:pPr>
              <w:pStyle w:val="Default"/>
              <w:rPr>
                <w:b/>
                <w:lang w:eastAsia="en-US"/>
              </w:rPr>
            </w:pPr>
          </w:p>
        </w:tc>
        <w:tc>
          <w:tcPr>
            <w:tcW w:w="1980" w:type="dxa"/>
            <w:shd w:val="clear" w:color="auto" w:fill="EEECE1"/>
          </w:tcPr>
          <w:p w14:paraId="35BA4DE6" w14:textId="23D8852C" w:rsidR="006E26CC" w:rsidRPr="00627A1C" w:rsidRDefault="006E26CC" w:rsidP="006E26CC">
            <w:pPr>
              <w:jc w:val="both"/>
              <w:rPr>
                <w:lang w:val="en-US" w:eastAsia="en-US"/>
              </w:rPr>
            </w:pPr>
            <w:r w:rsidRPr="00627A1C">
              <w:rPr>
                <w:lang w:val="en-US" w:eastAsia="en-US"/>
              </w:rPr>
              <w:t xml:space="preserve">Indicator </w:t>
            </w:r>
            <w:r>
              <w:rPr>
                <w:lang w:val="en-US" w:eastAsia="en-US"/>
              </w:rPr>
              <w:t>1.1.1</w:t>
            </w:r>
          </w:p>
          <w:p w14:paraId="22BD3A68" w14:textId="77777777" w:rsidR="006E26CC" w:rsidRDefault="006E26CC" w:rsidP="006E26CC">
            <w:pPr>
              <w:pStyle w:val="Default"/>
              <w:jc w:val="both"/>
              <w:rPr>
                <w:sz w:val="23"/>
                <w:szCs w:val="23"/>
              </w:rPr>
            </w:pPr>
            <w:r>
              <w:rPr>
                <w:sz w:val="23"/>
                <w:szCs w:val="23"/>
              </w:rPr>
              <w:t xml:space="preserve">Number of grants disbursed to high-priority settings which supports government-led prevention or transitions efforts and advance/deepen the UN-WB partnership. </w:t>
            </w:r>
          </w:p>
          <w:p w14:paraId="474B4539" w14:textId="5938D7D3" w:rsidR="006E26CC" w:rsidRPr="00627A1C" w:rsidRDefault="006E26CC" w:rsidP="006E26CC">
            <w:pPr>
              <w:jc w:val="both"/>
              <w:rPr>
                <w:lang w:val="en-US" w:eastAsia="en-US"/>
              </w:rPr>
            </w:pPr>
          </w:p>
        </w:tc>
        <w:tc>
          <w:tcPr>
            <w:tcW w:w="1530" w:type="dxa"/>
            <w:shd w:val="clear" w:color="auto" w:fill="EEECE1"/>
          </w:tcPr>
          <w:p w14:paraId="7CCA3CA4" w14:textId="77777777" w:rsidR="006E26CC" w:rsidRDefault="006E26CC" w:rsidP="006E26CC">
            <w:pPr>
              <w:pStyle w:val="Default"/>
              <w:rPr>
                <w:sz w:val="23"/>
                <w:szCs w:val="23"/>
              </w:rPr>
            </w:pPr>
            <w:r>
              <w:rPr>
                <w:sz w:val="23"/>
                <w:szCs w:val="23"/>
              </w:rPr>
              <w:t xml:space="preserve">Baseline (2019): 0 </w:t>
            </w:r>
          </w:p>
          <w:p w14:paraId="2DAB7F4A" w14:textId="48307675" w:rsidR="006E26CC" w:rsidRPr="00627A1C" w:rsidRDefault="006E26CC" w:rsidP="006E26CC"/>
        </w:tc>
        <w:tc>
          <w:tcPr>
            <w:tcW w:w="1620" w:type="dxa"/>
            <w:shd w:val="clear" w:color="auto" w:fill="EEECE1"/>
          </w:tcPr>
          <w:p w14:paraId="263BF372" w14:textId="77777777" w:rsidR="006E26CC" w:rsidRDefault="006E26CC" w:rsidP="006E26CC">
            <w:pPr>
              <w:pStyle w:val="Default"/>
              <w:rPr>
                <w:sz w:val="23"/>
                <w:szCs w:val="23"/>
              </w:rPr>
            </w:pPr>
            <w:r>
              <w:rPr>
                <w:sz w:val="23"/>
                <w:szCs w:val="23"/>
              </w:rPr>
              <w:t xml:space="preserve">(end Q1 2022): </w:t>
            </w:r>
          </w:p>
          <w:p w14:paraId="273EFCB8" w14:textId="7626641E" w:rsidR="006E26CC" w:rsidRPr="00627A1C" w:rsidRDefault="006E26CC" w:rsidP="006E26CC">
            <w:r>
              <w:rPr>
                <w:sz w:val="23"/>
                <w:szCs w:val="23"/>
              </w:rPr>
              <w:t xml:space="preserve">At least six grants approved and disbursed, which meet at least a “gender marker 2” equivalent </w:t>
            </w:r>
          </w:p>
        </w:tc>
        <w:tc>
          <w:tcPr>
            <w:tcW w:w="3060" w:type="dxa"/>
          </w:tcPr>
          <w:p w14:paraId="3056698F" w14:textId="404B2B94" w:rsidR="00A34E17" w:rsidRDefault="234A8DF7" w:rsidP="76BEF54F">
            <w:pPr>
              <w:rPr>
                <w:lang w:val="en-US" w:eastAsia="en-US"/>
              </w:rPr>
            </w:pPr>
            <w:r w:rsidRPr="1DE817D5">
              <w:rPr>
                <w:lang w:val="en-US" w:eastAsia="en-US"/>
              </w:rPr>
              <w:t xml:space="preserve">Since November 2021, 2 new additional “regular track” project have been approved, for Chad and the Gambia, </w:t>
            </w:r>
            <w:r w:rsidR="1C9609DA" w:rsidRPr="1DE817D5">
              <w:rPr>
                <w:lang w:val="en-US" w:eastAsia="en-US"/>
              </w:rPr>
              <w:t>bringing this to a total of 11“regular track” projects in total that the Facility has funded</w:t>
            </w:r>
          </w:p>
          <w:p w14:paraId="234CD5A5" w14:textId="77777777" w:rsidR="00A34E17" w:rsidRDefault="00A34E17" w:rsidP="76BEF54F">
            <w:pPr>
              <w:rPr>
                <w:highlight w:val="yellow"/>
                <w:lang w:val="en-US" w:eastAsia="en-US"/>
              </w:rPr>
            </w:pPr>
          </w:p>
          <w:p w14:paraId="4D80A1B2" w14:textId="7E1C6B49" w:rsidR="006E26CC" w:rsidRPr="00655303" w:rsidRDefault="006E26CC" w:rsidP="006E26CC">
            <w:pPr>
              <w:rPr>
                <w:bCs/>
                <w:sz w:val="22"/>
                <w:szCs w:val="22"/>
              </w:rPr>
            </w:pPr>
            <w:r>
              <w:rPr>
                <w:bCs/>
                <w:lang w:val="en-US" w:eastAsia="en-US"/>
              </w:rPr>
              <w:t>The Facility issued a call for proposals to consolidate its pipeline in Q4 2021.</w:t>
            </w:r>
            <w:r w:rsidRPr="00D65712">
              <w:rPr>
                <w:bCs/>
                <w:lang w:val="en-US" w:eastAsia="en-US"/>
              </w:rPr>
              <w:t xml:space="preserve"> </w:t>
            </w:r>
          </w:p>
        </w:tc>
        <w:tc>
          <w:tcPr>
            <w:tcW w:w="3150" w:type="dxa"/>
          </w:tcPr>
          <w:p w14:paraId="0EED955F" w14:textId="2DB17676" w:rsidR="006E26CC" w:rsidRDefault="006E26CC" w:rsidP="006E26CC">
            <w:pPr>
              <w:rPr>
                <w:bCs/>
                <w:lang w:val="en-US" w:eastAsia="en-US"/>
              </w:rPr>
            </w:pPr>
            <w:r>
              <w:rPr>
                <w:bCs/>
                <w:lang w:val="en-US" w:eastAsia="en-US"/>
              </w:rPr>
              <w:t>Following a call for proposals</w:t>
            </w:r>
            <w:r w:rsidR="00C32ED9">
              <w:rPr>
                <w:bCs/>
                <w:lang w:val="en-US" w:eastAsia="en-US"/>
              </w:rPr>
              <w:t xml:space="preserve"> </w:t>
            </w:r>
            <w:r w:rsidR="00113628">
              <w:rPr>
                <w:bCs/>
                <w:lang w:val="en-US" w:eastAsia="en-US"/>
              </w:rPr>
              <w:t>which closed in December 2021</w:t>
            </w:r>
            <w:r>
              <w:rPr>
                <w:bCs/>
                <w:lang w:val="en-US" w:eastAsia="en-US"/>
              </w:rPr>
              <w:t xml:space="preserve">, PBSO received </w:t>
            </w:r>
            <w:r w:rsidR="000D425F">
              <w:rPr>
                <w:bCs/>
                <w:lang w:val="en-US" w:eastAsia="en-US"/>
              </w:rPr>
              <w:t xml:space="preserve">“regular track” </w:t>
            </w:r>
            <w:r>
              <w:rPr>
                <w:bCs/>
                <w:lang w:val="en-US" w:eastAsia="en-US"/>
              </w:rPr>
              <w:t>expressions of interest from 10 country settings. Out of these, 8 met the Facility’s eligibility criteria but only 2 (Chad and the Gambia) were ready to be appraised (with a project proposal finalized, consulted, and formally submitted to PBSO). The remaining drafts either require</w:t>
            </w:r>
            <w:r w:rsidR="000A5E8A">
              <w:rPr>
                <w:bCs/>
                <w:lang w:val="en-US" w:eastAsia="en-US"/>
              </w:rPr>
              <w:t>d</w:t>
            </w:r>
            <w:r>
              <w:rPr>
                <w:bCs/>
                <w:lang w:val="en-US" w:eastAsia="en-US"/>
              </w:rPr>
              <w:t xml:space="preserve"> broader consultations (e.g. Somalia, Sudan) or rescoping (e.g. Burundi, Honduras, South Sudan). The project team is providing technical support and liaison to finalize the outstanding drafts and to adjust request to a “fast track” where relevant.</w:t>
            </w:r>
          </w:p>
          <w:p w14:paraId="4B882598" w14:textId="77777777" w:rsidR="006E26CC" w:rsidRDefault="006E26CC" w:rsidP="006E26CC">
            <w:pPr>
              <w:rPr>
                <w:bCs/>
                <w:lang w:val="en-US" w:eastAsia="en-US"/>
              </w:rPr>
            </w:pPr>
          </w:p>
          <w:p w14:paraId="41170805" w14:textId="77777777" w:rsidR="006E26CC" w:rsidRDefault="006E26CC" w:rsidP="006E26CC">
            <w:pPr>
              <w:rPr>
                <w:bCs/>
                <w:lang w:val="en-US" w:eastAsia="en-US"/>
              </w:rPr>
            </w:pPr>
          </w:p>
          <w:p w14:paraId="5AC7F7F6" w14:textId="3D8769AB" w:rsidR="006E26CC" w:rsidRPr="00655303" w:rsidRDefault="006E26CC" w:rsidP="006E26CC">
            <w:pPr>
              <w:rPr>
                <w:sz w:val="22"/>
                <w:szCs w:val="22"/>
              </w:rPr>
            </w:pPr>
          </w:p>
        </w:tc>
      </w:tr>
      <w:tr w:rsidR="006E26CC" w:rsidRPr="00627A1C" w14:paraId="1F38D121" w14:textId="77777777" w:rsidTr="1DE817D5">
        <w:trPr>
          <w:trHeight w:val="422"/>
        </w:trPr>
        <w:tc>
          <w:tcPr>
            <w:tcW w:w="1867" w:type="dxa"/>
            <w:vMerge/>
          </w:tcPr>
          <w:p w14:paraId="1358D700" w14:textId="77777777" w:rsidR="006E26CC" w:rsidRPr="00627A1C" w:rsidRDefault="006E26CC" w:rsidP="006E26CC">
            <w:pPr>
              <w:rPr>
                <w:lang w:val="en-US" w:eastAsia="en-US"/>
              </w:rPr>
            </w:pPr>
          </w:p>
        </w:tc>
        <w:tc>
          <w:tcPr>
            <w:tcW w:w="1980" w:type="dxa"/>
            <w:shd w:val="clear" w:color="auto" w:fill="EEECE1"/>
          </w:tcPr>
          <w:p w14:paraId="523CD5E5" w14:textId="0D703292" w:rsidR="006E26CC" w:rsidRPr="00627A1C" w:rsidRDefault="006E26CC" w:rsidP="006E26CC">
            <w:pPr>
              <w:jc w:val="both"/>
              <w:rPr>
                <w:lang w:val="en-US" w:eastAsia="en-US"/>
              </w:rPr>
            </w:pPr>
            <w:r w:rsidRPr="00627A1C">
              <w:rPr>
                <w:lang w:val="en-US" w:eastAsia="en-US"/>
              </w:rPr>
              <w:t xml:space="preserve">Indicator </w:t>
            </w:r>
            <w:r>
              <w:rPr>
                <w:lang w:val="en-US" w:eastAsia="en-US"/>
              </w:rPr>
              <w:t>1.1.2</w:t>
            </w:r>
          </w:p>
          <w:p w14:paraId="1FC0DCF3" w14:textId="77777777" w:rsidR="006E26CC" w:rsidRDefault="006E26CC" w:rsidP="006E26CC">
            <w:pPr>
              <w:pStyle w:val="Default"/>
              <w:jc w:val="both"/>
              <w:rPr>
                <w:sz w:val="23"/>
                <w:szCs w:val="23"/>
              </w:rPr>
            </w:pPr>
            <w:r>
              <w:rPr>
                <w:sz w:val="23"/>
                <w:szCs w:val="23"/>
              </w:rPr>
              <w:t xml:space="preserve">% of IDA19 FCV envelopes applied to eligible countries developed in collaboration or partnership with the UN </w:t>
            </w:r>
          </w:p>
          <w:p w14:paraId="02E68331" w14:textId="6578E6AD" w:rsidR="006E26CC" w:rsidRPr="00627A1C" w:rsidRDefault="006E26CC" w:rsidP="006E26CC">
            <w:pPr>
              <w:jc w:val="both"/>
              <w:rPr>
                <w:lang w:val="en-US" w:eastAsia="en-US"/>
              </w:rPr>
            </w:pPr>
          </w:p>
        </w:tc>
        <w:tc>
          <w:tcPr>
            <w:tcW w:w="1530" w:type="dxa"/>
            <w:shd w:val="clear" w:color="auto" w:fill="EEECE1"/>
          </w:tcPr>
          <w:p w14:paraId="688444D2" w14:textId="77777777" w:rsidR="006E26CC" w:rsidRDefault="006E26CC" w:rsidP="006E26CC">
            <w:pPr>
              <w:pStyle w:val="Default"/>
              <w:rPr>
                <w:sz w:val="23"/>
                <w:szCs w:val="23"/>
              </w:rPr>
            </w:pPr>
            <w:r>
              <w:rPr>
                <w:sz w:val="23"/>
                <w:szCs w:val="23"/>
              </w:rPr>
              <w:t xml:space="preserve">Baseline (2019) 1.2: 0 (IDA19 cycle starting July 2020) </w:t>
            </w:r>
          </w:p>
          <w:p w14:paraId="6043AFD6" w14:textId="2BD7373A" w:rsidR="006E26CC" w:rsidRPr="00627A1C" w:rsidRDefault="006E26CC" w:rsidP="006E26CC"/>
        </w:tc>
        <w:tc>
          <w:tcPr>
            <w:tcW w:w="1620" w:type="dxa"/>
            <w:shd w:val="clear" w:color="auto" w:fill="EEECE1"/>
          </w:tcPr>
          <w:p w14:paraId="70E92FFA" w14:textId="77777777" w:rsidR="006E26CC" w:rsidRDefault="006E26CC" w:rsidP="006E26CC">
            <w:pPr>
              <w:pStyle w:val="Default"/>
              <w:rPr>
                <w:sz w:val="23"/>
                <w:szCs w:val="23"/>
              </w:rPr>
            </w:pPr>
            <w:r>
              <w:rPr>
                <w:sz w:val="23"/>
                <w:szCs w:val="23"/>
              </w:rPr>
              <w:t xml:space="preserve">(end Q1 2022): At least 70% of approved eligibility packages for IDA19 FCV envelopes developed in collaboration or partnership with the UN </w:t>
            </w:r>
          </w:p>
          <w:p w14:paraId="1FBD9810" w14:textId="1AAD76B3" w:rsidR="006E26CC" w:rsidRPr="00627A1C" w:rsidRDefault="006E26CC" w:rsidP="006E26CC"/>
        </w:tc>
        <w:tc>
          <w:tcPr>
            <w:tcW w:w="3060" w:type="dxa"/>
          </w:tcPr>
          <w:p w14:paraId="19426E29" w14:textId="4D465EE4" w:rsidR="006E26CC" w:rsidRPr="004A77FE" w:rsidRDefault="006E26CC" w:rsidP="006E26CC">
            <w:pPr>
              <w:rPr>
                <w:bCs/>
                <w:lang w:val="en-US" w:eastAsia="en-US"/>
              </w:rPr>
            </w:pPr>
            <w:r w:rsidRPr="004A77FE">
              <w:rPr>
                <w:bCs/>
                <w:lang w:val="en-US" w:eastAsia="en-US"/>
              </w:rPr>
              <w:t>Progress (</w:t>
            </w:r>
            <w:r w:rsidR="000D425F">
              <w:rPr>
                <w:bCs/>
                <w:lang w:val="en-US" w:eastAsia="en-US"/>
              </w:rPr>
              <w:t xml:space="preserve">June </w:t>
            </w:r>
            <w:r>
              <w:rPr>
                <w:bCs/>
                <w:lang w:val="en-US" w:eastAsia="en-US"/>
              </w:rPr>
              <w:t>2022</w:t>
            </w:r>
            <w:r w:rsidRPr="004A77FE">
              <w:rPr>
                <w:bCs/>
                <w:lang w:val="en-US" w:eastAsia="en-US"/>
              </w:rPr>
              <w:t>):</w:t>
            </w:r>
          </w:p>
          <w:p w14:paraId="2488CA67" w14:textId="77777777" w:rsidR="006E26CC" w:rsidRPr="004A77FE" w:rsidRDefault="006E26CC" w:rsidP="006E26CC">
            <w:pPr>
              <w:rPr>
                <w:bCs/>
                <w:lang w:val="en-US" w:eastAsia="en-US"/>
              </w:rPr>
            </w:pPr>
          </w:p>
          <w:p w14:paraId="2EC98B0A" w14:textId="1FB323B3" w:rsidR="006E26CC" w:rsidRDefault="006E26CC" w:rsidP="006E26CC">
            <w:pPr>
              <w:rPr>
                <w:bCs/>
                <w:lang w:val="en-US" w:eastAsia="en-US"/>
              </w:rPr>
            </w:pPr>
            <w:r w:rsidRPr="004A77FE">
              <w:rPr>
                <w:bCs/>
                <w:lang w:val="en-US" w:eastAsia="en-US"/>
              </w:rPr>
              <w:t xml:space="preserve">100% namely: </w:t>
            </w:r>
            <w:r>
              <w:rPr>
                <w:bCs/>
                <w:lang w:val="en-US" w:eastAsia="en-US"/>
              </w:rPr>
              <w:t xml:space="preserve">Chad, DRC, Mali, Mozambique, Niger, and the Gambia </w:t>
            </w:r>
            <w:r w:rsidRPr="004A77FE">
              <w:rPr>
                <w:bCs/>
                <w:lang w:val="en-US" w:eastAsia="en-US"/>
              </w:rPr>
              <w:t>in 2021, with first-mover Burkina Faso in 2020.</w:t>
            </w:r>
            <w:r>
              <w:rPr>
                <w:b/>
                <w:lang w:val="en-US" w:eastAsia="en-US"/>
              </w:rPr>
              <w:t xml:space="preserve"> </w:t>
            </w:r>
            <w:r>
              <w:rPr>
                <w:bCs/>
                <w:lang w:val="en-US" w:eastAsia="en-US"/>
              </w:rPr>
              <w:t xml:space="preserve"> </w:t>
            </w:r>
          </w:p>
          <w:p w14:paraId="7B330BFB" w14:textId="59AE92CB" w:rsidR="006E26CC" w:rsidRPr="00655303" w:rsidRDefault="006E26CC" w:rsidP="006E26CC">
            <w:pPr>
              <w:pStyle w:val="Default"/>
              <w:rPr>
                <w:sz w:val="22"/>
                <w:szCs w:val="22"/>
              </w:rPr>
            </w:pPr>
          </w:p>
        </w:tc>
        <w:tc>
          <w:tcPr>
            <w:tcW w:w="3150" w:type="dxa"/>
          </w:tcPr>
          <w:p w14:paraId="705F9DE2" w14:textId="4B93E0B5" w:rsidR="006E26CC" w:rsidRPr="00655303" w:rsidRDefault="006E26CC" w:rsidP="006E26CC">
            <w:pPr>
              <w:rPr>
                <w:sz w:val="22"/>
                <w:szCs w:val="22"/>
              </w:rPr>
            </w:pPr>
            <w:r w:rsidRPr="00CF0F59">
              <w:rPr>
                <w:bCs/>
                <w:lang w:val="en-US" w:eastAsia="en-US"/>
              </w:rPr>
              <w:t>Target on track.</w:t>
            </w:r>
          </w:p>
        </w:tc>
      </w:tr>
      <w:tr w:rsidR="006E26CC" w:rsidRPr="00627A1C" w14:paraId="6FC08761" w14:textId="77777777" w:rsidTr="1DE817D5">
        <w:trPr>
          <w:trHeight w:val="458"/>
        </w:trPr>
        <w:tc>
          <w:tcPr>
            <w:tcW w:w="1867" w:type="dxa"/>
          </w:tcPr>
          <w:p w14:paraId="2E2A8743" w14:textId="689F0DC2" w:rsidR="006E26CC" w:rsidRPr="00627A1C" w:rsidRDefault="006E26CC" w:rsidP="006E26CC">
            <w:pPr>
              <w:rPr>
                <w:b/>
                <w:lang w:val="en-US" w:eastAsia="en-US"/>
              </w:rPr>
            </w:pPr>
            <w:r w:rsidRPr="00627A1C">
              <w:rPr>
                <w:b/>
                <w:lang w:val="en-US" w:eastAsia="en-US"/>
              </w:rPr>
              <w:t xml:space="preserve">Outcome </w:t>
            </w:r>
            <w:r>
              <w:rPr>
                <w:b/>
                <w:lang w:val="en-US" w:eastAsia="en-US"/>
              </w:rPr>
              <w:t>1.2</w:t>
            </w:r>
          </w:p>
          <w:p w14:paraId="7F5A9DA9" w14:textId="77777777" w:rsidR="006E26CC" w:rsidRDefault="006E26CC" w:rsidP="006E26CC">
            <w:r>
              <w:t xml:space="preserve">In prevention settings highlighted by UN leadership as of priority concern, RCs are supported to </w:t>
            </w:r>
            <w:r w:rsidRPr="00BE6F8D">
              <w:t>engage IFIs in COVID-19 recovery planning that is conflict-</w:t>
            </w:r>
            <w:r w:rsidRPr="00BE6F8D">
              <w:lastRenderedPageBreak/>
              <w:t>sensitive, and informed by joint gender and youth-responsive multidimensional risk analyses – “fast track”</w:t>
            </w:r>
            <w:r>
              <w:t xml:space="preserve"> </w:t>
            </w:r>
          </w:p>
          <w:p w14:paraId="3093CEE3" w14:textId="2A14E9D0" w:rsidR="006E26CC" w:rsidRPr="00627A1C" w:rsidRDefault="006E26CC" w:rsidP="006E26CC">
            <w:pPr>
              <w:rPr>
                <w:b/>
                <w:lang w:val="en-US" w:eastAsia="en-US"/>
              </w:rPr>
            </w:pPr>
          </w:p>
        </w:tc>
        <w:tc>
          <w:tcPr>
            <w:tcW w:w="1980" w:type="dxa"/>
            <w:shd w:val="clear" w:color="auto" w:fill="EEECE1"/>
          </w:tcPr>
          <w:p w14:paraId="3174A120" w14:textId="70329D17" w:rsidR="006E26CC" w:rsidRPr="00627A1C" w:rsidRDefault="006E26CC" w:rsidP="006E26CC">
            <w:pPr>
              <w:jc w:val="both"/>
              <w:rPr>
                <w:lang w:val="en-US" w:eastAsia="en-US"/>
              </w:rPr>
            </w:pPr>
            <w:r w:rsidRPr="00627A1C">
              <w:rPr>
                <w:lang w:val="en-US" w:eastAsia="en-US"/>
              </w:rPr>
              <w:lastRenderedPageBreak/>
              <w:t xml:space="preserve">Indicator </w:t>
            </w:r>
            <w:r>
              <w:rPr>
                <w:lang w:val="en-US" w:eastAsia="en-US"/>
              </w:rPr>
              <w:t>1.2.1</w:t>
            </w:r>
          </w:p>
          <w:p w14:paraId="58ED7264" w14:textId="77777777" w:rsidR="006E26CC" w:rsidRDefault="006E26CC" w:rsidP="006E26CC">
            <w:pPr>
              <w:pStyle w:val="Default"/>
              <w:jc w:val="both"/>
              <w:rPr>
                <w:sz w:val="23"/>
                <w:szCs w:val="23"/>
              </w:rPr>
            </w:pPr>
            <w:r>
              <w:rPr>
                <w:sz w:val="23"/>
                <w:szCs w:val="23"/>
              </w:rPr>
              <w:t xml:space="preserve">Number of youth and gender-responsive joint analyses conducted in support of risk-informed, conflict-sensitive COVID-19 recovery </w:t>
            </w:r>
          </w:p>
          <w:p w14:paraId="6256071D" w14:textId="5BFCF16E" w:rsidR="006E26CC" w:rsidRPr="00627A1C" w:rsidRDefault="006E26CC" w:rsidP="006E26CC">
            <w:pPr>
              <w:jc w:val="both"/>
              <w:rPr>
                <w:lang w:val="en-US" w:eastAsia="en-US"/>
              </w:rPr>
            </w:pPr>
          </w:p>
        </w:tc>
        <w:tc>
          <w:tcPr>
            <w:tcW w:w="1530" w:type="dxa"/>
            <w:shd w:val="clear" w:color="auto" w:fill="EEECE1"/>
          </w:tcPr>
          <w:p w14:paraId="3067BF26" w14:textId="77777777" w:rsidR="006E26CC" w:rsidRDefault="006E26CC" w:rsidP="006E26CC">
            <w:pPr>
              <w:pStyle w:val="Default"/>
              <w:rPr>
                <w:sz w:val="23"/>
                <w:szCs w:val="23"/>
              </w:rPr>
            </w:pPr>
            <w:r>
              <w:rPr>
                <w:sz w:val="23"/>
                <w:szCs w:val="23"/>
              </w:rPr>
              <w:t xml:space="preserve">Baseline (2019): 0 </w:t>
            </w:r>
          </w:p>
          <w:p w14:paraId="195BD01C" w14:textId="02FA8BBF" w:rsidR="006E26CC" w:rsidRPr="00627A1C" w:rsidRDefault="006E26CC" w:rsidP="006E26CC"/>
        </w:tc>
        <w:tc>
          <w:tcPr>
            <w:tcW w:w="1620" w:type="dxa"/>
            <w:shd w:val="clear" w:color="auto" w:fill="EEECE1"/>
          </w:tcPr>
          <w:p w14:paraId="29D117E7" w14:textId="77777777" w:rsidR="006E26CC" w:rsidRDefault="006E26CC" w:rsidP="006E26CC">
            <w:r w:rsidRPr="00523360">
              <w:t>(end Q1 2022): 7 new joint analyses by the end of Q1 2022, which meet at least a “gender</w:t>
            </w:r>
            <w:r>
              <w:t xml:space="preserve"> </w:t>
            </w:r>
          </w:p>
          <w:p w14:paraId="1B4BA493" w14:textId="77777777" w:rsidR="006E26CC" w:rsidRDefault="006E26CC" w:rsidP="006E26CC">
            <w:pPr>
              <w:pStyle w:val="Default"/>
              <w:rPr>
                <w:sz w:val="23"/>
                <w:szCs w:val="23"/>
              </w:rPr>
            </w:pPr>
            <w:r>
              <w:rPr>
                <w:sz w:val="23"/>
                <w:szCs w:val="23"/>
              </w:rPr>
              <w:t xml:space="preserve">marker 2” equivalent </w:t>
            </w:r>
          </w:p>
          <w:p w14:paraId="20791024" w14:textId="7FDBAEE2" w:rsidR="006E26CC" w:rsidRDefault="006E26CC" w:rsidP="006E26CC"/>
          <w:p w14:paraId="724B7D36" w14:textId="780CDCA1" w:rsidR="006E26CC" w:rsidRPr="00627A1C" w:rsidRDefault="006E26CC" w:rsidP="006E26CC"/>
        </w:tc>
        <w:tc>
          <w:tcPr>
            <w:tcW w:w="3060" w:type="dxa"/>
          </w:tcPr>
          <w:p w14:paraId="097CF368" w14:textId="0C1A4FEE" w:rsidR="006E26CC" w:rsidRDefault="006E26CC" w:rsidP="006E26CC">
            <w:pPr>
              <w:rPr>
                <w:bCs/>
                <w:lang w:val="en-US" w:eastAsia="en-US"/>
              </w:rPr>
            </w:pPr>
            <w:r w:rsidRPr="00D65712">
              <w:rPr>
                <w:bCs/>
                <w:lang w:val="en-US" w:eastAsia="en-US"/>
              </w:rPr>
              <w:t>Progress (</w:t>
            </w:r>
            <w:r w:rsidR="000D425F">
              <w:rPr>
                <w:bCs/>
                <w:lang w:val="en-US" w:eastAsia="en-US"/>
              </w:rPr>
              <w:t xml:space="preserve">June </w:t>
            </w:r>
            <w:r w:rsidRPr="00D65712">
              <w:rPr>
                <w:bCs/>
                <w:lang w:val="en-US" w:eastAsia="en-US"/>
              </w:rPr>
              <w:t>202</w:t>
            </w:r>
            <w:r>
              <w:rPr>
                <w:bCs/>
                <w:lang w:val="en-US" w:eastAsia="en-US"/>
              </w:rPr>
              <w:t>2</w:t>
            </w:r>
            <w:r w:rsidRPr="00D65712">
              <w:rPr>
                <w:bCs/>
                <w:lang w:val="en-US" w:eastAsia="en-US"/>
              </w:rPr>
              <w:t>):</w:t>
            </w:r>
          </w:p>
          <w:p w14:paraId="687926BD" w14:textId="77777777" w:rsidR="000A5E8A" w:rsidRPr="00D65712" w:rsidRDefault="000A5E8A" w:rsidP="006E26CC">
            <w:pPr>
              <w:rPr>
                <w:bCs/>
                <w:lang w:val="en-US" w:eastAsia="en-US"/>
              </w:rPr>
            </w:pPr>
          </w:p>
          <w:p w14:paraId="1992A517" w14:textId="77777777" w:rsidR="006E26CC" w:rsidRPr="00D65712" w:rsidRDefault="006E26CC" w:rsidP="006E26CC">
            <w:pPr>
              <w:rPr>
                <w:bCs/>
                <w:lang w:val="en-US" w:eastAsia="en-US"/>
              </w:rPr>
            </w:pPr>
            <w:r w:rsidRPr="00D65712">
              <w:rPr>
                <w:bCs/>
                <w:lang w:val="en-US" w:eastAsia="en-US"/>
              </w:rPr>
              <w:t xml:space="preserve">Since January 2021, </w:t>
            </w:r>
          </w:p>
          <w:p w14:paraId="29D421B3" w14:textId="77777777" w:rsidR="006E26CC" w:rsidRDefault="006E26CC" w:rsidP="006E26CC">
            <w:pPr>
              <w:rPr>
                <w:bCs/>
                <w:lang w:val="en-US" w:eastAsia="en-US"/>
              </w:rPr>
            </w:pPr>
            <w:r>
              <w:rPr>
                <w:bCs/>
                <w:lang w:val="en-US" w:eastAsia="en-US"/>
              </w:rPr>
              <w:t xml:space="preserve">8 </w:t>
            </w:r>
            <w:r w:rsidRPr="00D65712">
              <w:rPr>
                <w:bCs/>
                <w:lang w:val="en-US" w:eastAsia="en-US"/>
              </w:rPr>
              <w:t>“fast track” initiatives have been approved and are underway in</w:t>
            </w:r>
            <w:r w:rsidRPr="00881397">
              <w:rPr>
                <w:bCs/>
                <w:lang w:val="en-US" w:eastAsia="en-US"/>
              </w:rPr>
              <w:t xml:space="preserve"> Gran Chaco Americano, Guinea</w:t>
            </w:r>
            <w:r>
              <w:rPr>
                <w:bCs/>
                <w:lang w:val="en-US" w:eastAsia="en-US"/>
              </w:rPr>
              <w:t xml:space="preserve">, </w:t>
            </w:r>
            <w:r w:rsidRPr="00881397">
              <w:rPr>
                <w:bCs/>
                <w:lang w:val="en-US" w:eastAsia="en-US"/>
              </w:rPr>
              <w:t>Lebanon, Mano River Un</w:t>
            </w:r>
            <w:r w:rsidRPr="00DF00BE">
              <w:rPr>
                <w:bCs/>
                <w:lang w:val="en-US" w:eastAsia="en-US"/>
              </w:rPr>
              <w:t>ion,</w:t>
            </w:r>
            <w:r w:rsidRPr="00881397">
              <w:rPr>
                <w:bCs/>
                <w:lang w:val="en-US" w:eastAsia="en-US"/>
              </w:rPr>
              <w:t xml:space="preserve"> Mozambique, Republic of Congo, Nepal</w:t>
            </w:r>
            <w:r w:rsidRPr="00DF00BE">
              <w:rPr>
                <w:bCs/>
                <w:lang w:val="en-US" w:eastAsia="en-US"/>
              </w:rPr>
              <w:t xml:space="preserve">, </w:t>
            </w:r>
            <w:r>
              <w:rPr>
                <w:bCs/>
                <w:lang w:val="en-US" w:eastAsia="en-US"/>
              </w:rPr>
              <w:t xml:space="preserve">and a regional initiative on </w:t>
            </w:r>
            <w:r w:rsidRPr="00DF00BE">
              <w:rPr>
                <w:bCs/>
                <w:lang w:val="en-US" w:eastAsia="en-US"/>
              </w:rPr>
              <w:t>conflict prevention with ECOWAS and CS</w:t>
            </w:r>
            <w:r>
              <w:rPr>
                <w:bCs/>
                <w:lang w:val="en-US" w:eastAsia="en-US"/>
              </w:rPr>
              <w:t>Os.</w:t>
            </w:r>
          </w:p>
          <w:p w14:paraId="4F91413E" w14:textId="0AD0133B" w:rsidR="006E26CC" w:rsidRPr="00655303" w:rsidRDefault="006E26CC" w:rsidP="006E26CC">
            <w:pPr>
              <w:rPr>
                <w:sz w:val="22"/>
                <w:szCs w:val="22"/>
              </w:rPr>
            </w:pPr>
            <w:r>
              <w:rPr>
                <w:bCs/>
                <w:lang w:val="en-US" w:eastAsia="en-US"/>
              </w:rPr>
              <w:lastRenderedPageBreak/>
              <w:br/>
              <w:t>From the November 2021 call for proposal, field settings submitted 12 “fast track” initiatives out of which, 7 were prioritized (Benin, Cote d’Ivoire, Chile, Equatorial Guinea, Kosovo, Lebanon, Libya</w:t>
            </w:r>
            <w:r w:rsidR="00607DEF">
              <w:rPr>
                <w:bCs/>
                <w:lang w:val="en-US" w:eastAsia="en-US"/>
              </w:rPr>
              <w:t>,</w:t>
            </w:r>
            <w:r>
              <w:rPr>
                <w:bCs/>
                <w:lang w:val="en-US" w:eastAsia="en-US"/>
              </w:rPr>
              <w:t xml:space="preserve"> and Tunisia</w:t>
            </w:r>
            <w:r w:rsidR="000A5E8A">
              <w:rPr>
                <w:bCs/>
                <w:lang w:val="en-US" w:eastAsia="en-US"/>
              </w:rPr>
              <w:t>)</w:t>
            </w:r>
            <w:r>
              <w:rPr>
                <w:bCs/>
                <w:lang w:val="en-US" w:eastAsia="en-US"/>
              </w:rPr>
              <w:t>.</w:t>
            </w:r>
          </w:p>
        </w:tc>
        <w:tc>
          <w:tcPr>
            <w:tcW w:w="3150" w:type="dxa"/>
          </w:tcPr>
          <w:p w14:paraId="1280BC32" w14:textId="04F0832A" w:rsidR="006E26CC" w:rsidRPr="00655303" w:rsidRDefault="006E26CC" w:rsidP="006E26CC">
            <w:pPr>
              <w:rPr>
                <w:bCs/>
                <w:sz w:val="22"/>
                <w:szCs w:val="22"/>
              </w:rPr>
            </w:pPr>
            <w:r>
              <w:rPr>
                <w:bCs/>
                <w:lang w:val="en-US" w:eastAsia="en-US"/>
              </w:rPr>
              <w:lastRenderedPageBreak/>
              <w:t xml:space="preserve">Delays experienced as a number of pipeline initiatives need additional time to consult with IFIs and governments, e.g. Political Economy Analyses. Field teams do require guidance on project design and working with UNOPS </w:t>
            </w:r>
          </w:p>
        </w:tc>
      </w:tr>
      <w:tr w:rsidR="006E26CC" w:rsidRPr="00627A1C" w14:paraId="55C6C47E" w14:textId="77777777" w:rsidTr="1DE817D5">
        <w:trPr>
          <w:trHeight w:val="458"/>
        </w:trPr>
        <w:tc>
          <w:tcPr>
            <w:tcW w:w="1867" w:type="dxa"/>
            <w:vMerge w:val="restart"/>
          </w:tcPr>
          <w:p w14:paraId="4D0023B1" w14:textId="093D7AF6" w:rsidR="006E26CC" w:rsidRPr="00627A1C" w:rsidRDefault="006E26CC" w:rsidP="006E26CC">
            <w:pPr>
              <w:rPr>
                <w:b/>
                <w:lang w:val="en-US" w:eastAsia="en-US"/>
              </w:rPr>
            </w:pPr>
            <w:r w:rsidRPr="00627A1C">
              <w:rPr>
                <w:b/>
                <w:lang w:val="en-US" w:eastAsia="en-US"/>
              </w:rPr>
              <w:t xml:space="preserve">Outcome </w:t>
            </w:r>
            <w:r>
              <w:rPr>
                <w:b/>
                <w:lang w:val="en-US" w:eastAsia="en-US"/>
              </w:rPr>
              <w:t>1.3</w:t>
            </w:r>
          </w:p>
          <w:p w14:paraId="67C1AFEA" w14:textId="77777777" w:rsidR="006E26CC" w:rsidRPr="00BE6F8D" w:rsidRDefault="006E26CC" w:rsidP="006E26CC">
            <w:pPr>
              <w:rPr>
                <w:sz w:val="23"/>
                <w:szCs w:val="23"/>
              </w:rPr>
            </w:pPr>
            <w:r w:rsidRPr="00BE6F8D">
              <w:t xml:space="preserve">UN increases its capacity to partner with the World Bank and IMF through the development of policy analysis and operational collaboration and production of relevant knowledge products, in support of the </w:t>
            </w:r>
            <w:r w:rsidRPr="00BE6F8D">
              <w:rPr>
                <w:sz w:val="23"/>
                <w:szCs w:val="23"/>
              </w:rPr>
              <w:lastRenderedPageBreak/>
              <w:t xml:space="preserve">sustaining peace agenda </w:t>
            </w:r>
          </w:p>
          <w:p w14:paraId="196608D5" w14:textId="7B2C262E" w:rsidR="006E26CC" w:rsidRPr="00627A1C" w:rsidRDefault="006E26CC" w:rsidP="006E26CC">
            <w:pPr>
              <w:rPr>
                <w:b/>
                <w:lang w:val="en-US" w:eastAsia="en-US"/>
              </w:rPr>
            </w:pPr>
          </w:p>
        </w:tc>
        <w:tc>
          <w:tcPr>
            <w:tcW w:w="1980" w:type="dxa"/>
            <w:shd w:val="clear" w:color="auto" w:fill="EEECE1"/>
          </w:tcPr>
          <w:p w14:paraId="7A6D8A73" w14:textId="302AA239" w:rsidR="006E26CC" w:rsidRPr="00627A1C" w:rsidRDefault="006E26CC" w:rsidP="006E26CC">
            <w:pPr>
              <w:jc w:val="both"/>
              <w:rPr>
                <w:lang w:val="en-US" w:eastAsia="en-US"/>
              </w:rPr>
            </w:pPr>
            <w:r w:rsidRPr="00627A1C">
              <w:rPr>
                <w:lang w:val="en-US" w:eastAsia="en-US"/>
              </w:rPr>
              <w:lastRenderedPageBreak/>
              <w:t xml:space="preserve">Indicator </w:t>
            </w:r>
            <w:r>
              <w:rPr>
                <w:lang w:val="en-US" w:eastAsia="en-US"/>
              </w:rPr>
              <w:t>1.3.1</w:t>
            </w:r>
          </w:p>
          <w:p w14:paraId="57654B06" w14:textId="3ECF4BF5" w:rsidR="006E26CC" w:rsidRPr="00627A1C" w:rsidRDefault="006E26CC" w:rsidP="006E26CC">
            <w:pPr>
              <w:jc w:val="both"/>
              <w:rPr>
                <w:lang w:val="en-US" w:eastAsia="en-US"/>
              </w:rPr>
            </w:pPr>
            <w:r>
              <w:rPr>
                <w:sz w:val="23"/>
                <w:szCs w:val="23"/>
              </w:rPr>
              <w:t xml:space="preserve">Development of new policy and operational tools, including guidance notes and best practices, in thematic areas of collaboration outlined by the FCV Strategy </w:t>
            </w:r>
          </w:p>
        </w:tc>
        <w:tc>
          <w:tcPr>
            <w:tcW w:w="1530" w:type="dxa"/>
            <w:shd w:val="clear" w:color="auto" w:fill="EEECE1"/>
          </w:tcPr>
          <w:p w14:paraId="254F4259" w14:textId="77777777" w:rsidR="006E26CC" w:rsidRDefault="006E26CC" w:rsidP="006E26CC">
            <w:pPr>
              <w:pStyle w:val="Default"/>
              <w:rPr>
                <w:sz w:val="23"/>
                <w:szCs w:val="23"/>
              </w:rPr>
            </w:pPr>
            <w:r>
              <w:rPr>
                <w:sz w:val="23"/>
                <w:szCs w:val="23"/>
              </w:rPr>
              <w:t xml:space="preserve">Baseline (2019): N/A (WB FCV Strategy endorsed March 2020) </w:t>
            </w:r>
          </w:p>
          <w:p w14:paraId="63FBF8B9" w14:textId="3524A414" w:rsidR="006E26CC" w:rsidRPr="00627A1C" w:rsidRDefault="006E26CC" w:rsidP="006E26CC"/>
        </w:tc>
        <w:tc>
          <w:tcPr>
            <w:tcW w:w="1620" w:type="dxa"/>
            <w:shd w:val="clear" w:color="auto" w:fill="EEECE1"/>
          </w:tcPr>
          <w:p w14:paraId="61817910" w14:textId="77777777" w:rsidR="006E26CC" w:rsidRDefault="006E26CC" w:rsidP="006E26CC">
            <w:pPr>
              <w:pStyle w:val="Default"/>
              <w:rPr>
                <w:sz w:val="23"/>
                <w:szCs w:val="23"/>
              </w:rPr>
            </w:pPr>
            <w:r>
              <w:rPr>
                <w:sz w:val="23"/>
                <w:szCs w:val="23"/>
              </w:rPr>
              <w:t xml:space="preserve">(end Q1 2022): </w:t>
            </w:r>
          </w:p>
          <w:p w14:paraId="5481BF5A" w14:textId="206E0C2D" w:rsidR="006E26CC" w:rsidRPr="00627A1C" w:rsidRDefault="006E26CC" w:rsidP="006E26CC">
            <w:r>
              <w:rPr>
                <w:sz w:val="23"/>
                <w:szCs w:val="23"/>
              </w:rPr>
              <w:t xml:space="preserve">Availability of guidance notes and operational tools in one new area opened up by the WB FCV Strategy </w:t>
            </w:r>
          </w:p>
        </w:tc>
        <w:tc>
          <w:tcPr>
            <w:tcW w:w="3060" w:type="dxa"/>
          </w:tcPr>
          <w:p w14:paraId="6A310979" w14:textId="524F28D2" w:rsidR="006E26CC" w:rsidRDefault="006E26CC" w:rsidP="006E26CC">
            <w:pPr>
              <w:rPr>
                <w:bCs/>
                <w:lang w:val="en-US" w:eastAsia="en-US"/>
              </w:rPr>
            </w:pPr>
            <w:r>
              <w:rPr>
                <w:bCs/>
                <w:lang w:eastAsia="en-US"/>
              </w:rPr>
              <w:t>The Facility is supporting DPO/OROLSI with</w:t>
            </w:r>
            <w:r w:rsidRPr="00D65712">
              <w:rPr>
                <w:bCs/>
                <w:lang w:val="en-US" w:eastAsia="en-US"/>
              </w:rPr>
              <w:t xml:space="preserve"> </w:t>
            </w:r>
            <w:r>
              <w:rPr>
                <w:bCs/>
                <w:lang w:val="en-US" w:eastAsia="en-US"/>
              </w:rPr>
              <w:t>extra capacity to</w:t>
            </w:r>
            <w:r w:rsidRPr="00D65712">
              <w:rPr>
                <w:bCs/>
                <w:lang w:val="en-US" w:eastAsia="en-US"/>
              </w:rPr>
              <w:t xml:space="preserve"> </w:t>
            </w:r>
            <w:r>
              <w:rPr>
                <w:bCs/>
                <w:lang w:val="en-US" w:eastAsia="en-US"/>
              </w:rPr>
              <w:t xml:space="preserve">foster a collaboration with the World Bank on the security-development nexus. This strand has already produced ten policy notes, established partnerships with seven </w:t>
            </w:r>
            <w:r w:rsidRPr="00D65712">
              <w:rPr>
                <w:bCs/>
                <w:lang w:val="en-US" w:eastAsia="en-US"/>
              </w:rPr>
              <w:t>research organizations - ODI, FERDI, T</w:t>
            </w:r>
            <w:r>
              <w:rPr>
                <w:bCs/>
                <w:lang w:val="en-US" w:eastAsia="en-US"/>
              </w:rPr>
              <w:t>I</w:t>
            </w:r>
            <w:r w:rsidRPr="00D65712">
              <w:rPr>
                <w:bCs/>
                <w:lang w:val="en-US" w:eastAsia="en-US"/>
              </w:rPr>
              <w:t>, ASSN, DCAF, ISSAT, OECD</w:t>
            </w:r>
            <w:r>
              <w:rPr>
                <w:bCs/>
                <w:lang w:val="en-US" w:eastAsia="en-US"/>
              </w:rPr>
              <w:t xml:space="preserve">, and facilitated the constitution of an Advisory Network which will contribute to the </w:t>
            </w:r>
            <w:r>
              <w:rPr>
                <w:bCs/>
                <w:lang w:val="en-US" w:eastAsia="en-US"/>
              </w:rPr>
              <w:lastRenderedPageBreak/>
              <w:t xml:space="preserve">development of new Guidance Notes on SSR and Conflict Prevention and Public Expenditure Reviews of SSR in 2022. </w:t>
            </w:r>
          </w:p>
          <w:p w14:paraId="76455912" w14:textId="77777777" w:rsidR="006E26CC" w:rsidRDefault="006E26CC" w:rsidP="006E26CC">
            <w:pPr>
              <w:rPr>
                <w:bCs/>
                <w:lang w:val="en-US" w:eastAsia="en-US"/>
              </w:rPr>
            </w:pPr>
          </w:p>
          <w:p w14:paraId="5D76F9E1" w14:textId="77777777" w:rsidR="006E26CC" w:rsidRPr="00D65712" w:rsidRDefault="006E26CC" w:rsidP="006E26CC">
            <w:pPr>
              <w:rPr>
                <w:bCs/>
                <w:lang w:val="en-US" w:eastAsia="en-US"/>
              </w:rPr>
            </w:pPr>
          </w:p>
          <w:p w14:paraId="0169CDAB" w14:textId="5812F43F" w:rsidR="006E26CC" w:rsidRPr="00627A1C" w:rsidRDefault="006E26CC" w:rsidP="006E26CC"/>
        </w:tc>
        <w:tc>
          <w:tcPr>
            <w:tcW w:w="3150" w:type="dxa"/>
          </w:tcPr>
          <w:p w14:paraId="5303D9C9" w14:textId="64E62105" w:rsidR="006E26CC" w:rsidRPr="00627A1C" w:rsidRDefault="006E26CC" w:rsidP="006E26CC">
            <w:r w:rsidRPr="00CF0F59">
              <w:rPr>
                <w:bCs/>
                <w:lang w:val="en-US" w:eastAsia="en-US"/>
              </w:rPr>
              <w:lastRenderedPageBreak/>
              <w:t>Target on track.</w:t>
            </w:r>
          </w:p>
        </w:tc>
      </w:tr>
      <w:tr w:rsidR="006E26CC" w:rsidRPr="00627A1C" w14:paraId="5A831BFE" w14:textId="77777777" w:rsidTr="1DE817D5">
        <w:trPr>
          <w:trHeight w:val="458"/>
        </w:trPr>
        <w:tc>
          <w:tcPr>
            <w:tcW w:w="1867" w:type="dxa"/>
            <w:vMerge/>
          </w:tcPr>
          <w:p w14:paraId="456CFE39" w14:textId="77777777" w:rsidR="006E26CC" w:rsidRPr="00627A1C" w:rsidRDefault="006E26CC" w:rsidP="006E26CC">
            <w:pPr>
              <w:rPr>
                <w:lang w:val="en-US" w:eastAsia="en-US"/>
              </w:rPr>
            </w:pPr>
          </w:p>
        </w:tc>
        <w:tc>
          <w:tcPr>
            <w:tcW w:w="1980" w:type="dxa"/>
            <w:shd w:val="clear" w:color="auto" w:fill="EEECE1"/>
          </w:tcPr>
          <w:p w14:paraId="0161B27E" w14:textId="681F0640" w:rsidR="006E26CC" w:rsidRPr="00627A1C" w:rsidRDefault="006E26CC" w:rsidP="006E26CC">
            <w:pPr>
              <w:jc w:val="both"/>
              <w:rPr>
                <w:lang w:val="en-US" w:eastAsia="en-US"/>
              </w:rPr>
            </w:pPr>
            <w:r w:rsidRPr="00627A1C">
              <w:rPr>
                <w:lang w:val="en-US" w:eastAsia="en-US"/>
              </w:rPr>
              <w:t xml:space="preserve">Indicator </w:t>
            </w:r>
            <w:r>
              <w:rPr>
                <w:lang w:val="en-US" w:eastAsia="en-US"/>
              </w:rPr>
              <w:t>1.3.2</w:t>
            </w:r>
          </w:p>
          <w:p w14:paraId="1C0940D3" w14:textId="1C2759C1" w:rsidR="006E26CC" w:rsidRPr="00627A1C" w:rsidRDefault="006E26CC" w:rsidP="006E26CC">
            <w:pPr>
              <w:jc w:val="both"/>
              <w:rPr>
                <w:lang w:val="en-US" w:eastAsia="en-US"/>
              </w:rPr>
            </w:pPr>
            <w:r>
              <w:rPr>
                <w:sz w:val="23"/>
                <w:szCs w:val="23"/>
              </w:rPr>
              <w:t xml:space="preserve">% of DPPA-DPO regional teams, PDA and PBF focal points reporting improved capacity to leverage IFIs partnership since 2019 </w:t>
            </w:r>
          </w:p>
        </w:tc>
        <w:tc>
          <w:tcPr>
            <w:tcW w:w="1530" w:type="dxa"/>
            <w:shd w:val="clear" w:color="auto" w:fill="EEECE1"/>
          </w:tcPr>
          <w:p w14:paraId="13C0337A" w14:textId="77777777" w:rsidR="006E26CC" w:rsidRDefault="006E26CC" w:rsidP="006E26CC">
            <w:pPr>
              <w:pStyle w:val="Default"/>
              <w:rPr>
                <w:sz w:val="23"/>
                <w:szCs w:val="23"/>
              </w:rPr>
            </w:pPr>
            <w:r>
              <w:rPr>
                <w:sz w:val="23"/>
                <w:szCs w:val="23"/>
              </w:rPr>
              <w:t xml:space="preserve">Baseline (2020): 38% of staff reported an improvement in their ability to take advantage of IFI partnership </w:t>
            </w:r>
          </w:p>
          <w:p w14:paraId="56545167" w14:textId="77777777" w:rsidR="006E26CC" w:rsidRDefault="006E26CC" w:rsidP="006E26CC">
            <w:pPr>
              <w:pStyle w:val="Default"/>
              <w:rPr>
                <w:sz w:val="23"/>
                <w:szCs w:val="23"/>
              </w:rPr>
            </w:pPr>
            <w:r>
              <w:rPr>
                <w:sz w:val="23"/>
                <w:szCs w:val="23"/>
              </w:rPr>
              <w:t xml:space="preserve">opportunities since 2019 </w:t>
            </w:r>
          </w:p>
          <w:p w14:paraId="7E2DEF19" w14:textId="4DB78042" w:rsidR="006E26CC" w:rsidRDefault="006E26CC" w:rsidP="006E26CC">
            <w:pPr>
              <w:pStyle w:val="Default"/>
              <w:rPr>
                <w:sz w:val="23"/>
                <w:szCs w:val="23"/>
              </w:rPr>
            </w:pPr>
          </w:p>
          <w:p w14:paraId="2A08A935" w14:textId="50F2D09D" w:rsidR="006E26CC" w:rsidRPr="00627A1C" w:rsidRDefault="006E26CC" w:rsidP="006E26CC"/>
        </w:tc>
        <w:tc>
          <w:tcPr>
            <w:tcW w:w="1620" w:type="dxa"/>
            <w:shd w:val="clear" w:color="auto" w:fill="EEECE1"/>
          </w:tcPr>
          <w:p w14:paraId="6ED39183" w14:textId="77777777" w:rsidR="006E26CC" w:rsidRDefault="006E26CC" w:rsidP="006E26CC">
            <w:pPr>
              <w:pStyle w:val="Default"/>
              <w:rPr>
                <w:sz w:val="23"/>
                <w:szCs w:val="23"/>
              </w:rPr>
            </w:pPr>
            <w:r>
              <w:rPr>
                <w:sz w:val="23"/>
                <w:szCs w:val="23"/>
              </w:rPr>
              <w:t xml:space="preserve">Target (2021): at least 50% of staff report an improvement in their ability to take advantage of IFI partnership </w:t>
            </w:r>
          </w:p>
          <w:p w14:paraId="44C234A0" w14:textId="77777777" w:rsidR="006E26CC" w:rsidRDefault="006E26CC" w:rsidP="006E26CC">
            <w:pPr>
              <w:pStyle w:val="Default"/>
              <w:rPr>
                <w:sz w:val="23"/>
                <w:szCs w:val="23"/>
              </w:rPr>
            </w:pPr>
            <w:r>
              <w:rPr>
                <w:sz w:val="23"/>
                <w:szCs w:val="23"/>
              </w:rPr>
              <w:t xml:space="preserve">opportunities since 2019 </w:t>
            </w:r>
          </w:p>
          <w:p w14:paraId="29503155" w14:textId="798DF8F9" w:rsidR="006E26CC" w:rsidRPr="00627A1C" w:rsidRDefault="006E26CC" w:rsidP="006E26CC"/>
        </w:tc>
        <w:tc>
          <w:tcPr>
            <w:tcW w:w="3060" w:type="dxa"/>
          </w:tcPr>
          <w:p w14:paraId="6EBDDAE9" w14:textId="3D5FE8B0" w:rsidR="006E26CC" w:rsidRPr="00627A1C" w:rsidRDefault="234A8DF7" w:rsidP="006E26CC">
            <w:r w:rsidRPr="1DE817D5">
              <w:rPr>
                <w:lang w:val="en-US" w:eastAsia="en-US"/>
              </w:rPr>
              <w:t xml:space="preserve">At the end of Q1 2022, 53% of staff report an improvement in their ability to leverage opportunities to partner with the World Bank, compared with 33% from the survey administered in 2020. </w:t>
            </w:r>
            <w:r w:rsidR="6B90714B" w:rsidRPr="1DE817D5">
              <w:rPr>
                <w:lang w:val="en-US" w:eastAsia="en-US"/>
              </w:rPr>
              <w:t xml:space="preserve">Building on a first series of seminars for RCs and RCOs co-organized and co-financed with DCO, thematic “deep dives” further discussed UN and IFI approaches and collaboration opportunities on social protection, FCV, and climate action. </w:t>
            </w:r>
            <w:r w:rsidRPr="1DE817D5">
              <w:rPr>
                <w:lang w:val="en-US" w:eastAsia="en-US"/>
              </w:rPr>
              <w:t xml:space="preserve">Additionally, </w:t>
            </w:r>
            <w:r w:rsidR="42EE4729" w:rsidRPr="1DE817D5">
              <w:rPr>
                <w:lang w:val="en-US" w:eastAsia="en-US"/>
              </w:rPr>
              <w:t xml:space="preserve">the </w:t>
            </w:r>
            <w:r w:rsidR="42EE4729" w:rsidRPr="1DE817D5">
              <w:rPr>
                <w:lang w:val="en-US" w:eastAsia="en-US"/>
              </w:rPr>
              <w:lastRenderedPageBreak/>
              <w:t xml:space="preserve">Facility contributed to organizing an exchange with PRA/TAA eligible country focal points and the World Bank to discuss the upcoming annual review process. </w:t>
            </w:r>
          </w:p>
        </w:tc>
        <w:tc>
          <w:tcPr>
            <w:tcW w:w="3150" w:type="dxa"/>
          </w:tcPr>
          <w:p w14:paraId="0484176B" w14:textId="77777777" w:rsidR="006E26CC" w:rsidRPr="00627A1C" w:rsidRDefault="006E26CC" w:rsidP="006E26CC">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6278D8">
      <w:pPr>
        <w:jc w:val="both"/>
        <w:rPr>
          <w:b/>
          <w:u w:val="single"/>
        </w:rPr>
      </w:pPr>
      <w:r w:rsidRPr="00206D45">
        <w:rPr>
          <w:b/>
          <w:u w:val="single"/>
        </w:rPr>
        <w:lastRenderedPageBreak/>
        <w:t xml:space="preserve">PART III: CROSS-CUTTING ISSUES </w:t>
      </w:r>
    </w:p>
    <w:p w14:paraId="37392C4D" w14:textId="27655FF7" w:rsidR="009A0FD1" w:rsidRDefault="009A0FD1" w:rsidP="006278D8">
      <w:pPr>
        <w:jc w:val="both"/>
        <w:rPr>
          <w:b/>
          <w:u w:val="single"/>
        </w:rPr>
      </w:pPr>
    </w:p>
    <w:p w14:paraId="2C98318D" w14:textId="77777777" w:rsidR="006278D8" w:rsidRPr="006278D8" w:rsidRDefault="009A0FD1" w:rsidP="002B405F">
      <w:pPr>
        <w:ind w:left="-810" w:right="26"/>
        <w:jc w:val="both"/>
        <w:rPr>
          <w:b/>
          <w:bCs/>
        </w:rPr>
      </w:pPr>
      <w:r w:rsidRPr="006278D8">
        <w:rPr>
          <w:b/>
          <w:bCs/>
          <w:color w:val="000000"/>
          <w:lang w:val="en-US" w:eastAsia="en-US"/>
        </w:rPr>
        <w:t>Please indicate any significant project-related events anticipated in the next six months, i.e. national dialogues, youth congresses, film screenings, etc.</w:t>
      </w:r>
      <w:r w:rsidRPr="006278D8">
        <w:rPr>
          <w:b/>
          <w:bCs/>
        </w:rPr>
        <w:t xml:space="preserve">  (1000 character limit): </w:t>
      </w:r>
    </w:p>
    <w:p w14:paraId="705D7F18" w14:textId="77777777" w:rsidR="006278D8" w:rsidRDefault="006278D8" w:rsidP="002B405F">
      <w:pPr>
        <w:ind w:left="-810" w:right="26"/>
        <w:jc w:val="both"/>
      </w:pPr>
    </w:p>
    <w:p w14:paraId="419C9E7A" w14:textId="3A6C66C5" w:rsidR="006278D8" w:rsidRDefault="006278D8" w:rsidP="00607DEF">
      <w:pPr>
        <w:ind w:left="-810" w:right="26"/>
        <w:jc w:val="both"/>
        <w:rPr>
          <w:bCs/>
          <w:iCs/>
          <w:sz w:val="22"/>
          <w:szCs w:val="22"/>
        </w:rPr>
      </w:pPr>
      <w:r>
        <w:rPr>
          <w:bCs/>
          <w:iCs/>
          <w:sz w:val="22"/>
          <w:szCs w:val="22"/>
        </w:rPr>
        <w:t xml:space="preserve">Major events anticipated in the coming months, </w:t>
      </w:r>
      <w:r w:rsidR="00D90702">
        <w:rPr>
          <w:bCs/>
          <w:iCs/>
          <w:sz w:val="22"/>
          <w:szCs w:val="22"/>
        </w:rPr>
        <w:t>include:</w:t>
      </w:r>
    </w:p>
    <w:p w14:paraId="593DA19D" w14:textId="1B653E7F" w:rsidR="006278D8" w:rsidRPr="006278D8" w:rsidRDefault="006278D8" w:rsidP="002B405F">
      <w:pPr>
        <w:pStyle w:val="ListParagraph"/>
        <w:numPr>
          <w:ilvl w:val="0"/>
          <w:numId w:val="5"/>
        </w:numPr>
        <w:ind w:right="26"/>
        <w:jc w:val="both"/>
        <w:rPr>
          <w:bCs/>
          <w:iCs/>
          <w:sz w:val="22"/>
          <w:szCs w:val="22"/>
        </w:rPr>
      </w:pPr>
      <w:r w:rsidRPr="006278D8">
        <w:rPr>
          <w:bCs/>
          <w:iCs/>
          <w:sz w:val="22"/>
          <w:szCs w:val="22"/>
        </w:rPr>
        <w:t xml:space="preserve">A </w:t>
      </w:r>
      <w:r w:rsidR="00D579D7" w:rsidRPr="006278D8">
        <w:rPr>
          <w:bCs/>
          <w:iCs/>
          <w:sz w:val="22"/>
          <w:szCs w:val="22"/>
        </w:rPr>
        <w:t xml:space="preserve">closed-door briefing </w:t>
      </w:r>
      <w:r w:rsidRPr="006278D8">
        <w:rPr>
          <w:bCs/>
          <w:iCs/>
          <w:sz w:val="22"/>
          <w:szCs w:val="22"/>
        </w:rPr>
        <w:t xml:space="preserve">with government officials and principals from </w:t>
      </w:r>
      <w:r w:rsidR="00D90702">
        <w:rPr>
          <w:bCs/>
          <w:iCs/>
          <w:sz w:val="22"/>
          <w:szCs w:val="22"/>
        </w:rPr>
        <w:t xml:space="preserve">the </w:t>
      </w:r>
      <w:r w:rsidRPr="006278D8">
        <w:rPr>
          <w:bCs/>
          <w:iCs/>
          <w:sz w:val="22"/>
          <w:szCs w:val="22"/>
        </w:rPr>
        <w:t xml:space="preserve">AfDB, MRU </w:t>
      </w:r>
      <w:r w:rsidR="00D90702">
        <w:rPr>
          <w:bCs/>
          <w:iCs/>
          <w:sz w:val="22"/>
          <w:szCs w:val="22"/>
        </w:rPr>
        <w:t>S</w:t>
      </w:r>
      <w:r w:rsidR="00D90702" w:rsidRPr="006278D8">
        <w:rPr>
          <w:bCs/>
          <w:iCs/>
          <w:sz w:val="22"/>
          <w:szCs w:val="22"/>
        </w:rPr>
        <w:t>ecretariat</w:t>
      </w:r>
      <w:r w:rsidR="00D90702">
        <w:rPr>
          <w:bCs/>
          <w:iCs/>
          <w:sz w:val="22"/>
          <w:szCs w:val="22"/>
        </w:rPr>
        <w:t xml:space="preserve">, and the UN, to </w:t>
      </w:r>
      <w:r w:rsidR="00093A28">
        <w:rPr>
          <w:bCs/>
          <w:iCs/>
          <w:sz w:val="22"/>
          <w:szCs w:val="22"/>
        </w:rPr>
        <w:t>discuss the sub-regional Fragility and Resilience Assessment preliminary findings,</w:t>
      </w:r>
      <w:r w:rsidR="00D90702">
        <w:rPr>
          <w:bCs/>
          <w:iCs/>
          <w:sz w:val="22"/>
          <w:szCs w:val="22"/>
        </w:rPr>
        <w:t xml:space="preserve"> at the</w:t>
      </w:r>
      <w:r w:rsidRPr="006278D8">
        <w:rPr>
          <w:bCs/>
          <w:iCs/>
          <w:sz w:val="22"/>
          <w:szCs w:val="22"/>
        </w:rPr>
        <w:t xml:space="preserve"> end of June 2022</w:t>
      </w:r>
    </w:p>
    <w:p w14:paraId="1C32F81E" w14:textId="1F8C965E" w:rsidR="006278D8" w:rsidRPr="006278D8" w:rsidRDefault="006278D8" w:rsidP="002B405F">
      <w:pPr>
        <w:pStyle w:val="ListParagraph"/>
        <w:numPr>
          <w:ilvl w:val="0"/>
          <w:numId w:val="5"/>
        </w:numPr>
        <w:ind w:right="26"/>
        <w:jc w:val="both"/>
        <w:rPr>
          <w:bCs/>
          <w:iCs/>
          <w:sz w:val="22"/>
          <w:szCs w:val="22"/>
        </w:rPr>
      </w:pPr>
      <w:r w:rsidRPr="006278D8">
        <w:rPr>
          <w:bCs/>
          <w:iCs/>
          <w:sz w:val="22"/>
          <w:szCs w:val="22"/>
        </w:rPr>
        <w:t xml:space="preserve">Possible missions to </w:t>
      </w:r>
      <w:r w:rsidR="00D90702">
        <w:rPr>
          <w:bCs/>
          <w:iCs/>
          <w:sz w:val="22"/>
          <w:szCs w:val="22"/>
        </w:rPr>
        <w:t xml:space="preserve">the </w:t>
      </w:r>
      <w:r w:rsidRPr="006278D8">
        <w:rPr>
          <w:bCs/>
          <w:iCs/>
          <w:sz w:val="22"/>
          <w:szCs w:val="22"/>
        </w:rPr>
        <w:t>MRU</w:t>
      </w:r>
      <w:r w:rsidR="00D90702">
        <w:rPr>
          <w:bCs/>
          <w:iCs/>
          <w:sz w:val="22"/>
          <w:szCs w:val="22"/>
        </w:rPr>
        <w:t xml:space="preserve"> Secretariat</w:t>
      </w:r>
      <w:r w:rsidRPr="006278D8">
        <w:rPr>
          <w:bCs/>
          <w:iCs/>
          <w:sz w:val="22"/>
          <w:szCs w:val="22"/>
        </w:rPr>
        <w:t xml:space="preserve"> and Mozambique </w:t>
      </w:r>
    </w:p>
    <w:p w14:paraId="1926AD0E" w14:textId="6C4C371D" w:rsidR="006278D8" w:rsidRDefault="006278D8" w:rsidP="76BEF54F">
      <w:pPr>
        <w:pStyle w:val="ListParagraph"/>
        <w:numPr>
          <w:ilvl w:val="0"/>
          <w:numId w:val="5"/>
        </w:numPr>
        <w:ind w:right="26"/>
        <w:jc w:val="both"/>
        <w:rPr>
          <w:sz w:val="22"/>
          <w:szCs w:val="22"/>
        </w:rPr>
      </w:pPr>
      <w:r w:rsidRPr="1DE817D5">
        <w:rPr>
          <w:sz w:val="22"/>
          <w:szCs w:val="22"/>
        </w:rPr>
        <w:t>Launch of virtual coordination platform in Niger expected in fall of 2022</w:t>
      </w:r>
    </w:p>
    <w:p w14:paraId="028ED087" w14:textId="65B7ED41" w:rsidR="006278D8" w:rsidRDefault="006278D8" w:rsidP="002B405F">
      <w:pPr>
        <w:ind w:left="-810" w:right="26"/>
        <w:jc w:val="both"/>
      </w:pPr>
    </w:p>
    <w:p w14:paraId="60A49455" w14:textId="7577734A" w:rsidR="009A0FD1" w:rsidRPr="006278D8" w:rsidRDefault="009A0FD1" w:rsidP="002B405F">
      <w:pPr>
        <w:ind w:left="-810" w:right="26"/>
        <w:jc w:val="both"/>
        <w:rPr>
          <w:b/>
          <w:bCs/>
        </w:rPr>
      </w:pPr>
      <w:r w:rsidRPr="006278D8">
        <w:rPr>
          <w:b/>
          <w:bCs/>
        </w:rPr>
        <w:t>In a few sentences, explain whether the project has had a positive human impact. May include anecdotal stories about the project’s positive effect on the people’s lives. Include direct quotes where possible or weblinks to strategic communications pieces. (2000 character limit):</w:t>
      </w:r>
    </w:p>
    <w:p w14:paraId="2D1DC9F3" w14:textId="77777777" w:rsidR="00D579D7" w:rsidRDefault="00D579D7" w:rsidP="002B405F">
      <w:pPr>
        <w:ind w:left="-810" w:right="26"/>
        <w:jc w:val="both"/>
        <w:rPr>
          <w:sz w:val="23"/>
          <w:szCs w:val="23"/>
        </w:rPr>
      </w:pPr>
    </w:p>
    <w:p w14:paraId="235EAD9A" w14:textId="3AA66DBC" w:rsidR="00515856" w:rsidRDefault="004A6B30" w:rsidP="002B405F">
      <w:pPr>
        <w:ind w:left="-810" w:right="26"/>
        <w:jc w:val="both"/>
        <w:rPr>
          <w:sz w:val="22"/>
          <w:szCs w:val="22"/>
        </w:rPr>
      </w:pPr>
      <w:r>
        <w:rPr>
          <w:sz w:val="22"/>
          <w:szCs w:val="22"/>
        </w:rPr>
        <w:t xml:space="preserve">The </w:t>
      </w:r>
      <w:r w:rsidR="00D579D7" w:rsidRPr="00D579D7">
        <w:rPr>
          <w:sz w:val="22"/>
          <w:szCs w:val="22"/>
        </w:rPr>
        <w:t>Facility is generating positive human impact through an indirect but strategic focus on deepening the partnership between the UN and WB in support of more coherent prevention, peacebuilding</w:t>
      </w:r>
      <w:r w:rsidR="006278D8">
        <w:rPr>
          <w:sz w:val="22"/>
          <w:szCs w:val="22"/>
        </w:rPr>
        <w:t>,</w:t>
      </w:r>
      <w:r w:rsidR="00D579D7" w:rsidRPr="00D579D7">
        <w:rPr>
          <w:sz w:val="22"/>
          <w:szCs w:val="22"/>
        </w:rPr>
        <w:t xml:space="preserve"> and transition strategies, including making UN on-the-ground expertise in conflict-sensitive approaches and peacebuilding available as the WB and IMF shape their </w:t>
      </w:r>
      <w:r w:rsidR="00EE0FB9">
        <w:rPr>
          <w:sz w:val="22"/>
          <w:szCs w:val="22"/>
        </w:rPr>
        <w:t xml:space="preserve">analytics and </w:t>
      </w:r>
      <w:r w:rsidR="00D579D7" w:rsidRPr="00D579D7">
        <w:rPr>
          <w:sz w:val="22"/>
          <w:szCs w:val="22"/>
        </w:rPr>
        <w:t xml:space="preserve">operations. </w:t>
      </w:r>
    </w:p>
    <w:p w14:paraId="04A101D1" w14:textId="77777777" w:rsidR="00515856" w:rsidRDefault="00515856" w:rsidP="002B405F">
      <w:pPr>
        <w:ind w:left="-810" w:right="26"/>
        <w:jc w:val="both"/>
        <w:rPr>
          <w:sz w:val="22"/>
          <w:szCs w:val="22"/>
        </w:rPr>
      </w:pPr>
    </w:p>
    <w:p w14:paraId="749577FB" w14:textId="451C4F18" w:rsidR="00F47910" w:rsidRDefault="00515856" w:rsidP="611CD828">
      <w:pPr>
        <w:ind w:left="-810" w:right="26"/>
        <w:jc w:val="both"/>
        <w:rPr>
          <w:sz w:val="22"/>
          <w:szCs w:val="22"/>
        </w:rPr>
      </w:pPr>
      <w:r w:rsidRPr="611CD828">
        <w:rPr>
          <w:sz w:val="22"/>
          <w:szCs w:val="22"/>
        </w:rPr>
        <w:t xml:space="preserve">“It was so useful to </w:t>
      </w:r>
      <w:r w:rsidR="00C631F4" w:rsidRPr="611CD828">
        <w:rPr>
          <w:sz w:val="22"/>
          <w:szCs w:val="22"/>
        </w:rPr>
        <w:t>measure</w:t>
      </w:r>
      <w:r w:rsidR="00F47910" w:rsidRPr="611CD828">
        <w:rPr>
          <w:sz w:val="22"/>
          <w:szCs w:val="22"/>
        </w:rPr>
        <w:t xml:space="preserve"> delays in the electoral cycle </w:t>
      </w:r>
      <w:r w:rsidR="00C631F4" w:rsidRPr="611CD828">
        <w:rPr>
          <w:sz w:val="22"/>
          <w:szCs w:val="22"/>
        </w:rPr>
        <w:t>against</w:t>
      </w:r>
      <w:r w:rsidR="00F47910" w:rsidRPr="611CD828">
        <w:rPr>
          <w:sz w:val="22"/>
          <w:szCs w:val="22"/>
        </w:rPr>
        <w:t xml:space="preserve"> their </w:t>
      </w:r>
      <w:r w:rsidR="00C631F4" w:rsidRPr="611CD828">
        <w:rPr>
          <w:sz w:val="22"/>
          <w:szCs w:val="22"/>
        </w:rPr>
        <w:t xml:space="preserve">possible </w:t>
      </w:r>
      <w:r w:rsidR="00F47910" w:rsidRPr="611CD828">
        <w:rPr>
          <w:sz w:val="22"/>
          <w:szCs w:val="22"/>
        </w:rPr>
        <w:t xml:space="preserve">consequences </w:t>
      </w:r>
      <w:r w:rsidR="00C631F4" w:rsidRPr="611CD828">
        <w:rPr>
          <w:sz w:val="22"/>
          <w:szCs w:val="22"/>
        </w:rPr>
        <w:t>on</w:t>
      </w:r>
      <w:r w:rsidR="00F47910" w:rsidRPr="611CD828">
        <w:rPr>
          <w:sz w:val="22"/>
          <w:szCs w:val="22"/>
        </w:rPr>
        <w:t xml:space="preserve"> the debt relief process </w:t>
      </w:r>
      <w:r w:rsidR="00C631F4" w:rsidRPr="611CD828">
        <w:rPr>
          <w:sz w:val="22"/>
          <w:szCs w:val="22"/>
        </w:rPr>
        <w:t xml:space="preserve">and have this part of </w:t>
      </w:r>
      <w:r w:rsidR="00F47910" w:rsidRPr="611CD828">
        <w:rPr>
          <w:sz w:val="22"/>
          <w:szCs w:val="22"/>
        </w:rPr>
        <w:t xml:space="preserve">our planning and scenario-building efforts,” </w:t>
      </w:r>
    </w:p>
    <w:p w14:paraId="447977F5" w14:textId="1339FFCC" w:rsidR="00F47910" w:rsidRDefault="00F47910" w:rsidP="002B405F">
      <w:pPr>
        <w:ind w:left="-810" w:right="26"/>
        <w:jc w:val="both"/>
        <w:rPr>
          <w:sz w:val="22"/>
          <w:szCs w:val="22"/>
        </w:rPr>
      </w:pPr>
      <w:r w:rsidRPr="611CD828">
        <w:rPr>
          <w:sz w:val="22"/>
          <w:szCs w:val="22"/>
        </w:rPr>
        <w:t xml:space="preserve">-- Ms Joanna </w:t>
      </w:r>
      <w:proofErr w:type="spellStart"/>
      <w:r w:rsidRPr="611CD828">
        <w:rPr>
          <w:sz w:val="22"/>
          <w:szCs w:val="22"/>
        </w:rPr>
        <w:t>Nickolls</w:t>
      </w:r>
      <w:proofErr w:type="spellEnd"/>
      <w:r w:rsidRPr="611CD828">
        <w:rPr>
          <w:sz w:val="22"/>
          <w:szCs w:val="22"/>
        </w:rPr>
        <w:t>, UNSOM Chief of Staff, on the value of the shared UN-WB Liaison Officer capacity in Somalia supported by the HDP Partnership Facility.</w:t>
      </w:r>
    </w:p>
    <w:p w14:paraId="1199C5B4" w14:textId="77777777" w:rsidR="00F47910" w:rsidRDefault="00F47910" w:rsidP="002B405F">
      <w:pPr>
        <w:ind w:left="-810" w:right="26"/>
        <w:jc w:val="both"/>
        <w:rPr>
          <w:sz w:val="22"/>
          <w:szCs w:val="22"/>
        </w:rPr>
      </w:pPr>
    </w:p>
    <w:p w14:paraId="7F2D1D45" w14:textId="77777777" w:rsidR="00D579D7" w:rsidRDefault="00D579D7" w:rsidP="00D579D7">
      <w:pPr>
        <w:ind w:left="-810"/>
      </w:pPr>
    </w:p>
    <w:p w14:paraId="12B0D739" w14:textId="79D7B658" w:rsidR="009A0FD1" w:rsidRPr="00627A1C" w:rsidRDefault="009A0FD1" w:rsidP="009A0FD1">
      <w:pPr>
        <w:ind w:left="-810"/>
      </w:pPr>
      <w:r>
        <w:t>OPTIONAL</w:t>
      </w:r>
    </w:p>
    <w:p w14:paraId="471111C1" w14:textId="77777777" w:rsidR="00743B4F" w:rsidRPr="00627A1C" w:rsidRDefault="00743B4F" w:rsidP="00743B4F"/>
    <w:tbl>
      <w:tblPr>
        <w:tblW w:w="90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837"/>
      </w:tblGrid>
      <w:tr w:rsidR="00743B4F" w:rsidRPr="00627A1C" w14:paraId="28979282" w14:textId="77777777" w:rsidTr="611CD82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(1000 character limit)</w:t>
            </w:r>
          </w:p>
          <w:p w14:paraId="44526C80" w14:textId="77777777" w:rsidR="00743B4F" w:rsidRPr="00627A1C" w:rsidRDefault="00743B4F" w:rsidP="00E81748">
            <w:pPr>
              <w:rPr>
                <w:iCs/>
              </w:rPr>
            </w:pPr>
          </w:p>
          <w:p w14:paraId="45D0C35F" w14:textId="1E1CC4E7" w:rsidR="0094175A" w:rsidRDefault="0094175A" w:rsidP="0094175A">
            <w:pPr>
              <w:rPr>
                <w:sz w:val="22"/>
                <w:szCs w:val="22"/>
              </w:rPr>
            </w:pPr>
            <w:r w:rsidRPr="1DE817D5">
              <w:rPr>
                <w:sz w:val="22"/>
                <w:szCs w:val="22"/>
              </w:rPr>
              <w:t>The Facility maintains regular coordinati</w:t>
            </w:r>
            <w:r w:rsidR="64AFED01" w:rsidRPr="1DE817D5">
              <w:rPr>
                <w:sz w:val="22"/>
                <w:szCs w:val="22"/>
              </w:rPr>
              <w:t xml:space="preserve">on </w:t>
            </w:r>
            <w:r w:rsidRPr="1DE817D5">
              <w:rPr>
                <w:sz w:val="22"/>
                <w:szCs w:val="22"/>
              </w:rPr>
              <w:t>meetings to track progress and has bi-annual reporting cycles</w:t>
            </w:r>
            <w:r w:rsidR="00743B4F" w:rsidRPr="1DE817D5">
              <w:rPr>
                <w:sz w:val="22"/>
                <w:szCs w:val="22"/>
              </w:rPr>
              <w:t xml:space="preserve"> </w:t>
            </w:r>
            <w:r w:rsidRPr="1DE817D5">
              <w:rPr>
                <w:sz w:val="22"/>
                <w:szCs w:val="22"/>
              </w:rPr>
              <w:t>for each project</w:t>
            </w:r>
            <w:r w:rsidR="00F47910" w:rsidRPr="1DE817D5">
              <w:rPr>
                <w:sz w:val="22"/>
                <w:szCs w:val="22"/>
              </w:rPr>
              <w:t xml:space="preserve">. In addition to this formal cycle, the Facility organizes regular “check-ins” with field colleagues/recipients of grants to monitor progress and challenges in delivery and support </w:t>
            </w:r>
            <w:r w:rsidR="6A48E7D1" w:rsidRPr="1DE817D5">
              <w:rPr>
                <w:sz w:val="22"/>
                <w:szCs w:val="22"/>
              </w:rPr>
              <w:t xml:space="preserve">“real time” </w:t>
            </w:r>
            <w:r w:rsidR="4F9D5FB0" w:rsidRPr="1DE817D5">
              <w:rPr>
                <w:sz w:val="22"/>
                <w:szCs w:val="22"/>
              </w:rPr>
              <w:t xml:space="preserve">learning and trouble-shooting. </w:t>
            </w:r>
          </w:p>
          <w:p w14:paraId="085B8F03" w14:textId="77777777" w:rsidR="00487343" w:rsidRPr="001A7ED1" w:rsidRDefault="00487343" w:rsidP="0094175A">
            <w:pPr>
              <w:rPr>
                <w:sz w:val="22"/>
                <w:szCs w:val="22"/>
              </w:rPr>
            </w:pPr>
          </w:p>
          <w:p w14:paraId="3C7C5BEB" w14:textId="0BD1E585" w:rsidR="00487343" w:rsidRPr="001A7ED1" w:rsidRDefault="0094175A" w:rsidP="0094175A">
            <w:pPr>
              <w:rPr>
                <w:sz w:val="22"/>
                <w:szCs w:val="22"/>
              </w:rPr>
            </w:pPr>
            <w:r w:rsidRPr="1DE817D5">
              <w:rPr>
                <w:sz w:val="22"/>
                <w:szCs w:val="22"/>
              </w:rPr>
              <w:t>A survey was also conducted with representatives from RCOs to capture insights on existing and improved capacities to support UN-WB engagement.</w:t>
            </w:r>
          </w:p>
          <w:p w14:paraId="0B6AB307" w14:textId="1B03A8E3" w:rsidR="76BEF54F" w:rsidRDefault="76BEF54F" w:rsidP="76BEF54F">
            <w:pPr>
              <w:rPr>
                <w:sz w:val="22"/>
                <w:szCs w:val="22"/>
              </w:rPr>
            </w:pPr>
          </w:p>
          <w:p w14:paraId="0FE3D21D" w14:textId="3373479F" w:rsidR="0094175A" w:rsidRPr="001A7ED1" w:rsidRDefault="0094175A" w:rsidP="0094175A">
            <w:pPr>
              <w:rPr>
                <w:sz w:val="22"/>
                <w:szCs w:val="22"/>
              </w:rPr>
            </w:pPr>
            <w:r w:rsidRPr="001A7ED1">
              <w:rPr>
                <w:sz w:val="22"/>
                <w:szCs w:val="22"/>
              </w:rPr>
              <w:t xml:space="preserve">The Facility is currently collecting data for </w:t>
            </w:r>
            <w:r w:rsidR="00F47910">
              <w:rPr>
                <w:sz w:val="22"/>
                <w:szCs w:val="22"/>
              </w:rPr>
              <w:t xml:space="preserve">the 2022 </w:t>
            </w:r>
            <w:r w:rsidRPr="001A7ED1">
              <w:rPr>
                <w:sz w:val="22"/>
                <w:szCs w:val="22"/>
              </w:rPr>
              <w:t xml:space="preserve">UN-WB </w:t>
            </w:r>
            <w:r w:rsidR="00F47910">
              <w:rPr>
                <w:sz w:val="22"/>
                <w:szCs w:val="22"/>
              </w:rPr>
              <w:t xml:space="preserve">partnership </w:t>
            </w:r>
            <w:r w:rsidRPr="001A7ED1">
              <w:rPr>
                <w:sz w:val="22"/>
                <w:szCs w:val="22"/>
              </w:rPr>
              <w:t>monitoring report</w:t>
            </w:r>
            <w:r w:rsidR="00F47910">
              <w:rPr>
                <w:sz w:val="22"/>
                <w:szCs w:val="22"/>
              </w:rPr>
              <w:t xml:space="preserve"> which will further triangulate ongoing partnership activities. </w:t>
            </w:r>
          </w:p>
          <w:p w14:paraId="6AFE2256" w14:textId="327823D2" w:rsidR="0094175A" w:rsidRDefault="0094175A" w:rsidP="0094175A">
            <w:pPr>
              <w:rPr>
                <w:i/>
                <w:iCs/>
              </w:rPr>
            </w:pPr>
          </w:p>
          <w:p w14:paraId="4602FC64" w14:textId="77777777" w:rsidR="0094175A" w:rsidRPr="0094175A" w:rsidRDefault="0094175A" w:rsidP="0094175A">
            <w:pPr>
              <w:rPr>
                <w:i/>
                <w:iCs/>
              </w:rPr>
            </w:pPr>
          </w:p>
          <w:p w14:paraId="46DBAC3F" w14:textId="77777777" w:rsidR="00743B4F" w:rsidRPr="00627A1C" w:rsidRDefault="00743B4F" w:rsidP="00E81748"/>
        </w:tc>
        <w:tc>
          <w:tcPr>
            <w:tcW w:w="4837" w:type="dxa"/>
            <w:shd w:val="clear" w:color="auto" w:fill="auto"/>
          </w:tcPr>
          <w:p w14:paraId="746BC8AC" w14:textId="58032D15" w:rsidR="00743B4F" w:rsidRPr="00627A1C" w:rsidRDefault="00743B4F" w:rsidP="00E81748">
            <w:r w:rsidRPr="00627A1C">
              <w:lastRenderedPageBreak/>
              <w:t xml:space="preserve">Do outcome indicators have baselines? </w:t>
            </w:r>
            <w:r w:rsidR="0094175A">
              <w:fldChar w:fldCharType="begin">
                <w:ffData>
                  <w:name w:val="Dropdown3"/>
                  <w:enabled/>
                  <w:calcOnExit w:val="0"/>
                  <w:ddList>
                    <w:listEntry w:val="yes"/>
                  </w:ddList>
                </w:ffData>
              </w:fldChar>
            </w:r>
            <w:bookmarkStart w:id="9" w:name="Dropdown3"/>
            <w:r w:rsidR="0094175A">
              <w:instrText xml:space="preserve"> FORMDROPDOWN </w:instrText>
            </w:r>
            <w:r w:rsidR="002510E4">
              <w:fldChar w:fldCharType="separate"/>
            </w:r>
            <w:r w:rsidR="0094175A">
              <w:fldChar w:fldCharType="end"/>
            </w:r>
            <w:bookmarkEnd w:id="9"/>
          </w:p>
          <w:p w14:paraId="65FE5BE1" w14:textId="77777777" w:rsidR="00743B4F" w:rsidRPr="00627A1C" w:rsidRDefault="00743B4F" w:rsidP="00E81748"/>
          <w:p w14:paraId="6A17A811" w14:textId="6D6C05AD" w:rsidR="00743B4F" w:rsidRPr="00627A1C" w:rsidRDefault="00743B4F" w:rsidP="00E81748">
            <w:r w:rsidRPr="00627A1C">
              <w:t xml:space="preserve">Has the project launched perception surveys or other community-based data collection? </w:t>
            </w:r>
            <w:r w:rsidR="0094175A">
              <w:fldChar w:fldCharType="begin">
                <w:ffData>
                  <w:name w:val=""/>
                  <w:enabled/>
                  <w:calcOnExit w:val="0"/>
                  <w:ddList>
                    <w:listEntry w:val="yes"/>
                  </w:ddList>
                </w:ffData>
              </w:fldChar>
            </w:r>
            <w:r w:rsidR="0094175A">
              <w:instrText xml:space="preserve"> FORMDROPDOWN </w:instrText>
            </w:r>
            <w:r w:rsidR="002510E4">
              <w:fldChar w:fldCharType="separate"/>
            </w:r>
            <w:r w:rsidR="0094175A">
              <w:fldChar w:fldCharType="end"/>
            </w:r>
          </w:p>
        </w:tc>
      </w:tr>
      <w:tr w:rsidR="00743B4F" w:rsidRPr="00627A1C" w14:paraId="5D73753A" w14:textId="77777777" w:rsidTr="611CD82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0BEC208F" w:rsidR="00743B4F" w:rsidRPr="00627A1C" w:rsidRDefault="00487343" w:rsidP="00E81748">
            <w:r>
              <w:fldChar w:fldCharType="begin">
                <w:ffData>
                  <w:name w:val=""/>
                  <w:enabled/>
                  <w:calcOnExit w:val="0"/>
                  <w:ddList>
                    <w:listEntry w:val="no"/>
                    <w:listEntry w:val="please select"/>
                    <w:listEntry w:val="yes"/>
                  </w:ddList>
                </w:ffData>
              </w:fldChar>
            </w:r>
            <w:r>
              <w:instrText xml:space="preserve"> FORMDROPDOWN </w:instrText>
            </w:r>
            <w:r w:rsidR="002510E4">
              <w:fldChar w:fldCharType="separate"/>
            </w:r>
            <w:r>
              <w:fldChar w:fldCharType="end"/>
            </w:r>
          </w:p>
        </w:tc>
        <w:tc>
          <w:tcPr>
            <w:tcW w:w="4837" w:type="dxa"/>
            <w:shd w:val="clear" w:color="auto" w:fill="auto"/>
          </w:tcPr>
          <w:p w14:paraId="128E146E" w14:textId="77777777" w:rsidR="00743B4F" w:rsidRPr="00627A1C" w:rsidRDefault="00743B4F" w:rsidP="00E81748">
            <w:r w:rsidRPr="00627A1C">
              <w:t xml:space="preserve">Evaluation budget (response required):  </w:t>
            </w:r>
            <w:r w:rsidRPr="00627A1C">
              <w:fldChar w:fldCharType="begin">
                <w:ffData>
                  <w:name w:val="evalbudget"/>
                  <w:enabled/>
                  <w:calcOnExit w:val="0"/>
                  <w:textInput>
                    <w:type w:val="number"/>
                    <w:format w:val="0.00"/>
                  </w:textInput>
                </w:ffData>
              </w:fldChar>
            </w:r>
            <w:bookmarkStart w:id="10"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6FB270BD" w14:textId="77777777" w:rsidR="00743B4F" w:rsidRPr="00627A1C" w:rsidRDefault="00743B4F" w:rsidP="00E81748"/>
          <w:p w14:paraId="2B9BE604" w14:textId="77777777" w:rsidR="00743B4F" w:rsidRPr="00627A1C" w:rsidRDefault="00743B4F" w:rsidP="00E81748">
            <w:r w:rsidRPr="00627A1C">
              <w:t xml:space="preserve">If project will end in next six months, describe the evaluation preparations </w:t>
            </w:r>
            <w:r w:rsidRPr="00627A1C">
              <w:rPr>
                <w:i/>
              </w:rPr>
              <w:t>(1500 character limit)</w:t>
            </w:r>
            <w:r w:rsidRPr="00627A1C">
              <w:t xml:space="preserve">: </w:t>
            </w:r>
            <w:r w:rsidRPr="00627A1C">
              <w:fldChar w:fldCharType="begin">
                <w:ffData>
                  <w:name w:val="Text45"/>
                  <w:enabled/>
                  <w:calcOnExit w:val="0"/>
                  <w:textInput>
                    <w:maxLength w:val="15000"/>
                    <w:format w:val="FIRST CAPITAL"/>
                  </w:textInput>
                </w:ffData>
              </w:fldChar>
            </w:r>
            <w:bookmarkStart w:id="11" w:name="Text45"/>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16D3FBE6" w14:textId="77777777" w:rsidR="00743B4F" w:rsidRPr="00627A1C" w:rsidRDefault="00743B4F" w:rsidP="00E81748"/>
        </w:tc>
      </w:tr>
      <w:tr w:rsidR="00743B4F" w:rsidRPr="00627A1C" w14:paraId="580EFC11" w14:textId="77777777" w:rsidTr="611CD828">
        <w:tc>
          <w:tcPr>
            <w:tcW w:w="4230" w:type="dxa"/>
            <w:shd w:val="clear" w:color="auto" w:fill="auto"/>
          </w:tcPr>
          <w:p w14:paraId="316527A2" w14:textId="77777777"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4837" w:type="dxa"/>
            <w:shd w:val="clear" w:color="auto" w:fill="auto"/>
          </w:tcPr>
          <w:p w14:paraId="10AE4B78" w14:textId="77777777" w:rsidR="00743B4F" w:rsidRPr="00627A1C" w:rsidRDefault="00743B4F" w:rsidP="00E81748">
            <w:r w:rsidRPr="00627A1C">
              <w:t>Name of funder:          Amount:</w:t>
            </w:r>
          </w:p>
          <w:p w14:paraId="0991F75D" w14:textId="77777777" w:rsidR="00743B4F" w:rsidRPr="00627A1C" w:rsidRDefault="00743B4F" w:rsidP="00E81748">
            <w:r w:rsidRPr="00627A1C">
              <w:fldChar w:fldCharType="begin">
                <w:ffData>
                  <w:name w:val="Text46"/>
                  <w:enabled/>
                  <w:calcOnExit w:val="0"/>
                  <w:textInput/>
                </w:ffData>
              </w:fldChar>
            </w:r>
            <w:bookmarkStart w:id="1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1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48"/>
                  <w:enabled/>
                  <w:calcOnExit w:val="0"/>
                  <w:textInput>
                    <w:type w:val="number"/>
                    <w:format w:val="0.00"/>
                  </w:textInput>
                </w:ffData>
              </w:fldChar>
            </w:r>
            <w:bookmarkStart w:id="1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1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50"/>
                  <w:enabled/>
                  <w:calcOnExit w:val="0"/>
                  <w:textInput>
                    <w:type w:val="number"/>
                    <w:format w:val="0.00"/>
                  </w:textInput>
                </w:ffData>
              </w:fldChar>
            </w:r>
            <w:bookmarkStart w:id="1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tc>
      </w:tr>
      <w:tr w:rsidR="00D5559B" w:rsidRPr="00627A1C" w14:paraId="42907447" w14:textId="77777777" w:rsidTr="611CD828">
        <w:tc>
          <w:tcPr>
            <w:tcW w:w="4230"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7" w:name="Check2"/>
            <w:r>
              <w:instrText xml:space="preserve"> FORMCHECKBOX </w:instrText>
            </w:r>
            <w:r w:rsidR="002510E4">
              <w:fldChar w:fldCharType="separate"/>
            </w:r>
            <w:r>
              <w:fldChar w:fldCharType="end"/>
            </w:r>
            <w:bookmarkEnd w:id="17"/>
            <w:r>
              <w:t>No catalytic eﬀect</w:t>
            </w:r>
          </w:p>
          <w:p w14:paraId="06BDFCFD" w14:textId="7783F113" w:rsidR="00D5559B" w:rsidRDefault="00487343" w:rsidP="1DE817D5">
            <w:pPr>
              <w:ind w:hanging="15"/>
              <w:rPr>
                <w:b/>
                <w:bCs/>
              </w:rPr>
            </w:pPr>
            <w:r>
              <w:fldChar w:fldCharType="begin">
                <w:ffData>
                  <w:name w:val="Check3"/>
                  <w:enabled/>
                  <w:calcOnExit w:val="0"/>
                  <w:checkBox>
                    <w:sizeAuto/>
                    <w:default w:val="1"/>
                  </w:checkBox>
                </w:ffData>
              </w:fldChar>
            </w:r>
            <w:r>
              <w:instrText xml:space="preserve"> </w:instrText>
            </w:r>
            <w:bookmarkStart w:id="18" w:name="Check3"/>
            <w:r>
              <w:instrText xml:space="preserve">FORMCHECKBOX </w:instrText>
            </w:r>
            <w:r w:rsidR="002510E4">
              <w:fldChar w:fldCharType="separate"/>
            </w:r>
            <w:r>
              <w:fldChar w:fldCharType="end"/>
            </w:r>
            <w:bookmarkEnd w:id="18"/>
            <w:r w:rsidR="00D5559B" w:rsidRPr="1DE817D5">
              <w:rPr>
                <w:b/>
                <w:bCs/>
              </w:rPr>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19" w:name="Check4"/>
            <w:r>
              <w:instrText xml:space="preserve"> FORMCHECKBOX </w:instrText>
            </w:r>
            <w:r w:rsidR="002510E4">
              <w:fldChar w:fldCharType="separate"/>
            </w:r>
            <w:r>
              <w:fldChar w:fldCharType="end"/>
            </w:r>
            <w:bookmarkEnd w:id="19"/>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20" w:name="Check5"/>
            <w:r>
              <w:instrText xml:space="preserve"> FORMCHECKBOX </w:instrText>
            </w:r>
            <w:r w:rsidR="002510E4">
              <w:fldChar w:fldCharType="separate"/>
            </w:r>
            <w:r>
              <w:fldChar w:fldCharType="end"/>
            </w:r>
            <w:bookmarkEnd w:id="20"/>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21" w:name="Check6"/>
            <w:r>
              <w:instrText xml:space="preserve"> FORMCHECKBOX </w:instrText>
            </w:r>
            <w:r w:rsidR="002510E4">
              <w:fldChar w:fldCharType="separate"/>
            </w:r>
            <w:r>
              <w:fldChar w:fldCharType="end"/>
            </w:r>
            <w:bookmarkEnd w:id="21"/>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22" w:name="Check7"/>
            <w:r>
              <w:instrText xml:space="preserve"> FORMCHECKBOX </w:instrText>
            </w:r>
            <w:r w:rsidR="002510E4">
              <w:fldChar w:fldCharType="separate"/>
            </w:r>
            <w:r>
              <w:fldChar w:fldCharType="end"/>
            </w:r>
            <w:bookmarkEnd w:id="22"/>
            <w:r>
              <w:t>Too early to tell</w:t>
            </w:r>
          </w:p>
          <w:p w14:paraId="37FC0629" w14:textId="0CDBEEF0" w:rsidR="00D5559B" w:rsidRPr="00627A1C" w:rsidRDefault="00D5559B" w:rsidP="00E81748">
            <w:pPr>
              <w:ind w:hanging="15"/>
              <w:rPr>
                <w:b/>
                <w:bCs/>
                <w:u w:val="single"/>
              </w:rPr>
            </w:pPr>
          </w:p>
        </w:tc>
        <w:tc>
          <w:tcPr>
            <w:tcW w:w="4837" w:type="dxa"/>
            <w:shd w:val="clear" w:color="auto" w:fill="auto"/>
          </w:tcPr>
          <w:p w14:paraId="0450AF78" w14:textId="51FDA7B2" w:rsidR="00B65A30" w:rsidRDefault="00B65A30" w:rsidP="00B65A30">
            <w:r>
              <w:t>If relevant, please describe how the project has had a (non-ﬁnancial) catalytic eﬀect</w:t>
            </w:r>
          </w:p>
          <w:p w14:paraId="67F82F9A" w14:textId="0BE78FB1" w:rsidR="00D5559B" w:rsidRDefault="00B65A30" w:rsidP="00B65A30">
            <w:r w:rsidRPr="00D55AA0">
              <w:t>Please limit your response to 3000 characters including spaces.</w:t>
            </w:r>
          </w:p>
          <w:p w14:paraId="4D801DCA" w14:textId="4703B9D4" w:rsidR="00D55AA0" w:rsidRDefault="00D55AA0" w:rsidP="00B65A30"/>
          <w:p w14:paraId="74FCE5FC" w14:textId="77777777" w:rsidR="00D55AA0" w:rsidRPr="00D55AA0" w:rsidRDefault="00D55AA0" w:rsidP="00B65A30"/>
          <w:p w14:paraId="096A29BD" w14:textId="30F01680" w:rsidR="00C06EED" w:rsidRPr="008A0FC4" w:rsidRDefault="3C910D86" w:rsidP="008A0FC4">
            <w:pPr>
              <w:pStyle w:val="Default"/>
              <w:rPr>
                <w:color w:val="auto"/>
                <w:sz w:val="22"/>
                <w:szCs w:val="22"/>
              </w:rPr>
            </w:pPr>
            <w:r w:rsidRPr="1DE817D5">
              <w:rPr>
                <w:color w:val="auto"/>
                <w:sz w:val="22"/>
                <w:szCs w:val="22"/>
              </w:rPr>
              <w:t xml:space="preserve">HDP Partnership Facility grants have enabled UN field presence to more effectively engage with the World Bank and other IFIs, notably on nationally-led prevention and transition strategies by advising on inclusion, peace positivity, and ambition. This, in turn, has led to more robust strategies and </w:t>
            </w:r>
            <w:r w:rsidR="121BEE9B" w:rsidRPr="1DE817D5">
              <w:rPr>
                <w:sz w:val="22"/>
                <w:szCs w:val="22"/>
              </w:rPr>
              <w:t>invited</w:t>
            </w:r>
            <w:r w:rsidRPr="1DE817D5">
              <w:rPr>
                <w:color w:val="auto"/>
                <w:sz w:val="22"/>
                <w:szCs w:val="22"/>
              </w:rPr>
              <w:t xml:space="preserve"> other actors such as the Peacebuilding Fund (PBF) to directly align in support of government milestones, de-risking IFIs and other investments. This is the case in Chad where the PBF support the national inclusive dialogue and natural resource management</w:t>
            </w:r>
            <w:r w:rsidR="6A0F8000" w:rsidRPr="1DE817D5">
              <w:rPr>
                <w:sz w:val="22"/>
                <w:szCs w:val="22"/>
              </w:rPr>
              <w:t>, which are two first-year priorities for Chadian authorities</w:t>
            </w:r>
            <w:r w:rsidRPr="1DE817D5">
              <w:rPr>
                <w:color w:val="auto"/>
                <w:sz w:val="22"/>
                <w:szCs w:val="22"/>
              </w:rPr>
              <w:t xml:space="preserve">. </w:t>
            </w:r>
          </w:p>
          <w:p w14:paraId="6DFA92AD" w14:textId="1B462E32" w:rsidR="00C06EED" w:rsidRPr="008A0FC4" w:rsidRDefault="00C06EED" w:rsidP="00B65A30">
            <w:pPr>
              <w:rPr>
                <w:sz w:val="22"/>
                <w:szCs w:val="22"/>
              </w:rPr>
            </w:pPr>
          </w:p>
          <w:p w14:paraId="25065A9A" w14:textId="12E0937C" w:rsidR="00FA0ACB" w:rsidRDefault="13D16FCE" w:rsidP="00D55AA0">
            <w:r w:rsidRPr="1DE817D5">
              <w:rPr>
                <w:sz w:val="22"/>
                <w:szCs w:val="22"/>
              </w:rPr>
              <w:t xml:space="preserve">The Facility supports capacities that have a demonstrated impact </w:t>
            </w:r>
            <w:r w:rsidR="236273A6" w:rsidRPr="1DE817D5">
              <w:rPr>
                <w:sz w:val="22"/>
                <w:szCs w:val="22"/>
              </w:rPr>
              <w:t>on the ground, and as such, are sometimes retained through other funding sources beyond the lifetime of the grant, such as the HDP nexus adviser in Cameroon and the Anti-Corruption Advisor in Somalia</w:t>
            </w:r>
            <w:r w:rsidR="236273A6">
              <w:t xml:space="preserve">. </w:t>
            </w:r>
          </w:p>
          <w:p w14:paraId="5A853007" w14:textId="7ED0A2E6" w:rsidR="00FA0ACB" w:rsidRPr="00627A1C" w:rsidRDefault="00FA0ACB" w:rsidP="00B65A30"/>
        </w:tc>
      </w:tr>
      <w:tr w:rsidR="00743B4F" w:rsidRPr="00627A1C" w14:paraId="35793F2F" w14:textId="77777777" w:rsidTr="611CD82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(1500 character limit)</w:t>
            </w:r>
          </w:p>
        </w:tc>
        <w:tc>
          <w:tcPr>
            <w:tcW w:w="4837" w:type="dxa"/>
            <w:shd w:val="clear" w:color="auto" w:fill="auto"/>
          </w:tcPr>
          <w:p w14:paraId="0BD916FD" w14:textId="77777777" w:rsidR="00292FDC" w:rsidRDefault="0094175A" w:rsidP="0094175A">
            <w:pPr>
              <w:pStyle w:val="Default"/>
              <w:rPr>
                <w:sz w:val="22"/>
                <w:szCs w:val="22"/>
              </w:rPr>
            </w:pPr>
            <w:r w:rsidRPr="001A7ED1">
              <w:rPr>
                <w:sz w:val="22"/>
                <w:szCs w:val="22"/>
              </w:rPr>
              <w:t>Remote management as a result of the COVID-19 pandemic generated challenges for the coordination of complex, multi-stakeholder assessment, which in some cases are also cross-border (Mano River Union).</w:t>
            </w:r>
            <w:r w:rsidR="00292FDC">
              <w:rPr>
                <w:sz w:val="22"/>
                <w:szCs w:val="22"/>
              </w:rPr>
              <w:t xml:space="preserve"> This is now being mitigated through close coordination (e.g. weekly technical meetings) and the planning of upcoming field missions.</w:t>
            </w:r>
          </w:p>
          <w:p w14:paraId="7E4BC1D0" w14:textId="77777777" w:rsidR="00292FDC" w:rsidRDefault="0094175A" w:rsidP="0094175A">
            <w:pPr>
              <w:pStyle w:val="Default"/>
              <w:rPr>
                <w:sz w:val="22"/>
                <w:szCs w:val="22"/>
              </w:rPr>
            </w:pPr>
            <w:r w:rsidRPr="001A7ED1">
              <w:rPr>
                <w:sz w:val="22"/>
                <w:szCs w:val="22"/>
              </w:rPr>
              <w:t xml:space="preserve"> </w:t>
            </w:r>
          </w:p>
          <w:p w14:paraId="1CCC0D55" w14:textId="77777777" w:rsidR="00292FDC" w:rsidRDefault="00292FDC" w:rsidP="0094175A">
            <w:pPr>
              <w:pStyle w:val="Default"/>
              <w:rPr>
                <w:sz w:val="22"/>
                <w:szCs w:val="22"/>
              </w:rPr>
            </w:pPr>
          </w:p>
          <w:p w14:paraId="553657D8" w14:textId="39D98C2C" w:rsidR="0094175A" w:rsidRPr="001A7ED1" w:rsidRDefault="0094175A" w:rsidP="0094175A">
            <w:pPr>
              <w:pStyle w:val="Default"/>
              <w:rPr>
                <w:sz w:val="22"/>
                <w:szCs w:val="22"/>
              </w:rPr>
            </w:pPr>
            <w:r w:rsidRPr="611CD828">
              <w:rPr>
                <w:sz w:val="22"/>
                <w:szCs w:val="22"/>
              </w:rPr>
              <w:lastRenderedPageBreak/>
              <w:t>The HDP Partnership Facility support to information management and development data initiatives pointed out the need for system-wide engagement and coherence in this field, especially to bridge humanitarian, development and peacebuilding data sources, databases and operating manuals</w:t>
            </w:r>
            <w:r w:rsidR="2E000D68" w:rsidRPr="611CD828">
              <w:rPr>
                <w:sz w:val="22"/>
                <w:szCs w:val="22"/>
              </w:rPr>
              <w:t xml:space="preserve"> and for the system to invest in dedicated, multi-year HDP nexus coordination capacities which the Facility is not designed to do</w:t>
            </w:r>
            <w:r w:rsidRPr="611CD828">
              <w:rPr>
                <w:sz w:val="22"/>
                <w:szCs w:val="22"/>
              </w:rPr>
              <w:t xml:space="preserve">. </w:t>
            </w:r>
          </w:p>
          <w:p w14:paraId="1D85616F" w14:textId="77777777" w:rsidR="0094175A" w:rsidRPr="001A7ED1" w:rsidRDefault="0094175A" w:rsidP="0094175A">
            <w:pPr>
              <w:pStyle w:val="Default"/>
              <w:rPr>
                <w:sz w:val="22"/>
                <w:szCs w:val="22"/>
              </w:rPr>
            </w:pPr>
          </w:p>
          <w:p w14:paraId="20D4CC57" w14:textId="10784977" w:rsidR="0094175A" w:rsidRPr="001A7ED1" w:rsidRDefault="0094175A" w:rsidP="0094175A">
            <w:pPr>
              <w:pStyle w:val="Default"/>
              <w:rPr>
                <w:sz w:val="22"/>
                <w:szCs w:val="22"/>
              </w:rPr>
            </w:pPr>
            <w:r w:rsidRPr="1DE817D5">
              <w:rPr>
                <w:sz w:val="22"/>
                <w:szCs w:val="22"/>
              </w:rPr>
              <w:t xml:space="preserve">Limits on RCO capacity remains a challenge in promptly preparing and approving grant submissions by the UN system. The de-linking between the RC system and UNDP adds an additional layer of approval and coordination and new human resources policies may have implications for the timeliness of recruitment processes. In mission settings, UN teams are working towards greater integration, which could be further reinforced by strategic partnerships. </w:t>
            </w:r>
          </w:p>
          <w:p w14:paraId="1EAFFB67" w14:textId="594EE50E" w:rsidR="0094175A" w:rsidRPr="001A7ED1" w:rsidRDefault="0094175A" w:rsidP="0094175A">
            <w:pPr>
              <w:pStyle w:val="Default"/>
              <w:rPr>
                <w:sz w:val="22"/>
                <w:szCs w:val="22"/>
              </w:rPr>
            </w:pPr>
            <w:r w:rsidRPr="611CD828">
              <w:rPr>
                <w:sz w:val="22"/>
                <w:szCs w:val="22"/>
              </w:rPr>
              <w:t>As the HDP</w:t>
            </w:r>
            <w:r w:rsidR="78EDED3F" w:rsidRPr="611CD828">
              <w:rPr>
                <w:sz w:val="22"/>
                <w:szCs w:val="22"/>
              </w:rPr>
              <w:t xml:space="preserve"> </w:t>
            </w:r>
            <w:r w:rsidRPr="611CD828">
              <w:rPr>
                <w:sz w:val="22"/>
                <w:szCs w:val="22"/>
              </w:rPr>
              <w:t>P</w:t>
            </w:r>
            <w:r w:rsidR="78EDED3F" w:rsidRPr="611CD828">
              <w:rPr>
                <w:sz w:val="22"/>
                <w:szCs w:val="22"/>
              </w:rPr>
              <w:t>artnership</w:t>
            </w:r>
            <w:r w:rsidRPr="611CD828">
              <w:rPr>
                <w:sz w:val="22"/>
                <w:szCs w:val="22"/>
              </w:rPr>
              <w:t xml:space="preserve"> Facility has quickly expanded and is directly implementing initiatives/administering contracts in several contexts, this additional workload, which had not been envisaged in the initial project design, has created further demand on already stretched capacities. This is the reason why the Facility is augmenting its project management, knowledge management and communications capacities as described above. </w:t>
            </w:r>
          </w:p>
          <w:p w14:paraId="5482973F" w14:textId="77777777" w:rsidR="0094175A" w:rsidRPr="001A7ED1" w:rsidRDefault="0094175A" w:rsidP="0094175A">
            <w:pPr>
              <w:pStyle w:val="Default"/>
              <w:rPr>
                <w:sz w:val="22"/>
                <w:szCs w:val="22"/>
              </w:rPr>
            </w:pPr>
          </w:p>
          <w:p w14:paraId="461DFF0F" w14:textId="77777777" w:rsidR="00743B4F" w:rsidRDefault="0094175A" w:rsidP="0094175A">
            <w:pPr>
              <w:rPr>
                <w:sz w:val="23"/>
                <w:szCs w:val="23"/>
              </w:rPr>
            </w:pPr>
            <w:r w:rsidRPr="001A7ED1">
              <w:rPr>
                <w:sz w:val="22"/>
                <w:szCs w:val="22"/>
              </w:rPr>
              <w:t xml:space="preserve">Given recent developments in Afghanistan, the Facility’s “regular track” project is current on hold to assess </w:t>
            </w:r>
            <w:r w:rsidR="00B2381A">
              <w:rPr>
                <w:sz w:val="22"/>
                <w:szCs w:val="22"/>
              </w:rPr>
              <w:t xml:space="preserve">possible </w:t>
            </w:r>
            <w:r w:rsidRPr="001A7ED1">
              <w:rPr>
                <w:sz w:val="22"/>
                <w:szCs w:val="22"/>
              </w:rPr>
              <w:t>conditions for a reengagement.</w:t>
            </w:r>
            <w:r>
              <w:rPr>
                <w:sz w:val="23"/>
                <w:szCs w:val="23"/>
              </w:rPr>
              <w:t xml:space="preserve"> </w:t>
            </w:r>
          </w:p>
          <w:p w14:paraId="040B02DB" w14:textId="721FB98B" w:rsidR="003C64DB" w:rsidRPr="00627A1C" w:rsidRDefault="003C64DB" w:rsidP="0094175A"/>
        </w:tc>
      </w:tr>
    </w:tbl>
    <w:p w14:paraId="51284470" w14:textId="6B51B8AF" w:rsidR="006278D8" w:rsidRDefault="006278D8" w:rsidP="008E0889">
      <w:pPr>
        <w:ind w:left="-709"/>
        <w:rPr>
          <w:b/>
          <w:u w:val="single"/>
        </w:rPr>
      </w:pPr>
    </w:p>
    <w:p w14:paraId="3926F022" w14:textId="25D72B2F" w:rsidR="001A7ED1" w:rsidRDefault="001A7ED1" w:rsidP="008E0889">
      <w:pPr>
        <w:ind w:left="-709"/>
        <w:rPr>
          <w:b/>
          <w:u w:val="single"/>
        </w:rPr>
      </w:pPr>
    </w:p>
    <w:p w14:paraId="4AA073F4" w14:textId="088D353B" w:rsidR="001A7ED1" w:rsidRDefault="001A7ED1" w:rsidP="008E0889">
      <w:pPr>
        <w:ind w:left="-709"/>
        <w:rPr>
          <w:b/>
          <w:u w:val="single"/>
        </w:rPr>
      </w:pPr>
    </w:p>
    <w:p w14:paraId="2C3FC6E4" w14:textId="25BDE3FC" w:rsidR="001A7ED1" w:rsidRDefault="001A7ED1" w:rsidP="008E0889">
      <w:pPr>
        <w:ind w:left="-709"/>
        <w:rPr>
          <w:b/>
          <w:u w:val="single"/>
        </w:rPr>
      </w:pPr>
    </w:p>
    <w:p w14:paraId="00DFF525" w14:textId="77777777" w:rsidR="001A7ED1" w:rsidRDefault="001A7ED1" w:rsidP="008E0889">
      <w:pPr>
        <w:ind w:left="-709"/>
        <w:rPr>
          <w:b/>
          <w:u w:val="single"/>
        </w:rPr>
      </w:pPr>
    </w:p>
    <w:p w14:paraId="5B8F12C8" w14:textId="1427AD19"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0CD0278B" w14:textId="77777777" w:rsidR="006278D8" w:rsidRDefault="006278D8" w:rsidP="009A0FD1">
      <w:pPr>
        <w:ind w:left="-709"/>
        <w:rPr>
          <w:b/>
          <w:bCs/>
          <w:i/>
          <w:iCs/>
        </w:rPr>
      </w:pPr>
    </w:p>
    <w:p w14:paraId="1AD07228" w14:textId="10D66AE9"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1C5D6991" w14:textId="172885C0" w:rsidR="00743B4F" w:rsidRPr="001A7ED1" w:rsidRDefault="0094175A" w:rsidP="009A0FD1">
      <w:pPr>
        <w:ind w:left="-709"/>
        <w:rPr>
          <w:sz w:val="22"/>
          <w:szCs w:val="22"/>
        </w:rPr>
      </w:pPr>
      <w:r w:rsidRPr="001A7ED1">
        <w:rPr>
          <w:sz w:val="22"/>
          <w:szCs w:val="22"/>
        </w:rPr>
        <w:t>$350,000 which corresponds to the Facility’s allocated budget for its “fast track” created in response to COVID-19 in 2020</w:t>
      </w:r>
    </w:p>
    <w:p w14:paraId="46A7A6A2" w14:textId="77777777" w:rsidR="00743B4F" w:rsidRDefault="00743B4F" w:rsidP="009A0FD1">
      <w:pPr>
        <w:ind w:left="-709"/>
      </w:pPr>
    </w:p>
    <w:p w14:paraId="775781E6" w14:textId="77777777" w:rsidR="0094175A" w:rsidRDefault="00743B4F" w:rsidP="0094175A">
      <w:pPr>
        <w:pStyle w:val="ListParagraph"/>
        <w:numPr>
          <w:ilvl w:val="0"/>
          <w:numId w:val="3"/>
        </w:numPr>
      </w:pPr>
      <w:r>
        <w:lastRenderedPageBreak/>
        <w:t>Non-monetary adjustments: Please indicate any adjustments to the project which did not have any financial implications:</w:t>
      </w:r>
    </w:p>
    <w:p w14:paraId="449F05C2" w14:textId="77777777" w:rsidR="0094175A" w:rsidRDefault="0094175A" w:rsidP="0094175A">
      <w:pPr>
        <w:ind w:left="-709"/>
        <w:rPr>
          <w:sz w:val="23"/>
          <w:szCs w:val="23"/>
        </w:rPr>
      </w:pPr>
    </w:p>
    <w:p w14:paraId="5CD64FB1" w14:textId="091894E6" w:rsidR="0094175A" w:rsidRPr="001A7ED1" w:rsidRDefault="00C81384" w:rsidP="0094175A">
      <w:pPr>
        <w:ind w:left="-709"/>
        <w:rPr>
          <w:sz w:val="22"/>
          <w:szCs w:val="22"/>
        </w:rPr>
      </w:pPr>
      <w:r>
        <w:rPr>
          <w:sz w:val="22"/>
          <w:szCs w:val="22"/>
        </w:rPr>
        <w:t xml:space="preserve">Project document </w:t>
      </w:r>
      <w:r w:rsidR="0094175A" w:rsidRPr="001A7ED1">
        <w:rPr>
          <w:sz w:val="22"/>
          <w:szCs w:val="22"/>
        </w:rPr>
        <w:t xml:space="preserve">updated to include provisions for collaboration with the IMF. </w:t>
      </w:r>
    </w:p>
    <w:p w14:paraId="24BC311D" w14:textId="77777777" w:rsidR="0094175A" w:rsidRDefault="0094175A" w:rsidP="0094175A">
      <w:pPr>
        <w:pStyle w:val="ListParagraph"/>
      </w:pPr>
    </w:p>
    <w:p w14:paraId="49EDC7C9" w14:textId="0D8906CB" w:rsidR="00743B4F" w:rsidRDefault="00743B4F" w:rsidP="00E8342F">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42163F37" w14:textId="77777777" w:rsidR="00743B4F" w:rsidRDefault="00743B4F" w:rsidP="009A0FD1">
      <w:pPr>
        <w:ind w:left="-709"/>
      </w:pPr>
    </w:p>
    <w:p w14:paraId="6A83E89C" w14:textId="77777777" w:rsidR="00743B4F" w:rsidRPr="00AF7BE4" w:rsidRDefault="002510E4"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51BC5F6F" w:rsidR="00743B4F" w:rsidRPr="00AF7BE4" w:rsidRDefault="002510E4" w:rsidP="009A0FD1">
      <w:pPr>
        <w:ind w:left="-709"/>
      </w:pPr>
      <w:sdt>
        <w:sdtPr>
          <w:id w:val="1706904896"/>
          <w14:checkbox>
            <w14:checked w14:val="1"/>
            <w14:checkedState w14:val="2612" w14:font="MS Gothic"/>
            <w14:uncheckedState w14:val="2610" w14:font="MS Gothic"/>
          </w14:checkbox>
        </w:sdtPr>
        <w:sdtEndPr/>
        <w:sdtContent>
          <w:r w:rsidR="0094175A">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7777777" w:rsidR="00743B4F" w:rsidRPr="00AF7BE4" w:rsidRDefault="002510E4"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77777777" w:rsidR="00743B4F" w:rsidRDefault="002510E4"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77777777" w:rsidR="00743B4F" w:rsidRDefault="002510E4"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77777777" w:rsidR="00743B4F" w:rsidRDefault="002510E4"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r w:rsidR="00743B4F">
        <w:fldChar w:fldCharType="begin">
          <w:ffData>
            <w:name w:val=""/>
            <w:enabled/>
            <w:calcOnExit w:val="0"/>
            <w:textInput>
              <w:maxLength w:val="1500"/>
              <w:format w:val="FIRST CAPITAL"/>
            </w:textInput>
          </w:ffData>
        </w:fldChar>
      </w:r>
      <w:r w:rsidR="00743B4F">
        <w:instrText xml:space="preserve"> FORMTEXT </w:instrText>
      </w:r>
      <w:r w:rsidR="00743B4F">
        <w:fldChar w:fldCharType="separate"/>
      </w:r>
      <w:r w:rsidR="00743B4F">
        <w:rPr>
          <w:noProof/>
        </w:rPr>
        <w:t> </w:t>
      </w:r>
      <w:r w:rsidR="00743B4F">
        <w:rPr>
          <w:noProof/>
        </w:rPr>
        <w:t> </w:t>
      </w:r>
      <w:r w:rsidR="00743B4F">
        <w:rPr>
          <w:noProof/>
        </w:rPr>
        <w:t> </w:t>
      </w:r>
      <w:r w:rsidR="00743B4F">
        <w:rPr>
          <w:noProof/>
        </w:rPr>
        <w:t> </w:t>
      </w:r>
      <w:r w:rsidR="00743B4F">
        <w:rPr>
          <w:noProof/>
        </w:rPr>
        <w:t> </w:t>
      </w:r>
      <w:r w:rsidR="00743B4F">
        <w:fldChar w:fldCharType="end"/>
      </w:r>
    </w:p>
    <w:p w14:paraId="0DDC246A" w14:textId="77777777" w:rsidR="00743B4F" w:rsidRDefault="00743B4F" w:rsidP="009A0FD1">
      <w:pPr>
        <w:ind w:left="-709"/>
      </w:pPr>
    </w:p>
    <w:p w14:paraId="516DB931" w14:textId="77777777" w:rsidR="00743B4F" w:rsidRDefault="00743B4F" w:rsidP="009A0FD1">
      <w:pPr>
        <w:ind w:left="-709"/>
      </w:pPr>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79667FF6" w14:textId="77777777" w:rsidR="00743B4F" w:rsidRDefault="00743B4F" w:rsidP="009A0FD1">
      <w:pPr>
        <w:ind w:left="-709"/>
      </w:pPr>
    </w:p>
    <w:p w14:paraId="6C480789" w14:textId="77777777" w:rsidR="00743B4F" w:rsidRDefault="00743B4F" w:rsidP="009A0FD1">
      <w:pPr>
        <w:ind w:left="-709"/>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606B0" w14:textId="77777777" w:rsidR="00743B4F" w:rsidRDefault="00743B4F" w:rsidP="009A0FD1">
      <w:pPr>
        <w:ind w:left="-709"/>
      </w:pPr>
    </w:p>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ECA8" w14:textId="77777777" w:rsidR="002510E4" w:rsidRDefault="002510E4" w:rsidP="00E76CA1">
      <w:r>
        <w:separator/>
      </w:r>
    </w:p>
  </w:endnote>
  <w:endnote w:type="continuationSeparator" w:id="0">
    <w:p w14:paraId="3E48FF38" w14:textId="77777777" w:rsidR="002510E4" w:rsidRDefault="002510E4" w:rsidP="00E76CA1">
      <w:r>
        <w:continuationSeparator/>
      </w:r>
    </w:p>
  </w:endnote>
  <w:endnote w:type="continuationNotice" w:id="1">
    <w:p w14:paraId="26059493" w14:textId="77777777" w:rsidR="002510E4" w:rsidRDefault="00251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EEBA" w14:textId="77777777" w:rsidR="002510E4" w:rsidRDefault="002510E4" w:rsidP="00E76CA1">
      <w:r>
        <w:separator/>
      </w:r>
    </w:p>
  </w:footnote>
  <w:footnote w:type="continuationSeparator" w:id="0">
    <w:p w14:paraId="1F270644" w14:textId="77777777" w:rsidR="002510E4" w:rsidRDefault="002510E4" w:rsidP="00E76CA1">
      <w:r>
        <w:continuationSeparator/>
      </w:r>
    </w:p>
  </w:footnote>
  <w:footnote w:type="continuationNotice" w:id="1">
    <w:p w14:paraId="1B30D3A3" w14:textId="77777777" w:rsidR="002510E4" w:rsidRDefault="00251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4349F"/>
    <w:multiLevelType w:val="hybridMultilevel"/>
    <w:tmpl w:val="C57A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38B7896"/>
    <w:multiLevelType w:val="hybridMultilevel"/>
    <w:tmpl w:val="A95E062A"/>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76E324BD"/>
    <w:multiLevelType w:val="hybridMultilevel"/>
    <w:tmpl w:val="4EA0BDEA"/>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15143"/>
    <w:rsid w:val="00025EFA"/>
    <w:rsid w:val="000306DA"/>
    <w:rsid w:val="00031640"/>
    <w:rsid w:val="00034A4C"/>
    <w:rsid w:val="000405C3"/>
    <w:rsid w:val="00045C24"/>
    <w:rsid w:val="0004714D"/>
    <w:rsid w:val="00050759"/>
    <w:rsid w:val="00051F71"/>
    <w:rsid w:val="0005216F"/>
    <w:rsid w:val="00052745"/>
    <w:rsid w:val="00052DE5"/>
    <w:rsid w:val="000554F8"/>
    <w:rsid w:val="00063017"/>
    <w:rsid w:val="000731D0"/>
    <w:rsid w:val="00073A84"/>
    <w:rsid w:val="00075A69"/>
    <w:rsid w:val="00075D98"/>
    <w:rsid w:val="0008134A"/>
    <w:rsid w:val="0008233D"/>
    <w:rsid w:val="00082738"/>
    <w:rsid w:val="00084F64"/>
    <w:rsid w:val="000867D6"/>
    <w:rsid w:val="00091CFD"/>
    <w:rsid w:val="00092442"/>
    <w:rsid w:val="00093A28"/>
    <w:rsid w:val="000A113F"/>
    <w:rsid w:val="000A45F4"/>
    <w:rsid w:val="000A4660"/>
    <w:rsid w:val="000A51DA"/>
    <w:rsid w:val="000A5E8A"/>
    <w:rsid w:val="000A6719"/>
    <w:rsid w:val="000B26BF"/>
    <w:rsid w:val="000B4E5C"/>
    <w:rsid w:val="000B65EC"/>
    <w:rsid w:val="000B7954"/>
    <w:rsid w:val="000C7B4D"/>
    <w:rsid w:val="000C7EA0"/>
    <w:rsid w:val="000D425F"/>
    <w:rsid w:val="000D4E84"/>
    <w:rsid w:val="000D4F4B"/>
    <w:rsid w:val="000E050B"/>
    <w:rsid w:val="000E05AE"/>
    <w:rsid w:val="000E6A96"/>
    <w:rsid w:val="000F05A2"/>
    <w:rsid w:val="000F13B1"/>
    <w:rsid w:val="00102C0E"/>
    <w:rsid w:val="00102F59"/>
    <w:rsid w:val="00112741"/>
    <w:rsid w:val="00113628"/>
    <w:rsid w:val="00113D2B"/>
    <w:rsid w:val="00113EC4"/>
    <w:rsid w:val="00116449"/>
    <w:rsid w:val="0011666C"/>
    <w:rsid w:val="00121B2D"/>
    <w:rsid w:val="001228AE"/>
    <w:rsid w:val="00125D34"/>
    <w:rsid w:val="001307FA"/>
    <w:rsid w:val="00131824"/>
    <w:rsid w:val="00136B32"/>
    <w:rsid w:val="001444EE"/>
    <w:rsid w:val="001450EE"/>
    <w:rsid w:val="00145766"/>
    <w:rsid w:val="001458E9"/>
    <w:rsid w:val="00153CD9"/>
    <w:rsid w:val="00156AFA"/>
    <w:rsid w:val="00156C4C"/>
    <w:rsid w:val="00157BF2"/>
    <w:rsid w:val="001607B2"/>
    <w:rsid w:val="0016088D"/>
    <w:rsid w:val="00161D02"/>
    <w:rsid w:val="00162460"/>
    <w:rsid w:val="00163B43"/>
    <w:rsid w:val="0018095F"/>
    <w:rsid w:val="0018313E"/>
    <w:rsid w:val="0018446E"/>
    <w:rsid w:val="00185425"/>
    <w:rsid w:val="00186529"/>
    <w:rsid w:val="00192F1D"/>
    <w:rsid w:val="00194D4C"/>
    <w:rsid w:val="00196AA8"/>
    <w:rsid w:val="001A1E86"/>
    <w:rsid w:val="001A29B8"/>
    <w:rsid w:val="001A3157"/>
    <w:rsid w:val="001A374F"/>
    <w:rsid w:val="001A4786"/>
    <w:rsid w:val="001A7ED1"/>
    <w:rsid w:val="001B1EAF"/>
    <w:rsid w:val="001B352F"/>
    <w:rsid w:val="001B36FC"/>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E6B9A"/>
    <w:rsid w:val="001E78F8"/>
    <w:rsid w:val="001F308A"/>
    <w:rsid w:val="0020130A"/>
    <w:rsid w:val="00202A45"/>
    <w:rsid w:val="00205EB7"/>
    <w:rsid w:val="00206D45"/>
    <w:rsid w:val="0020791D"/>
    <w:rsid w:val="002129DA"/>
    <w:rsid w:val="0021550A"/>
    <w:rsid w:val="00215F41"/>
    <w:rsid w:val="00217A2E"/>
    <w:rsid w:val="00217EB6"/>
    <w:rsid w:val="00224643"/>
    <w:rsid w:val="002247C2"/>
    <w:rsid w:val="002322E6"/>
    <w:rsid w:val="00232BC6"/>
    <w:rsid w:val="00233827"/>
    <w:rsid w:val="00234A5E"/>
    <w:rsid w:val="00236072"/>
    <w:rsid w:val="0023672E"/>
    <w:rsid w:val="00236AB3"/>
    <w:rsid w:val="002436F0"/>
    <w:rsid w:val="00245E73"/>
    <w:rsid w:val="00246135"/>
    <w:rsid w:val="00247F4E"/>
    <w:rsid w:val="002510E4"/>
    <w:rsid w:val="00251E92"/>
    <w:rsid w:val="00251F8B"/>
    <w:rsid w:val="0025220B"/>
    <w:rsid w:val="00252B39"/>
    <w:rsid w:val="002536A2"/>
    <w:rsid w:val="00254AC2"/>
    <w:rsid w:val="0025525B"/>
    <w:rsid w:val="00257569"/>
    <w:rsid w:val="00261CE0"/>
    <w:rsid w:val="0027242A"/>
    <w:rsid w:val="00272A58"/>
    <w:rsid w:val="00273AD0"/>
    <w:rsid w:val="00275432"/>
    <w:rsid w:val="002822AF"/>
    <w:rsid w:val="00282BD9"/>
    <w:rsid w:val="00286F66"/>
    <w:rsid w:val="00287878"/>
    <w:rsid w:val="00292FDC"/>
    <w:rsid w:val="002940E8"/>
    <w:rsid w:val="00296C15"/>
    <w:rsid w:val="002A1877"/>
    <w:rsid w:val="002A3E28"/>
    <w:rsid w:val="002B3207"/>
    <w:rsid w:val="002B346A"/>
    <w:rsid w:val="002B351E"/>
    <w:rsid w:val="002B405F"/>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7566"/>
    <w:rsid w:val="00316D58"/>
    <w:rsid w:val="003212BB"/>
    <w:rsid w:val="00321C92"/>
    <w:rsid w:val="003235DF"/>
    <w:rsid w:val="00323ABC"/>
    <w:rsid w:val="00324A7C"/>
    <w:rsid w:val="00324FE5"/>
    <w:rsid w:val="00333EC9"/>
    <w:rsid w:val="0033515C"/>
    <w:rsid w:val="00336BF8"/>
    <w:rsid w:val="00342356"/>
    <w:rsid w:val="00343420"/>
    <w:rsid w:val="00343425"/>
    <w:rsid w:val="003435AA"/>
    <w:rsid w:val="0034386B"/>
    <w:rsid w:val="00346D73"/>
    <w:rsid w:val="003473C6"/>
    <w:rsid w:val="003514E6"/>
    <w:rsid w:val="0035676B"/>
    <w:rsid w:val="0036386A"/>
    <w:rsid w:val="00366549"/>
    <w:rsid w:val="00370B58"/>
    <w:rsid w:val="00372156"/>
    <w:rsid w:val="003722AE"/>
    <w:rsid w:val="00372CC2"/>
    <w:rsid w:val="0037494F"/>
    <w:rsid w:val="0037561F"/>
    <w:rsid w:val="00380849"/>
    <w:rsid w:val="003818DB"/>
    <w:rsid w:val="003834CD"/>
    <w:rsid w:val="00383908"/>
    <w:rsid w:val="003866EE"/>
    <w:rsid w:val="00391614"/>
    <w:rsid w:val="00391C31"/>
    <w:rsid w:val="003966E6"/>
    <w:rsid w:val="003968D7"/>
    <w:rsid w:val="003A4A4E"/>
    <w:rsid w:val="003A613D"/>
    <w:rsid w:val="003A6341"/>
    <w:rsid w:val="003B3A5F"/>
    <w:rsid w:val="003B5338"/>
    <w:rsid w:val="003C5283"/>
    <w:rsid w:val="003C5CC6"/>
    <w:rsid w:val="003C64DB"/>
    <w:rsid w:val="003C75F2"/>
    <w:rsid w:val="003D12C7"/>
    <w:rsid w:val="003D228B"/>
    <w:rsid w:val="003D4CD7"/>
    <w:rsid w:val="003D4D7C"/>
    <w:rsid w:val="003D68FF"/>
    <w:rsid w:val="003E6CD9"/>
    <w:rsid w:val="003F08B1"/>
    <w:rsid w:val="003F21BE"/>
    <w:rsid w:val="003F36FB"/>
    <w:rsid w:val="003F5946"/>
    <w:rsid w:val="003F660A"/>
    <w:rsid w:val="004017BD"/>
    <w:rsid w:val="00402083"/>
    <w:rsid w:val="004023AC"/>
    <w:rsid w:val="00402514"/>
    <w:rsid w:val="0040513F"/>
    <w:rsid w:val="0040546A"/>
    <w:rsid w:val="00405DE7"/>
    <w:rsid w:val="00411A5F"/>
    <w:rsid w:val="00413EAF"/>
    <w:rsid w:val="00414097"/>
    <w:rsid w:val="004213AF"/>
    <w:rsid w:val="00425AF8"/>
    <w:rsid w:val="0043459C"/>
    <w:rsid w:val="00437FF5"/>
    <w:rsid w:val="0046101E"/>
    <w:rsid w:val="00461944"/>
    <w:rsid w:val="00464188"/>
    <w:rsid w:val="00464346"/>
    <w:rsid w:val="00470EC3"/>
    <w:rsid w:val="004734C3"/>
    <w:rsid w:val="00477CF8"/>
    <w:rsid w:val="00480A02"/>
    <w:rsid w:val="0048168F"/>
    <w:rsid w:val="00482D9D"/>
    <w:rsid w:val="00484092"/>
    <w:rsid w:val="00484169"/>
    <w:rsid w:val="00487066"/>
    <w:rsid w:val="00487343"/>
    <w:rsid w:val="004911BF"/>
    <w:rsid w:val="00495AC5"/>
    <w:rsid w:val="004965A3"/>
    <w:rsid w:val="004A210E"/>
    <w:rsid w:val="004A49E6"/>
    <w:rsid w:val="004A6B30"/>
    <w:rsid w:val="004B1AB6"/>
    <w:rsid w:val="004B1E1E"/>
    <w:rsid w:val="004B5601"/>
    <w:rsid w:val="004B5B20"/>
    <w:rsid w:val="004B7576"/>
    <w:rsid w:val="004C39F8"/>
    <w:rsid w:val="004C3DC3"/>
    <w:rsid w:val="004C4F3B"/>
    <w:rsid w:val="004C71BF"/>
    <w:rsid w:val="004D141E"/>
    <w:rsid w:val="004D4E27"/>
    <w:rsid w:val="004E1FD1"/>
    <w:rsid w:val="004E33A8"/>
    <w:rsid w:val="004E3B3E"/>
    <w:rsid w:val="004E3BD7"/>
    <w:rsid w:val="004E6614"/>
    <w:rsid w:val="004F016F"/>
    <w:rsid w:val="004F7D22"/>
    <w:rsid w:val="00505758"/>
    <w:rsid w:val="00506098"/>
    <w:rsid w:val="005129DA"/>
    <w:rsid w:val="00513612"/>
    <w:rsid w:val="00513CE6"/>
    <w:rsid w:val="00513D8E"/>
    <w:rsid w:val="00515856"/>
    <w:rsid w:val="00515EEF"/>
    <w:rsid w:val="005174D6"/>
    <w:rsid w:val="0051786C"/>
    <w:rsid w:val="005208FF"/>
    <w:rsid w:val="00521468"/>
    <w:rsid w:val="005216B2"/>
    <w:rsid w:val="005219EF"/>
    <w:rsid w:val="005220EA"/>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6C3"/>
    <w:rsid w:val="0057086A"/>
    <w:rsid w:val="005718ED"/>
    <w:rsid w:val="0058153F"/>
    <w:rsid w:val="0058301B"/>
    <w:rsid w:val="00583C88"/>
    <w:rsid w:val="00590937"/>
    <w:rsid w:val="0059166A"/>
    <w:rsid w:val="00592733"/>
    <w:rsid w:val="00593B59"/>
    <w:rsid w:val="00595B4A"/>
    <w:rsid w:val="00595DBA"/>
    <w:rsid w:val="005A2661"/>
    <w:rsid w:val="005A26F8"/>
    <w:rsid w:val="005A56E0"/>
    <w:rsid w:val="005B68B5"/>
    <w:rsid w:val="005C187A"/>
    <w:rsid w:val="005C1FC7"/>
    <w:rsid w:val="005C4963"/>
    <w:rsid w:val="005C4BBA"/>
    <w:rsid w:val="005C68B4"/>
    <w:rsid w:val="005D2343"/>
    <w:rsid w:val="005D545C"/>
    <w:rsid w:val="005E3B28"/>
    <w:rsid w:val="005E6763"/>
    <w:rsid w:val="005F0CC2"/>
    <w:rsid w:val="005F439F"/>
    <w:rsid w:val="005F77DA"/>
    <w:rsid w:val="00605275"/>
    <w:rsid w:val="006073A2"/>
    <w:rsid w:val="006073AB"/>
    <w:rsid w:val="0060796B"/>
    <w:rsid w:val="00607DEF"/>
    <w:rsid w:val="006100F5"/>
    <w:rsid w:val="0061467E"/>
    <w:rsid w:val="00615C30"/>
    <w:rsid w:val="00624881"/>
    <w:rsid w:val="00624B2F"/>
    <w:rsid w:val="00624F31"/>
    <w:rsid w:val="00626B3F"/>
    <w:rsid w:val="006278D8"/>
    <w:rsid w:val="00627A1C"/>
    <w:rsid w:val="00632971"/>
    <w:rsid w:val="00635112"/>
    <w:rsid w:val="00643A9E"/>
    <w:rsid w:val="00646FF7"/>
    <w:rsid w:val="006500AC"/>
    <w:rsid w:val="00651323"/>
    <w:rsid w:val="00653DD8"/>
    <w:rsid w:val="00655303"/>
    <w:rsid w:val="00656A65"/>
    <w:rsid w:val="006578BB"/>
    <w:rsid w:val="00657A0F"/>
    <w:rsid w:val="006645BE"/>
    <w:rsid w:val="006648F5"/>
    <w:rsid w:val="00664EA0"/>
    <w:rsid w:val="00666BB1"/>
    <w:rsid w:val="006673EC"/>
    <w:rsid w:val="0067044E"/>
    <w:rsid w:val="00670D17"/>
    <w:rsid w:val="00671040"/>
    <w:rsid w:val="0067321D"/>
    <w:rsid w:val="006734B3"/>
    <w:rsid w:val="0067356E"/>
    <w:rsid w:val="006738ED"/>
    <w:rsid w:val="00673D6E"/>
    <w:rsid w:val="006811AD"/>
    <w:rsid w:val="00684CF9"/>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429E"/>
    <w:rsid w:val="006D5799"/>
    <w:rsid w:val="006D60AB"/>
    <w:rsid w:val="006D6B92"/>
    <w:rsid w:val="006E10BF"/>
    <w:rsid w:val="006E1AB5"/>
    <w:rsid w:val="006E2489"/>
    <w:rsid w:val="006E26CC"/>
    <w:rsid w:val="006E4DA8"/>
    <w:rsid w:val="006E6CAE"/>
    <w:rsid w:val="006E7CF8"/>
    <w:rsid w:val="006F0257"/>
    <w:rsid w:val="006F0654"/>
    <w:rsid w:val="006F0B62"/>
    <w:rsid w:val="006F0CBE"/>
    <w:rsid w:val="006F0F2D"/>
    <w:rsid w:val="006F1516"/>
    <w:rsid w:val="006F4A07"/>
    <w:rsid w:val="006F690E"/>
    <w:rsid w:val="006F74C9"/>
    <w:rsid w:val="007065B1"/>
    <w:rsid w:val="00706F08"/>
    <w:rsid w:val="007073F6"/>
    <w:rsid w:val="007118F5"/>
    <w:rsid w:val="0071286E"/>
    <w:rsid w:val="007133CF"/>
    <w:rsid w:val="0071506D"/>
    <w:rsid w:val="00715EC6"/>
    <w:rsid w:val="00720431"/>
    <w:rsid w:val="007308CD"/>
    <w:rsid w:val="007317AD"/>
    <w:rsid w:val="00734278"/>
    <w:rsid w:val="00736267"/>
    <w:rsid w:val="00740B1E"/>
    <w:rsid w:val="0074108E"/>
    <w:rsid w:val="00741135"/>
    <w:rsid w:val="00742F27"/>
    <w:rsid w:val="00742FDD"/>
    <w:rsid w:val="007435E3"/>
    <w:rsid w:val="00743B4F"/>
    <w:rsid w:val="00744AB6"/>
    <w:rsid w:val="007451EC"/>
    <w:rsid w:val="00745803"/>
    <w:rsid w:val="00751279"/>
    <w:rsid w:val="00751324"/>
    <w:rsid w:val="00751DAF"/>
    <w:rsid w:val="00753159"/>
    <w:rsid w:val="007559B5"/>
    <w:rsid w:val="007569BB"/>
    <w:rsid w:val="00761508"/>
    <w:rsid w:val="007626C9"/>
    <w:rsid w:val="00764773"/>
    <w:rsid w:val="00764B9C"/>
    <w:rsid w:val="0076624E"/>
    <w:rsid w:val="007712FB"/>
    <w:rsid w:val="007717E2"/>
    <w:rsid w:val="00772C91"/>
    <w:rsid w:val="007740D4"/>
    <w:rsid w:val="00774343"/>
    <w:rsid w:val="0077526D"/>
    <w:rsid w:val="007756B0"/>
    <w:rsid w:val="00782E30"/>
    <w:rsid w:val="00785E5E"/>
    <w:rsid w:val="0078600B"/>
    <w:rsid w:val="00790047"/>
    <w:rsid w:val="00790676"/>
    <w:rsid w:val="00791410"/>
    <w:rsid w:val="007937AE"/>
    <w:rsid w:val="00793DE6"/>
    <w:rsid w:val="00793E8B"/>
    <w:rsid w:val="007958F2"/>
    <w:rsid w:val="007A1B5F"/>
    <w:rsid w:val="007A2555"/>
    <w:rsid w:val="007A4F3E"/>
    <w:rsid w:val="007A5985"/>
    <w:rsid w:val="007A777F"/>
    <w:rsid w:val="007B0AF5"/>
    <w:rsid w:val="007B10F6"/>
    <w:rsid w:val="007B1BE5"/>
    <w:rsid w:val="007B2B52"/>
    <w:rsid w:val="007B368E"/>
    <w:rsid w:val="007B5D05"/>
    <w:rsid w:val="007B7258"/>
    <w:rsid w:val="007C0BD4"/>
    <w:rsid w:val="007C288F"/>
    <w:rsid w:val="007C2D85"/>
    <w:rsid w:val="007C304F"/>
    <w:rsid w:val="007C3E5E"/>
    <w:rsid w:val="007C7136"/>
    <w:rsid w:val="007C78D3"/>
    <w:rsid w:val="007D127B"/>
    <w:rsid w:val="007D2DD6"/>
    <w:rsid w:val="007D5138"/>
    <w:rsid w:val="007D6A05"/>
    <w:rsid w:val="007D6E52"/>
    <w:rsid w:val="007E1330"/>
    <w:rsid w:val="007E166D"/>
    <w:rsid w:val="007E3EB8"/>
    <w:rsid w:val="007E4FA1"/>
    <w:rsid w:val="007E7BE8"/>
    <w:rsid w:val="007F4C86"/>
    <w:rsid w:val="007F6F6D"/>
    <w:rsid w:val="007F7257"/>
    <w:rsid w:val="008025E0"/>
    <w:rsid w:val="00805A9B"/>
    <w:rsid w:val="00805ADB"/>
    <w:rsid w:val="00812452"/>
    <w:rsid w:val="00813DED"/>
    <w:rsid w:val="00817132"/>
    <w:rsid w:val="0083461E"/>
    <w:rsid w:val="00834A9F"/>
    <w:rsid w:val="008364E5"/>
    <w:rsid w:val="00837B04"/>
    <w:rsid w:val="0084221C"/>
    <w:rsid w:val="00842C3A"/>
    <w:rsid w:val="0084393C"/>
    <w:rsid w:val="00847A89"/>
    <w:rsid w:val="00853068"/>
    <w:rsid w:val="00855E00"/>
    <w:rsid w:val="00861669"/>
    <w:rsid w:val="008632DB"/>
    <w:rsid w:val="008640A5"/>
    <w:rsid w:val="00865821"/>
    <w:rsid w:val="00865FA0"/>
    <w:rsid w:val="008664A8"/>
    <w:rsid w:val="00866E96"/>
    <w:rsid w:val="00874634"/>
    <w:rsid w:val="00875EA5"/>
    <w:rsid w:val="00881D4B"/>
    <w:rsid w:val="008903B6"/>
    <w:rsid w:val="00891AE7"/>
    <w:rsid w:val="008950F6"/>
    <w:rsid w:val="008A0FC4"/>
    <w:rsid w:val="008A1155"/>
    <w:rsid w:val="008A3181"/>
    <w:rsid w:val="008B1B75"/>
    <w:rsid w:val="008B3518"/>
    <w:rsid w:val="008B3D4A"/>
    <w:rsid w:val="008B5A12"/>
    <w:rsid w:val="008B6863"/>
    <w:rsid w:val="008B7E23"/>
    <w:rsid w:val="008C782A"/>
    <w:rsid w:val="008E0889"/>
    <w:rsid w:val="008E1083"/>
    <w:rsid w:val="008E3872"/>
    <w:rsid w:val="008E729D"/>
    <w:rsid w:val="008E7E88"/>
    <w:rsid w:val="008F14D5"/>
    <w:rsid w:val="008F4724"/>
    <w:rsid w:val="008F5112"/>
    <w:rsid w:val="008F6703"/>
    <w:rsid w:val="00900D78"/>
    <w:rsid w:val="00901C1E"/>
    <w:rsid w:val="0090593E"/>
    <w:rsid w:val="00910FE1"/>
    <w:rsid w:val="0091229B"/>
    <w:rsid w:val="00912D25"/>
    <w:rsid w:val="00915C96"/>
    <w:rsid w:val="00915D77"/>
    <w:rsid w:val="00916DF8"/>
    <w:rsid w:val="0091758E"/>
    <w:rsid w:val="009216A8"/>
    <w:rsid w:val="00921C68"/>
    <w:rsid w:val="0092673B"/>
    <w:rsid w:val="00926CDC"/>
    <w:rsid w:val="0093134E"/>
    <w:rsid w:val="00931786"/>
    <w:rsid w:val="00937ABE"/>
    <w:rsid w:val="00940399"/>
    <w:rsid w:val="0094175A"/>
    <w:rsid w:val="0094196C"/>
    <w:rsid w:val="00945925"/>
    <w:rsid w:val="00951AC0"/>
    <w:rsid w:val="00951D5E"/>
    <w:rsid w:val="00952DE4"/>
    <w:rsid w:val="009568EF"/>
    <w:rsid w:val="00956B79"/>
    <w:rsid w:val="00956FFD"/>
    <w:rsid w:val="00963FFC"/>
    <w:rsid w:val="00965F6B"/>
    <w:rsid w:val="00966CB7"/>
    <w:rsid w:val="00970F4C"/>
    <w:rsid w:val="0097130A"/>
    <w:rsid w:val="00974D94"/>
    <w:rsid w:val="009774FE"/>
    <w:rsid w:val="00977C4F"/>
    <w:rsid w:val="009832F8"/>
    <w:rsid w:val="009839DA"/>
    <w:rsid w:val="00985E49"/>
    <w:rsid w:val="00991418"/>
    <w:rsid w:val="00994476"/>
    <w:rsid w:val="00994B0E"/>
    <w:rsid w:val="0099700D"/>
    <w:rsid w:val="00997347"/>
    <w:rsid w:val="009A012A"/>
    <w:rsid w:val="009A0FD1"/>
    <w:rsid w:val="009A1CD3"/>
    <w:rsid w:val="009A44A4"/>
    <w:rsid w:val="009A4A5D"/>
    <w:rsid w:val="009A5EEF"/>
    <w:rsid w:val="009B06F0"/>
    <w:rsid w:val="009B18EB"/>
    <w:rsid w:val="009B5D1A"/>
    <w:rsid w:val="009B6461"/>
    <w:rsid w:val="009C153E"/>
    <w:rsid w:val="009C28DE"/>
    <w:rsid w:val="009C2C5E"/>
    <w:rsid w:val="009C3242"/>
    <w:rsid w:val="009D0838"/>
    <w:rsid w:val="009D0C9F"/>
    <w:rsid w:val="009D10B2"/>
    <w:rsid w:val="009D2543"/>
    <w:rsid w:val="009D64E4"/>
    <w:rsid w:val="009E20F1"/>
    <w:rsid w:val="009E38EA"/>
    <w:rsid w:val="009E4658"/>
    <w:rsid w:val="009E5594"/>
    <w:rsid w:val="009F517D"/>
    <w:rsid w:val="009F6554"/>
    <w:rsid w:val="009F7F98"/>
    <w:rsid w:val="00A02F58"/>
    <w:rsid w:val="00A032AE"/>
    <w:rsid w:val="00A10DAC"/>
    <w:rsid w:val="00A2087C"/>
    <w:rsid w:val="00A31988"/>
    <w:rsid w:val="00A34E17"/>
    <w:rsid w:val="00A34FE2"/>
    <w:rsid w:val="00A35FDA"/>
    <w:rsid w:val="00A360E8"/>
    <w:rsid w:val="00A41736"/>
    <w:rsid w:val="00A426F7"/>
    <w:rsid w:val="00A4395F"/>
    <w:rsid w:val="00A43B9C"/>
    <w:rsid w:val="00A4581B"/>
    <w:rsid w:val="00A45BD4"/>
    <w:rsid w:val="00A46B06"/>
    <w:rsid w:val="00A471E3"/>
    <w:rsid w:val="00A47DDA"/>
    <w:rsid w:val="00A509C6"/>
    <w:rsid w:val="00A51F26"/>
    <w:rsid w:val="00A52A49"/>
    <w:rsid w:val="00A53C94"/>
    <w:rsid w:val="00A53DBD"/>
    <w:rsid w:val="00A54EC4"/>
    <w:rsid w:val="00A56DD8"/>
    <w:rsid w:val="00A6017D"/>
    <w:rsid w:val="00A61394"/>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2446"/>
    <w:rsid w:val="00A96579"/>
    <w:rsid w:val="00A9791E"/>
    <w:rsid w:val="00AA1DFA"/>
    <w:rsid w:val="00AA363D"/>
    <w:rsid w:val="00AA73C9"/>
    <w:rsid w:val="00AA7C77"/>
    <w:rsid w:val="00AB1368"/>
    <w:rsid w:val="00AB37F4"/>
    <w:rsid w:val="00AB6561"/>
    <w:rsid w:val="00AB6BAD"/>
    <w:rsid w:val="00AC0D45"/>
    <w:rsid w:val="00AC433F"/>
    <w:rsid w:val="00AC4B04"/>
    <w:rsid w:val="00AC5D55"/>
    <w:rsid w:val="00AD0A31"/>
    <w:rsid w:val="00AD1B06"/>
    <w:rsid w:val="00AD3048"/>
    <w:rsid w:val="00AD32B0"/>
    <w:rsid w:val="00AD6104"/>
    <w:rsid w:val="00AD6C55"/>
    <w:rsid w:val="00AD73D3"/>
    <w:rsid w:val="00AE0D84"/>
    <w:rsid w:val="00AE49EE"/>
    <w:rsid w:val="00AF2D89"/>
    <w:rsid w:val="00AF7DA4"/>
    <w:rsid w:val="00B001D7"/>
    <w:rsid w:val="00B00EBD"/>
    <w:rsid w:val="00B0370E"/>
    <w:rsid w:val="00B03E68"/>
    <w:rsid w:val="00B054F9"/>
    <w:rsid w:val="00B05E35"/>
    <w:rsid w:val="00B124BD"/>
    <w:rsid w:val="00B12FB8"/>
    <w:rsid w:val="00B22390"/>
    <w:rsid w:val="00B2381A"/>
    <w:rsid w:val="00B244A1"/>
    <w:rsid w:val="00B24F72"/>
    <w:rsid w:val="00B27419"/>
    <w:rsid w:val="00B31D54"/>
    <w:rsid w:val="00B329B9"/>
    <w:rsid w:val="00B37406"/>
    <w:rsid w:val="00B404DF"/>
    <w:rsid w:val="00B419C8"/>
    <w:rsid w:val="00B4227A"/>
    <w:rsid w:val="00B435B9"/>
    <w:rsid w:val="00B43698"/>
    <w:rsid w:val="00B43B8D"/>
    <w:rsid w:val="00B43EEA"/>
    <w:rsid w:val="00B43F6D"/>
    <w:rsid w:val="00B442A2"/>
    <w:rsid w:val="00B46712"/>
    <w:rsid w:val="00B57634"/>
    <w:rsid w:val="00B6401E"/>
    <w:rsid w:val="00B652A1"/>
    <w:rsid w:val="00B65A30"/>
    <w:rsid w:val="00B702C0"/>
    <w:rsid w:val="00B735DD"/>
    <w:rsid w:val="00B737D1"/>
    <w:rsid w:val="00B7459B"/>
    <w:rsid w:val="00B749E2"/>
    <w:rsid w:val="00B74CE9"/>
    <w:rsid w:val="00B7553C"/>
    <w:rsid w:val="00B75C20"/>
    <w:rsid w:val="00B7751B"/>
    <w:rsid w:val="00B80341"/>
    <w:rsid w:val="00B82635"/>
    <w:rsid w:val="00B82C51"/>
    <w:rsid w:val="00B91F39"/>
    <w:rsid w:val="00B95E30"/>
    <w:rsid w:val="00BA4F96"/>
    <w:rsid w:val="00BA5D85"/>
    <w:rsid w:val="00BA6688"/>
    <w:rsid w:val="00BA6F4B"/>
    <w:rsid w:val="00BC1A5D"/>
    <w:rsid w:val="00BC34D3"/>
    <w:rsid w:val="00BC6808"/>
    <w:rsid w:val="00BC692D"/>
    <w:rsid w:val="00BC71E1"/>
    <w:rsid w:val="00BD2962"/>
    <w:rsid w:val="00BD5D49"/>
    <w:rsid w:val="00BD643D"/>
    <w:rsid w:val="00BE28AA"/>
    <w:rsid w:val="00BE41D3"/>
    <w:rsid w:val="00BE720A"/>
    <w:rsid w:val="00BE7698"/>
    <w:rsid w:val="00BF1BFB"/>
    <w:rsid w:val="00BF41E2"/>
    <w:rsid w:val="00BF43F8"/>
    <w:rsid w:val="00C00025"/>
    <w:rsid w:val="00C026E8"/>
    <w:rsid w:val="00C06EED"/>
    <w:rsid w:val="00C07A0C"/>
    <w:rsid w:val="00C107F6"/>
    <w:rsid w:val="00C11638"/>
    <w:rsid w:val="00C12D6A"/>
    <w:rsid w:val="00C13590"/>
    <w:rsid w:val="00C145CF"/>
    <w:rsid w:val="00C221D7"/>
    <w:rsid w:val="00C2331C"/>
    <w:rsid w:val="00C23445"/>
    <w:rsid w:val="00C23DFE"/>
    <w:rsid w:val="00C27302"/>
    <w:rsid w:val="00C30188"/>
    <w:rsid w:val="00C30F72"/>
    <w:rsid w:val="00C312C0"/>
    <w:rsid w:val="00C32ED9"/>
    <w:rsid w:val="00C41926"/>
    <w:rsid w:val="00C42FB9"/>
    <w:rsid w:val="00C52BDA"/>
    <w:rsid w:val="00C54483"/>
    <w:rsid w:val="00C55E8E"/>
    <w:rsid w:val="00C578BE"/>
    <w:rsid w:val="00C61129"/>
    <w:rsid w:val="00C631F4"/>
    <w:rsid w:val="00C640B2"/>
    <w:rsid w:val="00C70E7A"/>
    <w:rsid w:val="00C72CF8"/>
    <w:rsid w:val="00C73518"/>
    <w:rsid w:val="00C74E37"/>
    <w:rsid w:val="00C81384"/>
    <w:rsid w:val="00C846A4"/>
    <w:rsid w:val="00C847EE"/>
    <w:rsid w:val="00C853D5"/>
    <w:rsid w:val="00C96336"/>
    <w:rsid w:val="00CA18AB"/>
    <w:rsid w:val="00CA1B43"/>
    <w:rsid w:val="00CA26CF"/>
    <w:rsid w:val="00CA6C99"/>
    <w:rsid w:val="00CB02F7"/>
    <w:rsid w:val="00CB25A2"/>
    <w:rsid w:val="00CB3F11"/>
    <w:rsid w:val="00CB4514"/>
    <w:rsid w:val="00CB4B5C"/>
    <w:rsid w:val="00CB5934"/>
    <w:rsid w:val="00CC2015"/>
    <w:rsid w:val="00CC26EB"/>
    <w:rsid w:val="00CC59E5"/>
    <w:rsid w:val="00CD2F67"/>
    <w:rsid w:val="00CD3754"/>
    <w:rsid w:val="00CD5E04"/>
    <w:rsid w:val="00CD5E74"/>
    <w:rsid w:val="00CD65B5"/>
    <w:rsid w:val="00CD7402"/>
    <w:rsid w:val="00CE0239"/>
    <w:rsid w:val="00CE132D"/>
    <w:rsid w:val="00CE3BEA"/>
    <w:rsid w:val="00CE499C"/>
    <w:rsid w:val="00CF04AE"/>
    <w:rsid w:val="00CF073D"/>
    <w:rsid w:val="00CF2C7E"/>
    <w:rsid w:val="00D03D06"/>
    <w:rsid w:val="00D06A43"/>
    <w:rsid w:val="00D079BC"/>
    <w:rsid w:val="00D1086D"/>
    <w:rsid w:val="00D12CC9"/>
    <w:rsid w:val="00D13792"/>
    <w:rsid w:val="00D15CF1"/>
    <w:rsid w:val="00D21E2D"/>
    <w:rsid w:val="00D22B42"/>
    <w:rsid w:val="00D26972"/>
    <w:rsid w:val="00D30647"/>
    <w:rsid w:val="00D3351A"/>
    <w:rsid w:val="00D34147"/>
    <w:rsid w:val="00D36AF6"/>
    <w:rsid w:val="00D36E09"/>
    <w:rsid w:val="00D37AF1"/>
    <w:rsid w:val="00D41969"/>
    <w:rsid w:val="00D44632"/>
    <w:rsid w:val="00D504A6"/>
    <w:rsid w:val="00D5552B"/>
    <w:rsid w:val="00D5559B"/>
    <w:rsid w:val="00D557FD"/>
    <w:rsid w:val="00D55AA0"/>
    <w:rsid w:val="00D569A1"/>
    <w:rsid w:val="00D579D7"/>
    <w:rsid w:val="00D632A3"/>
    <w:rsid w:val="00D65589"/>
    <w:rsid w:val="00D65BB5"/>
    <w:rsid w:val="00D6788F"/>
    <w:rsid w:val="00D70EC5"/>
    <w:rsid w:val="00D755D9"/>
    <w:rsid w:val="00D76340"/>
    <w:rsid w:val="00D76947"/>
    <w:rsid w:val="00D81F96"/>
    <w:rsid w:val="00D82C29"/>
    <w:rsid w:val="00D84A39"/>
    <w:rsid w:val="00D85131"/>
    <w:rsid w:val="00D858BB"/>
    <w:rsid w:val="00D9017A"/>
    <w:rsid w:val="00D90702"/>
    <w:rsid w:val="00DA064C"/>
    <w:rsid w:val="00DA2795"/>
    <w:rsid w:val="00DA2CD8"/>
    <w:rsid w:val="00DA7B93"/>
    <w:rsid w:val="00DB0B59"/>
    <w:rsid w:val="00DB1D85"/>
    <w:rsid w:val="00DC1151"/>
    <w:rsid w:val="00DC2F18"/>
    <w:rsid w:val="00DC3579"/>
    <w:rsid w:val="00DC3612"/>
    <w:rsid w:val="00DC4D0A"/>
    <w:rsid w:val="00DC4F44"/>
    <w:rsid w:val="00DC5066"/>
    <w:rsid w:val="00DC71D8"/>
    <w:rsid w:val="00DD339F"/>
    <w:rsid w:val="00DD4E1F"/>
    <w:rsid w:val="00DD7D1A"/>
    <w:rsid w:val="00DE2383"/>
    <w:rsid w:val="00DF3624"/>
    <w:rsid w:val="00DF5EB7"/>
    <w:rsid w:val="00DF5FD1"/>
    <w:rsid w:val="00DF6A23"/>
    <w:rsid w:val="00E003E6"/>
    <w:rsid w:val="00E00B14"/>
    <w:rsid w:val="00E021C1"/>
    <w:rsid w:val="00E04A24"/>
    <w:rsid w:val="00E0564D"/>
    <w:rsid w:val="00E07987"/>
    <w:rsid w:val="00E10926"/>
    <w:rsid w:val="00E13590"/>
    <w:rsid w:val="00E31B37"/>
    <w:rsid w:val="00E33CB7"/>
    <w:rsid w:val="00E34912"/>
    <w:rsid w:val="00E3564C"/>
    <w:rsid w:val="00E35E72"/>
    <w:rsid w:val="00E40A65"/>
    <w:rsid w:val="00E41079"/>
    <w:rsid w:val="00E42098"/>
    <w:rsid w:val="00E42721"/>
    <w:rsid w:val="00E43490"/>
    <w:rsid w:val="00E44AF0"/>
    <w:rsid w:val="00E5082E"/>
    <w:rsid w:val="00E513CC"/>
    <w:rsid w:val="00E51A66"/>
    <w:rsid w:val="00E5415A"/>
    <w:rsid w:val="00E5487E"/>
    <w:rsid w:val="00E54C30"/>
    <w:rsid w:val="00E55349"/>
    <w:rsid w:val="00E55557"/>
    <w:rsid w:val="00E62ED2"/>
    <w:rsid w:val="00E658A1"/>
    <w:rsid w:val="00E665C8"/>
    <w:rsid w:val="00E671FC"/>
    <w:rsid w:val="00E67E27"/>
    <w:rsid w:val="00E73FE0"/>
    <w:rsid w:val="00E75D3B"/>
    <w:rsid w:val="00E76BB5"/>
    <w:rsid w:val="00E76CA1"/>
    <w:rsid w:val="00E76F75"/>
    <w:rsid w:val="00E8342F"/>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5F7E"/>
    <w:rsid w:val="00EC6E52"/>
    <w:rsid w:val="00ED1554"/>
    <w:rsid w:val="00ED6399"/>
    <w:rsid w:val="00ED7365"/>
    <w:rsid w:val="00ED7FBD"/>
    <w:rsid w:val="00EE0A91"/>
    <w:rsid w:val="00EE0FB9"/>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5020"/>
    <w:rsid w:val="00F3653F"/>
    <w:rsid w:val="00F36B57"/>
    <w:rsid w:val="00F43449"/>
    <w:rsid w:val="00F434C7"/>
    <w:rsid w:val="00F47910"/>
    <w:rsid w:val="00F5504F"/>
    <w:rsid w:val="00F5578A"/>
    <w:rsid w:val="00F63B1C"/>
    <w:rsid w:val="00F63FBE"/>
    <w:rsid w:val="00F70BAF"/>
    <w:rsid w:val="00F71684"/>
    <w:rsid w:val="00F75EBF"/>
    <w:rsid w:val="00F76C54"/>
    <w:rsid w:val="00F76F11"/>
    <w:rsid w:val="00F773B2"/>
    <w:rsid w:val="00F80B98"/>
    <w:rsid w:val="00F81B93"/>
    <w:rsid w:val="00F84319"/>
    <w:rsid w:val="00F85322"/>
    <w:rsid w:val="00F858BA"/>
    <w:rsid w:val="00F86077"/>
    <w:rsid w:val="00F86697"/>
    <w:rsid w:val="00F90494"/>
    <w:rsid w:val="00F90BC0"/>
    <w:rsid w:val="00F92DC8"/>
    <w:rsid w:val="00FA0393"/>
    <w:rsid w:val="00FA0ACB"/>
    <w:rsid w:val="00FA1F56"/>
    <w:rsid w:val="00FA2ECD"/>
    <w:rsid w:val="00FA49A7"/>
    <w:rsid w:val="00FA703B"/>
    <w:rsid w:val="00FB1CB1"/>
    <w:rsid w:val="00FB27F5"/>
    <w:rsid w:val="00FB3CDE"/>
    <w:rsid w:val="00FB5C17"/>
    <w:rsid w:val="00FC14D4"/>
    <w:rsid w:val="00FC1C72"/>
    <w:rsid w:val="00FC5060"/>
    <w:rsid w:val="00FC588A"/>
    <w:rsid w:val="00FC7475"/>
    <w:rsid w:val="00FD00AA"/>
    <w:rsid w:val="00FD0B1C"/>
    <w:rsid w:val="00FD2745"/>
    <w:rsid w:val="00FD7A4A"/>
    <w:rsid w:val="00FE2242"/>
    <w:rsid w:val="00FE41B0"/>
    <w:rsid w:val="00FE63C1"/>
    <w:rsid w:val="00FF7C07"/>
    <w:rsid w:val="02DD94E4"/>
    <w:rsid w:val="042CC9F8"/>
    <w:rsid w:val="04451684"/>
    <w:rsid w:val="047303E8"/>
    <w:rsid w:val="04C5F735"/>
    <w:rsid w:val="052B9BFC"/>
    <w:rsid w:val="06484B54"/>
    <w:rsid w:val="07D22F2C"/>
    <w:rsid w:val="0D466CD3"/>
    <w:rsid w:val="0EF10284"/>
    <w:rsid w:val="0F7B6837"/>
    <w:rsid w:val="10885387"/>
    <w:rsid w:val="1178A852"/>
    <w:rsid w:val="121BEE9B"/>
    <w:rsid w:val="1362D11C"/>
    <w:rsid w:val="13D16FCE"/>
    <w:rsid w:val="1402544F"/>
    <w:rsid w:val="15DD05F0"/>
    <w:rsid w:val="17BFFC29"/>
    <w:rsid w:val="198C10DD"/>
    <w:rsid w:val="1A4CB9C8"/>
    <w:rsid w:val="1BF28289"/>
    <w:rsid w:val="1C2C0D55"/>
    <w:rsid w:val="1C9609DA"/>
    <w:rsid w:val="1CD32624"/>
    <w:rsid w:val="1D7F758A"/>
    <w:rsid w:val="1DE817D5"/>
    <w:rsid w:val="21FBE86F"/>
    <w:rsid w:val="22133E7D"/>
    <w:rsid w:val="2322F3C6"/>
    <w:rsid w:val="234A8DF7"/>
    <w:rsid w:val="236273A6"/>
    <w:rsid w:val="23AF0EDE"/>
    <w:rsid w:val="24947202"/>
    <w:rsid w:val="259EBF68"/>
    <w:rsid w:val="27943D1D"/>
    <w:rsid w:val="29F023F0"/>
    <w:rsid w:val="2CB5E9BD"/>
    <w:rsid w:val="2CB7532F"/>
    <w:rsid w:val="2D0676C1"/>
    <w:rsid w:val="2DB46FFF"/>
    <w:rsid w:val="2E000D68"/>
    <w:rsid w:val="2F75F8D3"/>
    <w:rsid w:val="30362180"/>
    <w:rsid w:val="3278B2B2"/>
    <w:rsid w:val="374C23D5"/>
    <w:rsid w:val="378FB367"/>
    <w:rsid w:val="381D2E3D"/>
    <w:rsid w:val="38E7F436"/>
    <w:rsid w:val="395E3A4C"/>
    <w:rsid w:val="3BD86F20"/>
    <w:rsid w:val="3C240019"/>
    <w:rsid w:val="3C84CBD5"/>
    <w:rsid w:val="3C910D86"/>
    <w:rsid w:val="3CABD7EB"/>
    <w:rsid w:val="3D765A41"/>
    <w:rsid w:val="3EF43D01"/>
    <w:rsid w:val="3F7CF858"/>
    <w:rsid w:val="4092B7E6"/>
    <w:rsid w:val="40D50DC0"/>
    <w:rsid w:val="41B1C65F"/>
    <w:rsid w:val="422E8847"/>
    <w:rsid w:val="42EE4729"/>
    <w:rsid w:val="438B7768"/>
    <w:rsid w:val="44E96721"/>
    <w:rsid w:val="46C37454"/>
    <w:rsid w:val="481FBB9A"/>
    <w:rsid w:val="4844CED9"/>
    <w:rsid w:val="499622F7"/>
    <w:rsid w:val="4AE5F6E1"/>
    <w:rsid w:val="4C8291BA"/>
    <w:rsid w:val="4D946B91"/>
    <w:rsid w:val="4E1D97A3"/>
    <w:rsid w:val="4F85804E"/>
    <w:rsid w:val="4F9D5FB0"/>
    <w:rsid w:val="512150AF"/>
    <w:rsid w:val="535F9FF6"/>
    <w:rsid w:val="53E7C47F"/>
    <w:rsid w:val="5403AD15"/>
    <w:rsid w:val="5423116E"/>
    <w:rsid w:val="574E8E76"/>
    <w:rsid w:val="5B040831"/>
    <w:rsid w:val="5BF42AFF"/>
    <w:rsid w:val="5C496705"/>
    <w:rsid w:val="5E61F94E"/>
    <w:rsid w:val="611CD828"/>
    <w:rsid w:val="615B14FA"/>
    <w:rsid w:val="61999A10"/>
    <w:rsid w:val="629F802C"/>
    <w:rsid w:val="64AFED01"/>
    <w:rsid w:val="6548A4FD"/>
    <w:rsid w:val="682C0C37"/>
    <w:rsid w:val="68671D62"/>
    <w:rsid w:val="692E6735"/>
    <w:rsid w:val="6A02EDC3"/>
    <w:rsid w:val="6A0F8000"/>
    <w:rsid w:val="6A48E7D1"/>
    <w:rsid w:val="6B90714B"/>
    <w:rsid w:val="6C231C75"/>
    <w:rsid w:val="6CDBC654"/>
    <w:rsid w:val="6D3A8E85"/>
    <w:rsid w:val="6DE0E68A"/>
    <w:rsid w:val="6E0F7ACD"/>
    <w:rsid w:val="6E206FA5"/>
    <w:rsid w:val="6F458FB0"/>
    <w:rsid w:val="70C837B4"/>
    <w:rsid w:val="720D9688"/>
    <w:rsid w:val="73A394AE"/>
    <w:rsid w:val="73A9D009"/>
    <w:rsid w:val="74F166E2"/>
    <w:rsid w:val="76BEF54F"/>
    <w:rsid w:val="77377938"/>
    <w:rsid w:val="78090ABC"/>
    <w:rsid w:val="7826ECE4"/>
    <w:rsid w:val="78EDED3F"/>
    <w:rsid w:val="792D3C20"/>
    <w:rsid w:val="796AB3A8"/>
    <w:rsid w:val="7983448D"/>
    <w:rsid w:val="79F0BAC0"/>
    <w:rsid w:val="79FB00B2"/>
    <w:rsid w:val="7A2E8E72"/>
    <w:rsid w:val="7BD702A5"/>
    <w:rsid w:val="7C5EF32D"/>
    <w:rsid w:val="7DBCE74A"/>
    <w:rsid w:val="7DFAC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03"/>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umbered List Paragraph,123 List Paragraph,References,Numbered Paragraph,Main numbered paragraph,List Paragraph (numbered (a)),Bullets,Body,List_Paragraph,Multilevel para_II,List Paragraph1,Bullet,Normal 2 DC,Liste 1,ReferencesCxSpLast"/>
    <w:basedOn w:val="Normal"/>
    <w:link w:val="ListParagraphChar"/>
    <w:uiPriority w:val="99"/>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paragraph" w:customStyle="1" w:styleId="Default">
    <w:name w:val="Default"/>
    <w:rsid w:val="006D429E"/>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790047"/>
  </w:style>
  <w:style w:type="paragraph" w:customStyle="1" w:styleId="paragraph">
    <w:name w:val="paragraph"/>
    <w:basedOn w:val="Normal"/>
    <w:rsid w:val="00790047"/>
    <w:pPr>
      <w:spacing w:before="100" w:beforeAutospacing="1" w:after="100" w:afterAutospacing="1"/>
    </w:pPr>
    <w:rPr>
      <w:lang w:val="en-US" w:eastAsia="en-US"/>
    </w:rPr>
  </w:style>
  <w:style w:type="character" w:customStyle="1" w:styleId="mark3a5yucd6n">
    <w:name w:val="mark3a5yucd6n"/>
    <w:basedOn w:val="DefaultParagraphFont"/>
    <w:rsid w:val="00790047"/>
  </w:style>
  <w:style w:type="character" w:customStyle="1" w:styleId="ListParagraphChar">
    <w:name w:val="List Paragraph Char"/>
    <w:aliases w:val="Numbered List Paragraph Char,123 List Paragraph Char,References Char,Numbered Paragraph Char,Main numbered paragraph Char,List Paragraph (numbered (a)) Char,Bullets Char,Body Char,List_Paragraph Char,Multilevel para_II Char"/>
    <w:link w:val="ListParagraph"/>
    <w:uiPriority w:val="99"/>
    <w:qFormat/>
    <w:locked/>
    <w:rsid w:val="00790047"/>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333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84089539">
      <w:bodyDiv w:val="1"/>
      <w:marLeft w:val="0"/>
      <w:marRight w:val="0"/>
      <w:marTop w:val="0"/>
      <w:marBottom w:val="0"/>
      <w:divBdr>
        <w:top w:val="none" w:sz="0" w:space="0" w:color="auto"/>
        <w:left w:val="none" w:sz="0" w:space="0" w:color="auto"/>
        <w:bottom w:val="none" w:sz="0" w:space="0" w:color="auto"/>
        <w:right w:val="none" w:sz="0" w:space="0" w:color="auto"/>
      </w:divBdr>
    </w:div>
    <w:div w:id="1173684422">
      <w:bodyDiv w:val="1"/>
      <w:marLeft w:val="0"/>
      <w:marRight w:val="0"/>
      <w:marTop w:val="0"/>
      <w:marBottom w:val="0"/>
      <w:divBdr>
        <w:top w:val="none" w:sz="0" w:space="0" w:color="auto"/>
        <w:left w:val="none" w:sz="0" w:space="0" w:color="auto"/>
        <w:bottom w:val="none" w:sz="0" w:space="0" w:color="auto"/>
        <w:right w:val="none" w:sz="0" w:space="0" w:color="auto"/>
      </w:divBdr>
    </w:div>
    <w:div w:id="130261479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65471159">
      <w:bodyDiv w:val="1"/>
      <w:marLeft w:val="0"/>
      <w:marRight w:val="0"/>
      <w:marTop w:val="0"/>
      <w:marBottom w:val="0"/>
      <w:divBdr>
        <w:top w:val="none" w:sz="0" w:space="0" w:color="auto"/>
        <w:left w:val="none" w:sz="0" w:space="0" w:color="auto"/>
        <w:bottom w:val="none" w:sz="0" w:space="0" w:color="auto"/>
        <w:right w:val="none" w:sz="0" w:space="0" w:color="auto"/>
      </w:divBdr>
    </w:div>
    <w:div w:id="18339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sean.chen@undp.org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MPTF_00006_00635</ProjectId>
    <FundCode xmlns="f9695bc1-6109-4dcd-a27a-f8a0370b00e2">MPTF_00006</FundCode>
    <Comments xmlns="f9695bc1-6109-4dcd-a27a-f8a0370b00e2" xsi:nil="true"/>
    <Active xmlns="f9695bc1-6109-4dcd-a27a-f8a0370b00e2">Yes</Active>
    <DocumentDate xmlns="b1528a4b-5ccb-40f7-a09e-43427183cd95">2022-07-29T07:00:00+00:00</DocumentDate>
    <Featured xmlns="b1528a4b-5ccb-40f7-a09e-43427183cd95">1</Featur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A9E6DD8-B9F5-4333-AD06-9A14C641070A}"/>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2002FA-35B1-604D-B74A-3BF940B2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4074</Words>
  <Characters>23224</Characters>
  <Application>Microsoft Office Word</Application>
  <DocSecurity>0</DocSecurity>
  <Lines>193</Lines>
  <Paragraphs>54</Paragraphs>
  <ScaleCrop>false</ScaleCrop>
  <Company>Microsoft</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PBF_Project Progress Report_2022_EN_HDPP.docx</dc:title>
  <dc:subject/>
  <dc:creator>Technical P. Advisor</dc:creator>
  <cp:keywords/>
  <cp:lastModifiedBy>MO</cp:lastModifiedBy>
  <cp:revision>2</cp:revision>
  <cp:lastPrinted>2022-06-06T19:57:00Z</cp:lastPrinted>
  <dcterms:created xsi:type="dcterms:W3CDTF">2022-06-24T15:09:00Z</dcterms:created>
  <dcterms:modified xsi:type="dcterms:W3CDTF">2022-06-24T15:09:00Z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