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AA6B6" w14:textId="53E4E00F" w:rsidR="00BC4B02" w:rsidRPr="004D5A82" w:rsidRDefault="00BC4B02" w:rsidP="00BC4B02">
      <w:pPr>
        <w:spacing w:before="100" w:beforeAutospacing="1" w:after="100" w:afterAutospacing="1"/>
      </w:pPr>
      <w:r w:rsidRPr="000F3B20">
        <w:rPr>
          <w:noProof/>
          <w:lang w:val="fr-FR"/>
        </w:rPr>
        <w:drawing>
          <wp:inline distT="0" distB="0" distL="0" distR="0" wp14:anchorId="1B282A6E" wp14:editId="6EF06E23">
            <wp:extent cx="4725909" cy="685800"/>
            <wp:effectExtent l="0" t="0" r="0" b="0"/>
            <wp:docPr id="1" name="Picture 1" descr="The United Nations symbol on the left side. Then  text includes: the UN Partnership on the Rights of Persons with Disabilities. Below are  nine acronyms of the UN Participating Organizations."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89549" cy="695035"/>
                    </a:xfrm>
                    <a:prstGeom prst="rect">
                      <a:avLst/>
                    </a:prstGeom>
                  </pic:spPr>
                </pic:pic>
              </a:graphicData>
            </a:graphic>
          </wp:inline>
        </w:drawing>
      </w:r>
    </w:p>
    <w:p w14:paraId="47DA6F28" w14:textId="77777777" w:rsidR="00BC4B02" w:rsidRDefault="00BC4B02" w:rsidP="00256438">
      <w:pPr>
        <w:pStyle w:val="Title"/>
      </w:pPr>
      <w:r>
        <w:t xml:space="preserve">TEMPLATE FOR </w:t>
      </w:r>
      <w:r w:rsidR="00483705">
        <w:t>UN</w:t>
      </w:r>
      <w:r w:rsidR="001E2EF2">
        <w:t>P</w:t>
      </w:r>
      <w:r w:rsidR="00483705">
        <w:t xml:space="preserve">RPD GLOBAL </w:t>
      </w:r>
      <w:r>
        <w:t>PROJECT PROPOSALS</w:t>
      </w:r>
    </w:p>
    <w:p w14:paraId="21E71F9C" w14:textId="77777777" w:rsidR="00CE4D68" w:rsidRPr="00CE4D68" w:rsidRDefault="00CE4D68" w:rsidP="00CE4D68"/>
    <w:tbl>
      <w:tblPr>
        <w:tblStyle w:val="TableGrid"/>
        <w:tblW w:w="9975"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Caption w:val="Summary Information on the Proposal "/>
      </w:tblPr>
      <w:tblGrid>
        <w:gridCol w:w="9975"/>
      </w:tblGrid>
      <w:tr w:rsidR="00BC4B02" w14:paraId="350CCCA1" w14:textId="77777777" w:rsidTr="001D0E33">
        <w:trPr>
          <w:tblHeader/>
        </w:trPr>
        <w:tc>
          <w:tcPr>
            <w:tcW w:w="9975" w:type="dxa"/>
          </w:tcPr>
          <w:p w14:paraId="3AB4617D" w14:textId="1BA49770" w:rsidR="00BC4B02" w:rsidRDefault="00BC4B02" w:rsidP="00BC4B02">
            <w:pPr>
              <w:contextualSpacing/>
              <w:rPr>
                <w:b/>
                <w:sz w:val="28"/>
              </w:rPr>
            </w:pPr>
            <w:r w:rsidRPr="00C25C7E">
              <w:rPr>
                <w:b/>
                <w:sz w:val="24"/>
                <w:szCs w:val="24"/>
              </w:rPr>
              <w:t>Title</w:t>
            </w:r>
            <w:r>
              <w:rPr>
                <w:b/>
                <w:sz w:val="24"/>
                <w:szCs w:val="24"/>
              </w:rPr>
              <w:t xml:space="preserve"> of Project</w:t>
            </w:r>
            <w:r w:rsidRPr="00C25C7E">
              <w:rPr>
                <w:b/>
                <w:sz w:val="24"/>
                <w:szCs w:val="24"/>
              </w:rPr>
              <w:t>:</w:t>
            </w:r>
            <w:r w:rsidR="00854302">
              <w:rPr>
                <w:b/>
                <w:sz w:val="24"/>
                <w:szCs w:val="24"/>
              </w:rPr>
              <w:t xml:space="preserve"> </w:t>
            </w:r>
            <w:r w:rsidR="00B37849">
              <w:rPr>
                <w:b/>
                <w:sz w:val="24"/>
                <w:szCs w:val="24"/>
              </w:rPr>
              <w:t>Understanding</w:t>
            </w:r>
            <w:r w:rsidR="002D0248">
              <w:rPr>
                <w:b/>
                <w:sz w:val="24"/>
                <w:szCs w:val="24"/>
              </w:rPr>
              <w:t xml:space="preserve"> </w:t>
            </w:r>
            <w:r w:rsidR="001F35A5">
              <w:rPr>
                <w:b/>
                <w:sz w:val="24"/>
                <w:szCs w:val="24"/>
              </w:rPr>
              <w:t>how to use an in</w:t>
            </w:r>
            <w:r w:rsidR="00822C91">
              <w:rPr>
                <w:b/>
                <w:sz w:val="24"/>
                <w:szCs w:val="24"/>
              </w:rPr>
              <w:t xml:space="preserve">tersectional approach </w:t>
            </w:r>
            <w:r w:rsidR="007D5BAB">
              <w:rPr>
                <w:b/>
                <w:sz w:val="24"/>
                <w:szCs w:val="24"/>
              </w:rPr>
              <w:t xml:space="preserve">while addressing disability inclusion </w:t>
            </w:r>
          </w:p>
        </w:tc>
      </w:tr>
      <w:tr w:rsidR="00BC4B02" w14:paraId="433DDB53" w14:textId="77777777" w:rsidTr="001D0E33">
        <w:tc>
          <w:tcPr>
            <w:tcW w:w="9975" w:type="dxa"/>
          </w:tcPr>
          <w:p w14:paraId="47131C9F" w14:textId="7127D1D0" w:rsidR="00BC4B02" w:rsidRDefault="00BC4B02" w:rsidP="00BC4B02">
            <w:pPr>
              <w:contextualSpacing/>
              <w:rPr>
                <w:b/>
                <w:sz w:val="28"/>
              </w:rPr>
            </w:pPr>
            <w:r>
              <w:rPr>
                <w:b/>
                <w:sz w:val="24"/>
                <w:szCs w:val="24"/>
              </w:rPr>
              <w:t>Duration (max. 36 months):</w:t>
            </w:r>
            <w:r w:rsidR="00263243">
              <w:rPr>
                <w:b/>
                <w:sz w:val="24"/>
                <w:szCs w:val="24"/>
              </w:rPr>
              <w:t xml:space="preserve"> 1</w:t>
            </w:r>
            <w:r w:rsidR="005D7254">
              <w:rPr>
                <w:b/>
                <w:sz w:val="24"/>
                <w:szCs w:val="24"/>
              </w:rPr>
              <w:t xml:space="preserve">8 </w:t>
            </w:r>
            <w:r w:rsidR="00263243">
              <w:rPr>
                <w:b/>
                <w:sz w:val="24"/>
                <w:szCs w:val="24"/>
              </w:rPr>
              <w:t xml:space="preserve">months </w:t>
            </w:r>
          </w:p>
        </w:tc>
      </w:tr>
      <w:tr w:rsidR="00BC4B02" w14:paraId="0F449C47" w14:textId="77777777" w:rsidTr="001D0E33">
        <w:tc>
          <w:tcPr>
            <w:tcW w:w="9975" w:type="dxa"/>
          </w:tcPr>
          <w:p w14:paraId="3713D7A5" w14:textId="218A4640" w:rsidR="00BC4B02" w:rsidRDefault="00BC4B02" w:rsidP="00BC4B02">
            <w:pPr>
              <w:contextualSpacing/>
              <w:rPr>
                <w:b/>
                <w:sz w:val="28"/>
              </w:rPr>
            </w:pPr>
            <w:r>
              <w:rPr>
                <w:b/>
                <w:sz w:val="24"/>
                <w:szCs w:val="24"/>
              </w:rPr>
              <w:t>Total Budget:</w:t>
            </w:r>
            <w:r w:rsidR="003F6589">
              <w:rPr>
                <w:b/>
                <w:sz w:val="24"/>
                <w:szCs w:val="24"/>
              </w:rPr>
              <w:t xml:space="preserve"> </w:t>
            </w:r>
            <w:r w:rsidR="007F755F" w:rsidRPr="007F755F">
              <w:rPr>
                <w:b/>
                <w:sz w:val="24"/>
                <w:szCs w:val="24"/>
              </w:rPr>
              <w:t>99,510</w:t>
            </w:r>
            <w:r w:rsidR="007F755F">
              <w:rPr>
                <w:b/>
                <w:sz w:val="24"/>
                <w:szCs w:val="24"/>
              </w:rPr>
              <w:t xml:space="preserve"> </w:t>
            </w:r>
            <w:bookmarkStart w:id="0" w:name="_GoBack"/>
            <w:bookmarkEnd w:id="0"/>
            <w:r w:rsidR="003F6589">
              <w:rPr>
                <w:b/>
                <w:sz w:val="24"/>
                <w:szCs w:val="24"/>
              </w:rPr>
              <w:t xml:space="preserve">USD </w:t>
            </w:r>
          </w:p>
        </w:tc>
      </w:tr>
      <w:tr w:rsidR="00BC4B02" w14:paraId="711344E9" w14:textId="77777777" w:rsidTr="001D0E33">
        <w:tc>
          <w:tcPr>
            <w:tcW w:w="9975" w:type="dxa"/>
          </w:tcPr>
          <w:p w14:paraId="562C0045" w14:textId="75C9301A" w:rsidR="00BC4B02" w:rsidRDefault="00BC4B02" w:rsidP="00BC4B02">
            <w:pPr>
              <w:contextualSpacing/>
              <w:rPr>
                <w:b/>
                <w:sz w:val="24"/>
                <w:szCs w:val="24"/>
              </w:rPr>
            </w:pPr>
            <w:r>
              <w:rPr>
                <w:b/>
                <w:sz w:val="24"/>
                <w:szCs w:val="24"/>
              </w:rPr>
              <w:t>Participating UN Organizations:</w:t>
            </w:r>
            <w:r w:rsidR="003F6589">
              <w:rPr>
                <w:b/>
                <w:sz w:val="24"/>
                <w:szCs w:val="24"/>
              </w:rPr>
              <w:t xml:space="preserve"> </w:t>
            </w:r>
            <w:r w:rsidR="001E07ED">
              <w:rPr>
                <w:b/>
                <w:sz w:val="24"/>
                <w:szCs w:val="24"/>
              </w:rPr>
              <w:t xml:space="preserve">UN Women; UNICEF; UNFPA; UNDESA; OHCHR </w:t>
            </w:r>
          </w:p>
        </w:tc>
      </w:tr>
    </w:tbl>
    <w:p w14:paraId="0B47836D" w14:textId="77777777" w:rsidR="00BC4B02" w:rsidRDefault="00BC4B02" w:rsidP="006C28CF">
      <w:pPr>
        <w:pStyle w:val="Heading1"/>
        <w:rPr>
          <w:b w:val="0"/>
        </w:rPr>
      </w:pPr>
      <w:r w:rsidRPr="00483295">
        <w:t xml:space="preserve">Executive </w:t>
      </w:r>
      <w:r w:rsidR="00226B58">
        <w:t>S</w:t>
      </w:r>
      <w:r w:rsidRPr="00483295">
        <w:t>ummary</w:t>
      </w:r>
    </w:p>
    <w:p w14:paraId="65D04F64" w14:textId="13E3EE98" w:rsidR="00CC335E" w:rsidRDefault="00CC335E" w:rsidP="00CC335E">
      <w:r>
        <w:t>UN Women, UN</w:t>
      </w:r>
      <w:r w:rsidR="00A01F33">
        <w:t xml:space="preserve"> </w:t>
      </w:r>
      <w:r>
        <w:t xml:space="preserve">DESA, UNICEF, UNFPA and OHCHR along with a </w:t>
      </w:r>
      <w:bookmarkStart w:id="1" w:name="_Hlk35608700"/>
      <w:r>
        <w:t>civil society advisory</w:t>
      </w:r>
      <w:r w:rsidR="008013AD">
        <w:t xml:space="preserve"> group</w:t>
      </w:r>
      <w:r>
        <w:t xml:space="preserve"> comprising of CBM, IDA, WEI, WRC, CREA, </w:t>
      </w:r>
      <w:proofErr w:type="spellStart"/>
      <w:r>
        <w:t>Sightsavers</w:t>
      </w:r>
      <w:proofErr w:type="spellEnd"/>
      <w:r>
        <w:t xml:space="preserve">, and WaterAid are </w:t>
      </w:r>
      <w:bookmarkEnd w:id="1"/>
      <w:r>
        <w:t xml:space="preserve">working on joint project supported by the </w:t>
      </w:r>
      <w:hyperlink r:id="rId14" w:history="1">
        <w:r>
          <w:rPr>
            <w:rStyle w:val="Hyperlink"/>
          </w:rPr>
          <w:t>United Nations Partnership on the Rights of Persons with Disabilities</w:t>
        </w:r>
      </w:hyperlink>
      <w:r>
        <w:t xml:space="preserve">. The project aims to develop </w:t>
      </w:r>
      <w:r w:rsidR="0056685E">
        <w:t>a toolkit</w:t>
      </w:r>
      <w:r>
        <w:t xml:space="preserve"> to provide practical ways to </w:t>
      </w:r>
      <w:r w:rsidR="0056685E">
        <w:t xml:space="preserve">implement and integrate </w:t>
      </w:r>
      <w:r>
        <w:t>an intersectional approach</w:t>
      </w:r>
      <w:r w:rsidR="00A25B90">
        <w:t xml:space="preserve"> to </w:t>
      </w:r>
      <w:r w:rsidR="0013612B">
        <w:t>initiatives addressing the rights of persons with disabilities</w:t>
      </w:r>
      <w:r>
        <w:t>, including through tangible examples of how it can be done.  It is expected that the project will provide a space to address, including through consultations, the heterogeneity of persons with disabilities and range of organizations that represent different intersections and issues of persons with disabilities.  </w:t>
      </w:r>
    </w:p>
    <w:p w14:paraId="2A18C6DE" w14:textId="6B37F20F" w:rsidR="00F00368" w:rsidRDefault="00CC335E" w:rsidP="00F00368">
      <w:pPr>
        <w:spacing w:after="0"/>
        <w:jc w:val="both"/>
      </w:pPr>
      <w:r>
        <w:t xml:space="preserve">The </w:t>
      </w:r>
      <w:r w:rsidR="00370157">
        <w:t xml:space="preserve">toolkit </w:t>
      </w:r>
      <w:r>
        <w:t>aims</w:t>
      </w:r>
      <w:r w:rsidR="00041CDE">
        <w:t xml:space="preserve"> </w:t>
      </w:r>
      <w:r w:rsidR="00C44C4B">
        <w:t xml:space="preserve">to </w:t>
      </w:r>
      <w:r w:rsidR="00041CDE">
        <w:t>inform both U</w:t>
      </w:r>
      <w:r w:rsidR="00515AA3">
        <w:t>N Country Team</w:t>
      </w:r>
      <w:r w:rsidR="00041CDE">
        <w:t>s</w:t>
      </w:r>
      <w:r w:rsidR="006034A7">
        <w:t xml:space="preserve"> </w:t>
      </w:r>
      <w:r w:rsidR="00CF1546">
        <w:t>(UNCTs)</w:t>
      </w:r>
      <w:r w:rsidR="00041CDE">
        <w:t xml:space="preserve"> and Government programming processes </w:t>
      </w:r>
      <w:r>
        <w:t xml:space="preserve"> to address</w:t>
      </w:r>
      <w:r w:rsidR="00A02496">
        <w:t xml:space="preserve"> </w:t>
      </w:r>
      <w:r w:rsidR="006C4AFB">
        <w:t xml:space="preserve">inclusion of the rights of persons with disabilities in their </w:t>
      </w:r>
      <w:r w:rsidR="00E9326D">
        <w:t xml:space="preserve">diversity </w:t>
      </w:r>
      <w:r w:rsidR="00041CDE">
        <w:t xml:space="preserve"> </w:t>
      </w:r>
      <w:r>
        <w:t>at the intersection of factors such as age, sex, gender identity and expression, race,</w:t>
      </w:r>
      <w:r w:rsidR="00C2198C">
        <w:t xml:space="preserve"> socio-economic status,</w:t>
      </w:r>
      <w:r>
        <w:t xml:space="preserve"> ethnicity, among others in relation to: data collection; programme design, implementation and monitoring; for the rights of persons with disabilities in their diversity using an intersectional approach.  The tool</w:t>
      </w:r>
      <w:r w:rsidR="00370157">
        <w:t>kit</w:t>
      </w:r>
      <w:r>
        <w:t xml:space="preserve"> will be developed in close consultation with organizations of persons with disabilities, UN </w:t>
      </w:r>
      <w:r w:rsidR="00370157">
        <w:t>agencies, UNCTs,</w:t>
      </w:r>
      <w:r>
        <w:t xml:space="preserve"> civil society, academia and other relevant stakeholders. The tool</w:t>
      </w:r>
      <w:r w:rsidR="00370157">
        <w:t>kit</w:t>
      </w:r>
      <w:r>
        <w:t xml:space="preserve"> will be informed by: (a) a desk review of existing resources and best practices</w:t>
      </w:r>
      <w:r w:rsidR="00370157">
        <w:t xml:space="preserve"> including </w:t>
      </w:r>
      <w:r>
        <w:t xml:space="preserve">from UN entities, organizations of persons with disabilities, broader civil society, and academia, and (b) </w:t>
      </w:r>
      <w:r w:rsidR="00F00368">
        <w:t xml:space="preserve">consultations and validation workshops to seek input including from a diverse range of organizations of persons with disabilities, UNCTs, UN agencies, through the process of developing the toolkit as well as to build consensus around the resulting toolkit. </w:t>
      </w:r>
    </w:p>
    <w:p w14:paraId="03828F04" w14:textId="600D9DAA" w:rsidR="00CC335E" w:rsidRDefault="00CC335E" w:rsidP="00CC335E"/>
    <w:p w14:paraId="0566764D" w14:textId="46D51EE5" w:rsidR="00754E48" w:rsidRDefault="00754E48" w:rsidP="00CC335E"/>
    <w:p w14:paraId="790F167F" w14:textId="52DF0823" w:rsidR="00754E48" w:rsidRDefault="00754E48" w:rsidP="00CC335E"/>
    <w:p w14:paraId="5148063F" w14:textId="77777777" w:rsidR="00754E48" w:rsidRDefault="00754E48" w:rsidP="00CC335E"/>
    <w:p w14:paraId="4FAEB402" w14:textId="5EAA3A87" w:rsidR="00BC4B02" w:rsidRPr="00E52509" w:rsidRDefault="00CC335E" w:rsidP="006C28CF">
      <w:pPr>
        <w:pStyle w:val="Heading1"/>
      </w:pPr>
      <w:r>
        <w:lastRenderedPageBreak/>
        <w:t xml:space="preserve"> </w:t>
      </w:r>
      <w:r w:rsidR="006C28CF">
        <w:t xml:space="preserve">1. </w:t>
      </w:r>
      <w:r w:rsidR="00BC4B02" w:rsidRPr="004D202B">
        <w:t>Back</w:t>
      </w:r>
      <w:r w:rsidR="00BC4B02">
        <w:t>ground</w:t>
      </w:r>
      <w:r w:rsidR="00BC4B02" w:rsidRPr="00456CC0">
        <w:rPr>
          <w:rFonts w:eastAsia="Times New Roman" w:cs="Times New Roman"/>
        </w:rPr>
        <w:t xml:space="preserve"> </w:t>
      </w:r>
      <w:r w:rsidR="00BC4B02" w:rsidRPr="00456CC0">
        <w:t xml:space="preserve">and </w:t>
      </w:r>
      <w:r w:rsidR="008605CA">
        <w:t>Rationale</w:t>
      </w:r>
    </w:p>
    <w:p w14:paraId="7C3C8F82" w14:textId="77777777" w:rsidR="00BC4B02" w:rsidRPr="00EE587F" w:rsidRDefault="006C28CF" w:rsidP="006C28CF">
      <w:pPr>
        <w:pStyle w:val="Heading2"/>
      </w:pPr>
      <w:r>
        <w:t xml:space="preserve">1.1 </w:t>
      </w:r>
      <w:r w:rsidR="00BC4B02">
        <w:t>Challenges</w:t>
      </w:r>
      <w:r w:rsidR="00C03012">
        <w:t xml:space="preserve"> to be addressed by the project</w:t>
      </w:r>
    </w:p>
    <w:p w14:paraId="3900B282" w14:textId="77A111C6" w:rsidR="00083D15" w:rsidRDefault="00083D15" w:rsidP="006C28CF">
      <w:pPr>
        <w:spacing w:after="0" w:line="240" w:lineRule="auto"/>
        <w:rPr>
          <w:iCs/>
          <w:sz w:val="20"/>
        </w:rPr>
      </w:pPr>
    </w:p>
    <w:p w14:paraId="51DF048C" w14:textId="0A30B92B" w:rsidR="005E58F6" w:rsidRPr="008A0169" w:rsidRDefault="005E58F6" w:rsidP="005E58F6">
      <w:pPr>
        <w:spacing w:after="0" w:line="240" w:lineRule="auto"/>
        <w:rPr>
          <w:iCs/>
          <w:szCs w:val="24"/>
          <w:lang w:val="en-GB"/>
        </w:rPr>
      </w:pPr>
      <w:r w:rsidRPr="008A0169">
        <w:rPr>
          <w:iCs/>
          <w:szCs w:val="24"/>
          <w:lang w:val="en-GB"/>
        </w:rPr>
        <w:t>It is estimated that more than one billion people in the world experience some form of disability,</w:t>
      </w:r>
      <w:r w:rsidRPr="008A0169">
        <w:rPr>
          <w:iCs/>
          <w:szCs w:val="24"/>
          <w:vertAlign w:val="superscript"/>
          <w:lang w:val="en-GB"/>
        </w:rPr>
        <w:t xml:space="preserve"> </w:t>
      </w:r>
      <w:r w:rsidRPr="008A0169">
        <w:rPr>
          <w:iCs/>
          <w:szCs w:val="24"/>
          <w:lang w:val="en-GB"/>
        </w:rPr>
        <w:t>and that the average prevalence rate in the female population 18 years and older is 19.2 percent, compared to 12 per cent for males.</w:t>
      </w:r>
      <w:r w:rsidRPr="008A0169">
        <w:rPr>
          <w:iCs/>
          <w:szCs w:val="24"/>
          <w:vertAlign w:val="superscript"/>
          <w:lang w:val="en-GB"/>
        </w:rPr>
        <w:footnoteReference w:id="2"/>
      </w:r>
      <w:r w:rsidRPr="008A0169">
        <w:rPr>
          <w:iCs/>
          <w:szCs w:val="24"/>
          <w:lang w:val="en-GB"/>
        </w:rPr>
        <w:t xml:space="preserve"> </w:t>
      </w:r>
      <w:r w:rsidR="007F1EE7">
        <w:rPr>
          <w:iCs/>
          <w:szCs w:val="24"/>
          <w:lang w:val="en-GB"/>
        </w:rPr>
        <w:t>Additionally, e</w:t>
      </w:r>
      <w:r w:rsidR="007F1EE7" w:rsidRPr="007F1EE7">
        <w:rPr>
          <w:iCs/>
          <w:szCs w:val="24"/>
          <w:lang w:val="en-GB"/>
        </w:rPr>
        <w:t>ighty per cent of persons with disabilities live in developing countries</w:t>
      </w:r>
      <w:r w:rsidR="001D564C">
        <w:rPr>
          <w:iCs/>
          <w:szCs w:val="24"/>
          <w:lang w:val="en-GB"/>
        </w:rPr>
        <w:t>.</w:t>
      </w:r>
    </w:p>
    <w:p w14:paraId="0DED7C9F" w14:textId="77777777" w:rsidR="00044FDE" w:rsidRPr="008A0169" w:rsidRDefault="00044FDE" w:rsidP="005E58F6">
      <w:pPr>
        <w:spacing w:after="0" w:line="240" w:lineRule="auto"/>
        <w:rPr>
          <w:iCs/>
          <w:szCs w:val="24"/>
          <w:lang w:val="en-GB"/>
        </w:rPr>
      </w:pPr>
    </w:p>
    <w:p w14:paraId="4B69CEE8" w14:textId="0398C61E" w:rsidR="00D663CF" w:rsidRPr="000346AB" w:rsidRDefault="005E58F6" w:rsidP="000346AB">
      <w:pPr>
        <w:spacing w:after="0" w:line="240" w:lineRule="auto"/>
        <w:rPr>
          <w:szCs w:val="24"/>
          <w:lang w:val="en-GB"/>
        </w:rPr>
      </w:pPr>
      <w:r w:rsidRPr="008A0169">
        <w:rPr>
          <w:iCs/>
          <w:szCs w:val="24"/>
          <w:lang w:val="en-GB"/>
        </w:rPr>
        <w:t xml:space="preserve">People with disabilities are not a homogenous group. </w:t>
      </w:r>
      <w:r w:rsidR="00A03B8A">
        <w:rPr>
          <w:iCs/>
          <w:szCs w:val="24"/>
          <w:lang w:val="en-GB"/>
        </w:rPr>
        <w:t>Beyond the multiple types of disabilities, t</w:t>
      </w:r>
      <w:r w:rsidRPr="008A0169">
        <w:rPr>
          <w:iCs/>
          <w:szCs w:val="24"/>
          <w:lang w:val="en-GB"/>
        </w:rPr>
        <w:t>he diversity of persons with disabilities includes those with multiple and intersecting identities, such as being gender minorities; from different ethnic, religious and racial backgrounds; refugee,</w:t>
      </w:r>
      <w:r w:rsidR="003B709E">
        <w:rPr>
          <w:iCs/>
          <w:szCs w:val="24"/>
          <w:lang w:val="en-GB"/>
        </w:rPr>
        <w:t xml:space="preserve"> stateless</w:t>
      </w:r>
      <w:r w:rsidR="002078DC">
        <w:rPr>
          <w:iCs/>
          <w:szCs w:val="24"/>
          <w:lang w:val="en-GB"/>
        </w:rPr>
        <w:t>,</w:t>
      </w:r>
      <w:r w:rsidRPr="008A0169">
        <w:rPr>
          <w:iCs/>
          <w:szCs w:val="24"/>
          <w:lang w:val="en-GB"/>
        </w:rPr>
        <w:t xml:space="preserve"> migrant, asylum-seeking and internally displaced people; LGBTQI+ persons; people living with and affected by HIV; young and older people; </w:t>
      </w:r>
      <w:r w:rsidR="002078DC">
        <w:rPr>
          <w:iCs/>
          <w:szCs w:val="24"/>
          <w:lang w:val="en-GB"/>
        </w:rPr>
        <w:t xml:space="preserve">single </w:t>
      </w:r>
      <w:r w:rsidRPr="008A0169">
        <w:rPr>
          <w:iCs/>
          <w:szCs w:val="24"/>
          <w:lang w:val="en-GB"/>
        </w:rPr>
        <w:t>and widowed women, across all contexts.</w:t>
      </w:r>
      <w:r w:rsidR="003C57B3" w:rsidRPr="003C57B3">
        <w:t xml:space="preserve"> </w:t>
      </w:r>
      <w:r w:rsidR="003C57B3" w:rsidRPr="003C57B3">
        <w:rPr>
          <w:iCs/>
          <w:szCs w:val="24"/>
          <w:lang w:val="en-GB"/>
        </w:rPr>
        <w:t>The consequences of the interaction of multiple and intersecting forms of discrimination are often considered to be separate and mutually exclusive forms of discrimination</w:t>
      </w:r>
      <w:r w:rsidR="003C57B3">
        <w:rPr>
          <w:iCs/>
          <w:szCs w:val="24"/>
          <w:lang w:val="en-GB"/>
        </w:rPr>
        <w:t xml:space="preserve">. </w:t>
      </w:r>
      <w:r w:rsidR="00E77A49">
        <w:rPr>
          <w:iCs/>
          <w:szCs w:val="24"/>
          <w:lang w:val="en-GB"/>
        </w:rPr>
        <w:t>However, t</w:t>
      </w:r>
      <w:r w:rsidR="00FC42A2">
        <w:rPr>
          <w:iCs/>
          <w:szCs w:val="24"/>
          <w:lang w:val="en-GB"/>
        </w:rPr>
        <w:t>he interaction of multiple identities and the resulting</w:t>
      </w:r>
      <w:r w:rsidR="00E77A49">
        <w:rPr>
          <w:iCs/>
          <w:szCs w:val="24"/>
          <w:lang w:val="en-GB"/>
        </w:rPr>
        <w:t xml:space="preserve"> discrimination is highly contextual and varies across contexts. </w:t>
      </w:r>
      <w:r w:rsidR="000346AB">
        <w:rPr>
          <w:szCs w:val="24"/>
          <w:lang w:val="en-GB"/>
        </w:rPr>
        <w:t xml:space="preserve"> </w:t>
      </w:r>
      <w:r w:rsidR="00D663CF" w:rsidRPr="00E874AD">
        <w:t xml:space="preserve">Existing evidence on intersectional discrimination indicates that </w:t>
      </w:r>
      <w:proofErr w:type="gramStart"/>
      <w:r w:rsidR="00D663CF" w:rsidRPr="00E874AD">
        <w:t>as a consequence of</w:t>
      </w:r>
      <w:proofErr w:type="gramEnd"/>
      <w:r w:rsidR="00D663CF" w:rsidRPr="00E874AD">
        <w:t xml:space="preserve"> multiple identities some persons with disabilities are pushed to the extreme margins and experience profound discriminations.  For example</w:t>
      </w:r>
      <w:r w:rsidR="00D663CF">
        <w:t xml:space="preserve">: </w:t>
      </w:r>
    </w:p>
    <w:p w14:paraId="35337253" w14:textId="77777777" w:rsidR="00D663CF" w:rsidRDefault="00D663CF" w:rsidP="00D663CF">
      <w:pPr>
        <w:spacing w:after="0" w:line="240" w:lineRule="auto"/>
        <w:jc w:val="both"/>
      </w:pPr>
    </w:p>
    <w:p w14:paraId="76DC27B8" w14:textId="580E591B" w:rsidR="00826473" w:rsidRDefault="00D663CF" w:rsidP="00AD2A64">
      <w:pPr>
        <w:numPr>
          <w:ilvl w:val="0"/>
          <w:numId w:val="3"/>
        </w:numPr>
        <w:pBdr>
          <w:top w:val="nil"/>
          <w:left w:val="nil"/>
          <w:bottom w:val="nil"/>
          <w:right w:val="nil"/>
          <w:between w:val="nil"/>
        </w:pBdr>
        <w:spacing w:after="0" w:line="240" w:lineRule="auto"/>
        <w:jc w:val="both"/>
        <w:rPr>
          <w:color w:val="000000"/>
        </w:rPr>
      </w:pPr>
      <w:r>
        <w:rPr>
          <w:color w:val="000000"/>
        </w:rPr>
        <w:t>Persons with intellectual or psychosocial disabilities</w:t>
      </w:r>
      <w:proofErr w:type="gramStart"/>
      <w:r>
        <w:rPr>
          <w:color w:val="000000"/>
        </w:rPr>
        <w:t>, in particular, tend</w:t>
      </w:r>
      <w:proofErr w:type="gramEnd"/>
      <w:r>
        <w:rPr>
          <w:color w:val="000000"/>
        </w:rPr>
        <w:t xml:space="preserve"> to be more vulnerable to harassment</w:t>
      </w:r>
      <w:r w:rsidR="00B92D48">
        <w:rPr>
          <w:color w:val="000000"/>
        </w:rPr>
        <w:t>, abuse</w:t>
      </w:r>
      <w:r>
        <w:rPr>
          <w:color w:val="000000"/>
        </w:rPr>
        <w:t xml:space="preserve"> and other threats because their legal capacity is often neglected.</w:t>
      </w:r>
      <w:r w:rsidRPr="00CF5104">
        <w:rPr>
          <w:color w:val="000000"/>
          <w:vertAlign w:val="superscript"/>
        </w:rPr>
        <w:t xml:space="preserve"> </w:t>
      </w:r>
      <w:r>
        <w:rPr>
          <w:color w:val="000000"/>
          <w:vertAlign w:val="superscript"/>
        </w:rPr>
        <w:footnoteReference w:id="3"/>
      </w:r>
      <w:r>
        <w:rPr>
          <w:color w:val="000000"/>
          <w:vertAlign w:val="superscript"/>
        </w:rPr>
        <w:t xml:space="preserve"> </w:t>
      </w:r>
      <w:r w:rsidR="004B04A4">
        <w:rPr>
          <w:color w:val="000000"/>
          <w:vertAlign w:val="superscript"/>
        </w:rPr>
        <w:t xml:space="preserve">  </w:t>
      </w:r>
      <w:r w:rsidR="004B04A4">
        <w:rPr>
          <w:color w:val="000000"/>
        </w:rPr>
        <w:t>This is also true for</w:t>
      </w:r>
      <w:r w:rsidR="004B04A4" w:rsidRPr="00407E72">
        <w:rPr>
          <w:color w:val="000000"/>
        </w:rPr>
        <w:t xml:space="preserve"> people with autism</w:t>
      </w:r>
      <w:r w:rsidR="00EA7F86">
        <w:rPr>
          <w:color w:val="000000"/>
        </w:rPr>
        <w:t>,</w:t>
      </w:r>
      <w:r w:rsidR="00B92D48">
        <w:rPr>
          <w:color w:val="000000"/>
        </w:rPr>
        <w:t xml:space="preserve"> </w:t>
      </w:r>
      <w:r w:rsidR="00DC33C6" w:rsidRPr="00407E72">
        <w:rPr>
          <w:color w:val="000000"/>
        </w:rPr>
        <w:t>deaf blindness</w:t>
      </w:r>
      <w:r w:rsidR="00EA7F86">
        <w:rPr>
          <w:color w:val="000000"/>
        </w:rPr>
        <w:t xml:space="preserve"> and other underrepresented disabilities</w:t>
      </w:r>
      <w:r w:rsidR="00A03B8A">
        <w:rPr>
          <w:color w:val="000000"/>
        </w:rPr>
        <w:t>. The situation is often aggravated when additional factors, such as socio-economic condition or minority ethnic, religious or racial background come into play.</w:t>
      </w:r>
    </w:p>
    <w:p w14:paraId="00102FD6" w14:textId="77777777" w:rsidR="00AD2A64" w:rsidRPr="00AD2A64" w:rsidRDefault="00AD2A64" w:rsidP="00AD2A64">
      <w:pPr>
        <w:pBdr>
          <w:top w:val="nil"/>
          <w:left w:val="nil"/>
          <w:bottom w:val="nil"/>
          <w:right w:val="nil"/>
          <w:between w:val="nil"/>
        </w:pBdr>
        <w:spacing w:after="0" w:line="240" w:lineRule="auto"/>
        <w:ind w:left="720"/>
        <w:jc w:val="both"/>
        <w:rPr>
          <w:color w:val="000000"/>
        </w:rPr>
      </w:pPr>
    </w:p>
    <w:p w14:paraId="451160B0" w14:textId="5C6BF41E" w:rsidR="00826473" w:rsidRDefault="00826473" w:rsidP="00AD2A64">
      <w:pPr>
        <w:numPr>
          <w:ilvl w:val="0"/>
          <w:numId w:val="3"/>
        </w:numPr>
        <w:pBdr>
          <w:top w:val="nil"/>
          <w:left w:val="nil"/>
          <w:bottom w:val="nil"/>
          <w:right w:val="nil"/>
          <w:between w:val="nil"/>
        </w:pBdr>
        <w:spacing w:after="0" w:line="240" w:lineRule="auto"/>
        <w:jc w:val="both"/>
        <w:rPr>
          <w:color w:val="000000"/>
        </w:rPr>
      </w:pPr>
      <w:r>
        <w:t xml:space="preserve">Women </w:t>
      </w:r>
      <w:r w:rsidR="00EA7F86">
        <w:t xml:space="preserve">and girls </w:t>
      </w:r>
      <w:r>
        <w:t xml:space="preserve">with disabilities face significant physical, financial, informational, and communications barriers to accessing health services, including sexual and reproductive health services, that are needed both because of their disability and their </w:t>
      </w:r>
      <w:r w:rsidR="00A03B8A">
        <w:t>gender</w:t>
      </w:r>
      <w:r>
        <w:t xml:space="preserve">. Furthermore, because of stereotypes about discrimination, they may be viewed as asexual, not being capable of making decisions for themselves, or not being fit parents, they may not be offered needed </w:t>
      </w:r>
      <w:r w:rsidR="00AB3183">
        <w:t xml:space="preserve">sexual and reproductive  </w:t>
      </w:r>
      <w:r>
        <w:t xml:space="preserve">services or may be denied the opportunity to have children through forced sterilization, forced contraception, and forced abortion. </w:t>
      </w:r>
    </w:p>
    <w:p w14:paraId="2AAD941A" w14:textId="77777777" w:rsidR="00AD2A64" w:rsidRPr="00AD2A64" w:rsidRDefault="00AD2A64" w:rsidP="00AD2A64">
      <w:pPr>
        <w:pBdr>
          <w:top w:val="nil"/>
          <w:left w:val="nil"/>
          <w:bottom w:val="nil"/>
          <w:right w:val="nil"/>
          <w:between w:val="nil"/>
        </w:pBdr>
        <w:spacing w:after="0" w:line="240" w:lineRule="auto"/>
        <w:jc w:val="both"/>
        <w:rPr>
          <w:color w:val="000000"/>
        </w:rPr>
      </w:pPr>
    </w:p>
    <w:p w14:paraId="2A5E6B70" w14:textId="57190ECB" w:rsidR="00D663CF" w:rsidRDefault="00D663CF" w:rsidP="00AD2A64">
      <w:pPr>
        <w:numPr>
          <w:ilvl w:val="0"/>
          <w:numId w:val="2"/>
        </w:numPr>
        <w:pBdr>
          <w:top w:val="nil"/>
          <w:left w:val="nil"/>
          <w:bottom w:val="nil"/>
          <w:right w:val="nil"/>
          <w:between w:val="nil"/>
        </w:pBdr>
        <w:spacing w:after="0" w:line="240" w:lineRule="auto"/>
        <w:jc w:val="both"/>
        <w:rPr>
          <w:color w:val="000000"/>
        </w:rPr>
      </w:pPr>
      <w:r>
        <w:rPr>
          <w:color w:val="000000"/>
        </w:rPr>
        <w:t>Children with disabilities are often not registered at bir</w:t>
      </w:r>
      <w:r>
        <w:t>th</w:t>
      </w:r>
      <w:r>
        <w:rPr>
          <w:color w:val="000000"/>
        </w:rPr>
        <w:t xml:space="preserve"> because of stigma. Practices vary across countries, but there have been reports of 80 to 90 per cent of children with disabilities not having birth certificates.</w:t>
      </w:r>
      <w:r>
        <w:rPr>
          <w:color w:val="000000"/>
          <w:vertAlign w:val="superscript"/>
        </w:rPr>
        <w:footnoteReference w:id="4"/>
      </w:r>
      <w:r w:rsidR="0074706A">
        <w:rPr>
          <w:color w:val="000000"/>
          <w:vertAlign w:val="superscript"/>
        </w:rPr>
        <w:t xml:space="preserve"> </w:t>
      </w:r>
      <w:r w:rsidR="0074706A">
        <w:rPr>
          <w:color w:val="000000"/>
        </w:rPr>
        <w:t xml:space="preserve">In the Global South, persons with disabilities are also excluded from obtaining Digital National ID because of the inaccessibility of the biometric systems. </w:t>
      </w:r>
      <w:r w:rsidR="0074706A" w:rsidRPr="001F7C1C">
        <w:rPr>
          <w:color w:val="000000"/>
        </w:rPr>
        <w:t xml:space="preserve">This is especially relevant with </w:t>
      </w:r>
      <w:r w:rsidR="0074706A">
        <w:rPr>
          <w:color w:val="000000"/>
        </w:rPr>
        <w:t>an increasing number of States turning to citizen registration and verification processes e.g. India.</w:t>
      </w:r>
      <w:r w:rsidR="0073713C">
        <w:rPr>
          <w:rStyle w:val="FootnoteReference"/>
          <w:color w:val="000000"/>
        </w:rPr>
        <w:footnoteReference w:id="5"/>
      </w:r>
    </w:p>
    <w:p w14:paraId="775953F0" w14:textId="77777777" w:rsidR="00AD2A64" w:rsidRPr="00AD2A64" w:rsidRDefault="00AD2A64" w:rsidP="00AD2A64">
      <w:pPr>
        <w:pBdr>
          <w:top w:val="nil"/>
          <w:left w:val="nil"/>
          <w:bottom w:val="nil"/>
          <w:right w:val="nil"/>
          <w:between w:val="nil"/>
        </w:pBdr>
        <w:spacing w:after="0" w:line="240" w:lineRule="auto"/>
        <w:ind w:left="720"/>
        <w:jc w:val="both"/>
        <w:rPr>
          <w:color w:val="000000"/>
        </w:rPr>
      </w:pPr>
    </w:p>
    <w:p w14:paraId="034C78B0" w14:textId="639EF0C4" w:rsidR="00D663CF" w:rsidRDefault="00D663CF" w:rsidP="007E7209">
      <w:pPr>
        <w:numPr>
          <w:ilvl w:val="0"/>
          <w:numId w:val="2"/>
        </w:numPr>
        <w:pBdr>
          <w:top w:val="nil"/>
          <w:left w:val="nil"/>
          <w:bottom w:val="nil"/>
          <w:right w:val="nil"/>
          <w:between w:val="nil"/>
        </w:pBdr>
        <w:spacing w:after="0" w:line="240" w:lineRule="auto"/>
        <w:jc w:val="both"/>
        <w:rPr>
          <w:color w:val="000000"/>
        </w:rPr>
      </w:pPr>
      <w:r>
        <w:rPr>
          <w:color w:val="000000"/>
        </w:rPr>
        <w:t xml:space="preserve">Data from six developing countries indicated that on average one in three children with disabilities of primary school age was out of school, compared with one in seven children without disabilities. In these </w:t>
      </w:r>
      <w:r>
        <w:rPr>
          <w:color w:val="000000"/>
        </w:rPr>
        <w:lastRenderedPageBreak/>
        <w:t>same countries, the primary school completion rate was 56 per cent for children with disabilities and 73 per cent for children without disabilities.</w:t>
      </w:r>
      <w:r>
        <w:rPr>
          <w:color w:val="000000"/>
          <w:vertAlign w:val="superscript"/>
        </w:rPr>
        <w:footnoteReference w:id="6"/>
      </w:r>
    </w:p>
    <w:p w14:paraId="41574A71" w14:textId="77777777" w:rsidR="008A0169" w:rsidRDefault="008A0169" w:rsidP="008A0169">
      <w:pPr>
        <w:spacing w:after="0" w:line="240" w:lineRule="auto"/>
        <w:rPr>
          <w:iCs/>
          <w:sz w:val="20"/>
          <w:lang w:val="en-GB"/>
        </w:rPr>
      </w:pPr>
    </w:p>
    <w:p w14:paraId="348DA7C2" w14:textId="145254C5" w:rsidR="002F0B64" w:rsidRDefault="00426871" w:rsidP="002F0B64">
      <w:pPr>
        <w:spacing w:after="0" w:line="240" w:lineRule="auto"/>
        <w:jc w:val="both"/>
      </w:pPr>
      <w:r>
        <w:t xml:space="preserve">The UN System, including </w:t>
      </w:r>
      <w:r w:rsidR="00C01442">
        <w:t>UNCTs</w:t>
      </w:r>
      <w:r w:rsidR="00FF7D9D">
        <w:t>,</w:t>
      </w:r>
      <w:r>
        <w:t xml:space="preserve"> </w:t>
      </w:r>
      <w:r w:rsidR="00F65B39">
        <w:t>and government</w:t>
      </w:r>
      <w:r w:rsidR="00985D1D">
        <w:t>s</w:t>
      </w:r>
      <w:r w:rsidR="00474784">
        <w:t xml:space="preserve">, </w:t>
      </w:r>
      <w:r w:rsidR="00B95025">
        <w:t>often do no</w:t>
      </w:r>
      <w:r w:rsidR="00F02095">
        <w:t>t</w:t>
      </w:r>
      <w:r w:rsidR="00474784">
        <w:t xml:space="preserve"> </w:t>
      </w:r>
      <w:r w:rsidR="00D658CD">
        <w:t xml:space="preserve">effectively </w:t>
      </w:r>
      <w:r w:rsidR="00F02095">
        <w:t xml:space="preserve">address the </w:t>
      </w:r>
      <w:r w:rsidR="00041CDE">
        <w:t>rights</w:t>
      </w:r>
      <w:r w:rsidR="008F658E">
        <w:t xml:space="preserve"> of </w:t>
      </w:r>
      <w:r w:rsidR="00D658CD">
        <w:t>persons with disabilities</w:t>
      </w:r>
      <w:r w:rsidR="00F214CB">
        <w:t xml:space="preserve"> </w:t>
      </w:r>
      <w:r w:rsidR="00692EBD">
        <w:t xml:space="preserve">in their </w:t>
      </w:r>
      <w:r w:rsidR="00D658CD">
        <w:t>programmes</w:t>
      </w:r>
      <w:r w:rsidR="00692EBD">
        <w:t xml:space="preserve"> and policies.</w:t>
      </w:r>
      <w:r w:rsidR="00AA46F9">
        <w:t xml:space="preserve"> </w:t>
      </w:r>
      <w:r w:rsidR="002F0B64">
        <w:t xml:space="preserve">This happens for </w:t>
      </w:r>
      <w:r w:rsidR="003439FE">
        <w:t>several</w:t>
      </w:r>
      <w:r w:rsidR="002F0B64">
        <w:t xml:space="preserve"> reasons, linked to </w:t>
      </w:r>
      <w:r w:rsidR="00EA7F86">
        <w:t xml:space="preserve">stigma and discrimination, </w:t>
      </w:r>
      <w:r w:rsidR="002F0B64">
        <w:t>a lack of understanding of the disability rights agenda</w:t>
      </w:r>
      <w:r w:rsidR="003439FE">
        <w:t xml:space="preserve"> in conjunction with </w:t>
      </w:r>
      <w:r w:rsidR="005D127A">
        <w:t xml:space="preserve">other </w:t>
      </w:r>
      <w:r w:rsidR="00FA7583">
        <w:t xml:space="preserve">development agendas including </w:t>
      </w:r>
      <w:r w:rsidR="005D127A">
        <w:t>feminist agendas</w:t>
      </w:r>
      <w:r w:rsidR="002F0B64">
        <w:t>, inadequate planning and budgeting to involve effective participation of persons with disabilities</w:t>
      </w:r>
      <w:r w:rsidR="00034480">
        <w:t>, including</w:t>
      </w:r>
      <w:r w:rsidR="002F0B64">
        <w:t xml:space="preserve"> through their representative organizations, and an inadequacy of data collection mechanisms. This is further complicated by the continuance of policies and structures which perpetuate segregation and incapacity and lack intersectional approaches, and which sometimes are supported by local organizations of persons with disabilities e.g. sheltered workshops, segregated educational set ups, guardianship arrangements. At times, </w:t>
      </w:r>
      <w:r w:rsidR="006B7B73">
        <w:t xml:space="preserve">institutions </w:t>
      </w:r>
      <w:r w:rsidR="002F0B64">
        <w:t>are concerned about perceived costs of inclusion of persons with disabilities and the perceived lack of experts to guide these processes.</w:t>
      </w:r>
    </w:p>
    <w:p w14:paraId="5ACB1BC6" w14:textId="77777777" w:rsidR="00D663CF" w:rsidRDefault="00D663CF" w:rsidP="00D663CF">
      <w:pPr>
        <w:spacing w:after="0" w:line="240" w:lineRule="auto"/>
        <w:jc w:val="both"/>
      </w:pPr>
    </w:p>
    <w:p w14:paraId="2B9691AB" w14:textId="721AFC45" w:rsidR="00D663CF" w:rsidRDefault="00D663CF" w:rsidP="00D90B65">
      <w:r>
        <w:t xml:space="preserve">With a growing recognition that the failure to address various aspects of identity as well as structural and systemic barriers that inhibit participation can obscure or deny human rights protection due to all, it is crucial to design interventions and policies that effectively address not only discrimination based on disability but the situation of those affected by multiple forms of discrimination. There is a need to use an intersectional approach in: the development, implementation and evaluation of policies and programmes; advocacy; intergovernmental processes; and data collection to identify effective ways to empower persons with disabilities in all their diversity, particularly within the context of the 2030 Agenda and its resolve to leave no one behind. </w:t>
      </w:r>
      <w:r w:rsidR="005D33F3">
        <w:t xml:space="preserve">This is </w:t>
      </w:r>
      <w:r w:rsidR="006E4215">
        <w:t>particularly</w:t>
      </w:r>
      <w:r w:rsidR="005D33F3">
        <w:t xml:space="preserve"> relevant in the work the UN System </w:t>
      </w:r>
      <w:r w:rsidR="006E4215">
        <w:t xml:space="preserve">as it </w:t>
      </w:r>
      <w:r w:rsidR="00F6732E">
        <w:t>responds to t</w:t>
      </w:r>
      <w:r w:rsidR="00816667">
        <w:t xml:space="preserve">he COVID-19 crisis, </w:t>
      </w:r>
      <w:r w:rsidR="00F6732E">
        <w:t xml:space="preserve">which disproportionately impacts the lives the </w:t>
      </w:r>
      <w:r w:rsidR="002B1229">
        <w:t xml:space="preserve">persons with disabilities </w:t>
      </w:r>
      <w:r w:rsidR="00072A14">
        <w:t xml:space="preserve">and </w:t>
      </w:r>
      <w:r w:rsidR="00780CC9">
        <w:t>is</w:t>
      </w:r>
      <w:r w:rsidR="002B1229">
        <w:t xml:space="preserve"> further exacerbated by other</w:t>
      </w:r>
      <w:r w:rsidR="005A7085">
        <w:t xml:space="preserve"> structural barriers such as patriarchy, </w:t>
      </w:r>
      <w:r w:rsidR="00317346">
        <w:t xml:space="preserve">racism, </w:t>
      </w:r>
      <w:r w:rsidR="00A03B8A">
        <w:t xml:space="preserve">discrimination based on socio-economic status, </w:t>
      </w:r>
      <w:r w:rsidR="00072A14">
        <w:t>among others.</w:t>
      </w:r>
    </w:p>
    <w:p w14:paraId="1A725197" w14:textId="185A8EF4" w:rsidR="004B5BCF" w:rsidRDefault="001F3A6F" w:rsidP="004B5BCF">
      <w:pPr>
        <w:spacing w:after="0" w:line="240" w:lineRule="auto"/>
        <w:jc w:val="both"/>
      </w:pPr>
      <w:r>
        <w:t>T</w:t>
      </w:r>
      <w:r w:rsidR="004B5BCF">
        <w:t>here</w:t>
      </w:r>
      <w:r>
        <w:t xml:space="preserve"> remains</w:t>
      </w:r>
      <w:r w:rsidR="004B5BCF">
        <w:t xml:space="preserve"> a gap in comprehensive </w:t>
      </w:r>
      <w:r w:rsidR="00041CDE">
        <w:t xml:space="preserve">understanding and </w:t>
      </w:r>
      <w:r w:rsidR="004B5BCF">
        <w:t xml:space="preserve">tools to support the practical implementation of an intersectional approach that addresses discrimination based on disability </w:t>
      </w:r>
      <w:r w:rsidR="00DF4DA5">
        <w:t xml:space="preserve">and </w:t>
      </w:r>
      <w:r w:rsidR="005D7254">
        <w:t>responds to</w:t>
      </w:r>
      <w:r w:rsidR="004B5BCF">
        <w:t xml:space="preserve"> multiple forms of discrimination, including based on age, sex, gender identity and expression,</w:t>
      </w:r>
      <w:r w:rsidR="008677E9">
        <w:t xml:space="preserve"> location, socio-economic status,</w:t>
      </w:r>
      <w:r w:rsidR="004B5BCF">
        <w:t xml:space="preserve"> race, and ethnicity</w:t>
      </w:r>
      <w:r w:rsidR="00DF4DA5">
        <w:t xml:space="preserve"> experienced by persons with disabilities</w:t>
      </w:r>
      <w:r w:rsidR="004B5BCF">
        <w:t xml:space="preserve">. This project hopes to respond to this unmet demand through the development of a practical </w:t>
      </w:r>
      <w:r w:rsidR="00A067D9">
        <w:t>toolkit</w:t>
      </w:r>
      <w:r w:rsidR="004B5BCF">
        <w:t>, building on existing knowledge</w:t>
      </w:r>
      <w:r w:rsidR="00DF4DA5">
        <w:t>, experience</w:t>
      </w:r>
      <w:r w:rsidR="004B5BCF">
        <w:t xml:space="preserve"> and expertise, in consultation with </w:t>
      </w:r>
      <w:r w:rsidR="008875DC">
        <w:t xml:space="preserve">diverse </w:t>
      </w:r>
      <w:r w:rsidR="004B5BCF">
        <w:t>organizations of persons with disabilities, to support UNCTs</w:t>
      </w:r>
      <w:r w:rsidR="00A067D9">
        <w:t>, civil society and Member States</w:t>
      </w:r>
      <w:r w:rsidR="004B5BCF">
        <w:t xml:space="preserve"> in responding to this need and effectively reduce compounded and intersecting inequalities that persons with disabilities in their diversity face in society, including in all areas of private and public life. </w:t>
      </w:r>
    </w:p>
    <w:p w14:paraId="2E8AB5EF" w14:textId="77777777" w:rsidR="004B5BCF" w:rsidRPr="005E58F6" w:rsidRDefault="004B5BCF" w:rsidP="006C28CF">
      <w:pPr>
        <w:spacing w:after="0" w:line="240" w:lineRule="auto"/>
        <w:rPr>
          <w:iCs/>
          <w:sz w:val="20"/>
        </w:rPr>
      </w:pPr>
    </w:p>
    <w:p w14:paraId="4303CA78" w14:textId="77777777" w:rsidR="000B2840" w:rsidRDefault="000B2840" w:rsidP="000B2840">
      <w:pPr>
        <w:spacing w:after="0" w:line="240" w:lineRule="auto"/>
        <w:jc w:val="both"/>
        <w:rPr>
          <w:i/>
          <w:sz w:val="20"/>
        </w:rPr>
      </w:pPr>
    </w:p>
    <w:p w14:paraId="51DDEF6A" w14:textId="16C8FE37" w:rsidR="008D53F5" w:rsidRDefault="000B2840" w:rsidP="00AE1521">
      <w:pPr>
        <w:pStyle w:val="Heading2"/>
      </w:pPr>
      <w:r>
        <w:t xml:space="preserve">1.2 </w:t>
      </w:r>
      <w:r w:rsidR="00C03AA5" w:rsidRPr="006C28CF">
        <w:t xml:space="preserve">Opportunities </w:t>
      </w:r>
      <w:r w:rsidR="00DC7DFE">
        <w:t>available to</w:t>
      </w:r>
      <w:r w:rsidR="00C03AA5" w:rsidRPr="006C28CF">
        <w:t xml:space="preserve"> the project</w:t>
      </w:r>
      <w:r w:rsidR="00382CFE">
        <w:t xml:space="preserve"> </w:t>
      </w:r>
    </w:p>
    <w:p w14:paraId="1BFC1D00" w14:textId="217557E6" w:rsidR="00CD1196" w:rsidRDefault="00CD1196" w:rsidP="00CD1196">
      <w:pPr>
        <w:spacing w:after="360"/>
        <w:jc w:val="both"/>
      </w:pPr>
      <w:r>
        <w:t>There is increased recognition that to achieve the goals of the 2030 agenda, structural barriers across all economic, social, political, cultural urban and environmental domains must be addressed</w:t>
      </w:r>
      <w:r w:rsidR="005244CE">
        <w:t xml:space="preserve"> with accelerated implementation</w:t>
      </w:r>
      <w:r>
        <w:t xml:space="preserve">. With the 2030 Agenda’s emphasis to “leave no one behind”, the UN </w:t>
      </w:r>
      <w:r w:rsidR="00E2361C">
        <w:t>S</w:t>
      </w:r>
      <w:r>
        <w:t>ystem’s approach now not only entails reaching the poorest of the poor, but also seeks to combat discrimination and rising inequalities within and among countries, and their root causes. Particularly within the context of the on-going UN System reform</w:t>
      </w:r>
      <w:r w:rsidR="008875DC">
        <w:t xml:space="preserve"> as well as the </w:t>
      </w:r>
      <w:r w:rsidR="0034602C">
        <w:t xml:space="preserve">UN Disability Inclusion Strategy </w:t>
      </w:r>
      <w:r>
        <w:t xml:space="preserve">we </w:t>
      </w:r>
      <w:proofErr w:type="gramStart"/>
      <w:r>
        <w:t>have the opportunity to</w:t>
      </w:r>
      <w:proofErr w:type="gramEnd"/>
      <w:r>
        <w:t xml:space="preserve"> effectively work across the UN System along with civil society to address these barriers.</w:t>
      </w:r>
      <w:r w:rsidR="003311C0">
        <w:t xml:space="preserve"> In </w:t>
      </w:r>
      <w:r w:rsidR="00FD7193">
        <w:t>addition,</w:t>
      </w:r>
      <w:r w:rsidR="003311C0">
        <w:t xml:space="preserve"> there is an increased momentum</w:t>
      </w:r>
      <w:r w:rsidR="00FD7193">
        <w:t xml:space="preserve"> in UN regional and national</w:t>
      </w:r>
      <w:r w:rsidR="00515F4C">
        <w:t xml:space="preserve"> </w:t>
      </w:r>
      <w:r w:rsidR="00CD10A2">
        <w:lastRenderedPageBreak/>
        <w:t>coordination mechanisms focused on the principle</w:t>
      </w:r>
      <w:r w:rsidR="008F706F">
        <w:t xml:space="preserve">s of LNOB, Human Rights and Gender Equality, to </w:t>
      </w:r>
      <w:r w:rsidR="00FD7193">
        <w:t xml:space="preserve">effectively </w:t>
      </w:r>
      <w:r w:rsidR="007B5820">
        <w:t xml:space="preserve">adopt an approach to address systemic barriers. </w:t>
      </w:r>
    </w:p>
    <w:p w14:paraId="590DB885" w14:textId="6B95339F" w:rsidR="003806B7" w:rsidRDefault="00CD1196" w:rsidP="00CD1196">
      <w:pPr>
        <w:spacing w:after="360"/>
        <w:jc w:val="both"/>
      </w:pPr>
      <w:r>
        <w:t>Across the UN System and civil society there have been various initiatives to address intersectional discrimination, for example UNFPA’s global research study, Young Persons with Disabilities: Global Study on Ending Gender-based Violence and Realizing Sexual and Reproductive Health and Rights; UNAIDS’ report on Disability and HIV; the UN Trust Fund to End Violence Against Women’s special funding window specifically aiming to prevent and end violence against women and girls with disabilities;</w:t>
      </w:r>
      <w:r w:rsidR="00F86118" w:rsidRPr="00F86118">
        <w:t xml:space="preserve"> the International Civil Society Centre</w:t>
      </w:r>
      <w:r w:rsidR="00F86118">
        <w:t>’s Leave No One Behind P</w:t>
      </w:r>
      <w:r w:rsidR="00EC1214">
        <w:t>artnership;</w:t>
      </w:r>
      <w:r>
        <w:t xml:space="preserve"> </w:t>
      </w:r>
      <w:r w:rsidR="00C77829">
        <w:t>as well as</w:t>
      </w:r>
      <w:r>
        <w:t xml:space="preserve"> Humanity and Inclusion’s Making it Work initiative. However, there is still a gap in knowledge and resources on how to systematically utilize</w:t>
      </w:r>
      <w:r w:rsidR="00A633CE">
        <w:t xml:space="preserve"> and integrate </w:t>
      </w:r>
      <w:r>
        <w:t xml:space="preserve">an intersectional approach to all efforts. </w:t>
      </w:r>
      <w:r w:rsidR="00194B7F">
        <w:t xml:space="preserve">In addition, there </w:t>
      </w:r>
      <w:r w:rsidR="00DA478F">
        <w:t>is the challenge</w:t>
      </w:r>
      <w:r w:rsidR="00196872">
        <w:t xml:space="preserve"> </w:t>
      </w:r>
      <w:r w:rsidR="005942C2">
        <w:t>of si</w:t>
      </w:r>
      <w:r w:rsidR="00D41005">
        <w:t xml:space="preserve">loed approaches </w:t>
      </w:r>
      <w:r w:rsidR="009F72CC">
        <w:t xml:space="preserve">in </w:t>
      </w:r>
      <w:r w:rsidR="0095584F">
        <w:t xml:space="preserve">addressing the issues of disability inclusion, gender, </w:t>
      </w:r>
      <w:r w:rsidR="007E020D">
        <w:t xml:space="preserve">age, </w:t>
      </w:r>
      <w:r w:rsidR="0095584F">
        <w:t>among other</w:t>
      </w:r>
      <w:r w:rsidR="009F72CC">
        <w:t xml:space="preserve"> factors </w:t>
      </w:r>
      <w:r w:rsidR="00BF2413">
        <w:t xml:space="preserve">leads to the </w:t>
      </w:r>
      <w:r w:rsidR="00C31BAC">
        <w:t xml:space="preserve">rights of marginalized </w:t>
      </w:r>
      <w:r w:rsidR="00F62C81">
        <w:t>communities bei</w:t>
      </w:r>
      <w:r w:rsidR="00934999">
        <w:t xml:space="preserve">ng </w:t>
      </w:r>
      <w:r w:rsidR="00934999" w:rsidRPr="00FF3944">
        <w:t>overlooked during the development and implementation of policies and programmes and intergovernmental processes.</w:t>
      </w:r>
      <w:r w:rsidR="00934999">
        <w:t xml:space="preserve"> </w:t>
      </w:r>
      <w:r w:rsidR="0005654B">
        <w:t xml:space="preserve"> </w:t>
      </w:r>
    </w:p>
    <w:p w14:paraId="5AF59FB1" w14:textId="753B7F24" w:rsidR="00CD1196" w:rsidRDefault="00CD1196" w:rsidP="00CD1196">
      <w:pPr>
        <w:spacing w:after="360"/>
        <w:jc w:val="both"/>
      </w:pPr>
      <w:r>
        <w:t>The project hopes to leverage the knowledge, expertise and complementary and comparative advantages that partners bring to accelerate efforts to systematically address barriers that exclude the diversity of persons with disabilities.  It is also hoped it will contribute to address inequality in outcomes by providing tools and sharing promising practices to reach those most marginalized</w:t>
      </w:r>
      <w:r w:rsidR="00554692">
        <w:t>.</w:t>
      </w:r>
    </w:p>
    <w:p w14:paraId="2D7CB36D" w14:textId="6498F4D6" w:rsidR="00BC4B02" w:rsidRPr="006C28CF" w:rsidRDefault="006C28CF" w:rsidP="00F66AC2">
      <w:pPr>
        <w:pStyle w:val="Heading1"/>
      </w:pPr>
      <w:r>
        <w:t xml:space="preserve">2. </w:t>
      </w:r>
      <w:r w:rsidR="00BC4B02" w:rsidRPr="006C28CF">
        <w:t xml:space="preserve">Project </w:t>
      </w:r>
      <w:r w:rsidR="00A14103">
        <w:t>A</w:t>
      </w:r>
      <w:r w:rsidR="00BC4B02" w:rsidRPr="006C28CF">
        <w:t xml:space="preserve">pproach </w:t>
      </w:r>
    </w:p>
    <w:p w14:paraId="23FC3026" w14:textId="77777777" w:rsidR="00BC4B02" w:rsidRPr="00D9184A" w:rsidRDefault="00BC4B02" w:rsidP="00F66AC2">
      <w:pPr>
        <w:pStyle w:val="Heading2"/>
      </w:pPr>
      <w:r w:rsidRPr="00D9184A">
        <w:t xml:space="preserve">2.1 </w:t>
      </w:r>
      <w:r>
        <w:t>Focus of the project</w:t>
      </w:r>
      <w:r w:rsidRPr="00D9184A">
        <w:t xml:space="preserve"> – “What is the </w:t>
      </w:r>
      <w:r>
        <w:t>project</w:t>
      </w:r>
      <w:r w:rsidRPr="00D9184A">
        <w:t xml:space="preserve"> about?”</w:t>
      </w:r>
    </w:p>
    <w:p w14:paraId="71F10DBA" w14:textId="77777777" w:rsidR="00E64B71" w:rsidRDefault="00E64B71" w:rsidP="009A3D90">
      <w:pPr>
        <w:spacing w:after="0"/>
        <w:jc w:val="both"/>
      </w:pPr>
    </w:p>
    <w:p w14:paraId="4528253E" w14:textId="1053C2F3" w:rsidR="009A3D90" w:rsidRDefault="009A3D90" w:rsidP="009A3D90">
      <w:pPr>
        <w:spacing w:after="0"/>
        <w:jc w:val="both"/>
      </w:pPr>
      <w:r>
        <w:t xml:space="preserve">Through </w:t>
      </w:r>
      <w:r w:rsidR="006C34B3">
        <w:t>a multi-stakeholder</w:t>
      </w:r>
      <w:r>
        <w:t xml:space="preserve"> effort, UN Women, UNDESA, UNICEF, UNFPA and OHCHR will coordinate the development of a global tool</w:t>
      </w:r>
      <w:r w:rsidR="00F21D93">
        <w:t>kit</w:t>
      </w:r>
      <w:r>
        <w:t xml:space="preserve"> to </w:t>
      </w:r>
      <w:r w:rsidR="00815BDF" w:rsidRPr="00815BDF">
        <w:t>inform both UNCTs and Government programming processes to address</w:t>
      </w:r>
      <w:r w:rsidR="00F375C5">
        <w:t xml:space="preserve"> </w:t>
      </w:r>
      <w:r w:rsidR="00815BDF" w:rsidRPr="00815BDF">
        <w:t xml:space="preserve"> disability</w:t>
      </w:r>
      <w:r w:rsidR="00F375C5">
        <w:t xml:space="preserve"> inclusion </w:t>
      </w:r>
      <w:r w:rsidR="00815BDF" w:rsidRPr="00815BDF">
        <w:t xml:space="preserve"> at the intersection of factors such as age, sex, gender identity and expression, race, ethnicity, among others in relation to: data collection; programme design, implementation and monitoring; and advocacy for the rights of persons with disabilities in their diversity using an intersectional approach.  </w:t>
      </w:r>
      <w:r>
        <w:t>The tool</w:t>
      </w:r>
      <w:r w:rsidR="000D75F0">
        <w:t>kit</w:t>
      </w:r>
      <w:r>
        <w:t xml:space="preserve"> will be developed in close consultation</w:t>
      </w:r>
      <w:r w:rsidR="00D63901">
        <w:t xml:space="preserve"> with a civil society advisory group</w:t>
      </w:r>
      <w:r w:rsidR="00D63901">
        <w:rPr>
          <w:rStyle w:val="FootnoteReference"/>
        </w:rPr>
        <w:footnoteReference w:id="7"/>
      </w:r>
      <w:r w:rsidR="00D63901">
        <w:t xml:space="preserve"> as well as with</w:t>
      </w:r>
      <w:r>
        <w:t xml:space="preserve"> organizations of persons with disabilities, UN entities, civil society, academia and other relevant stakeholders. </w:t>
      </w:r>
    </w:p>
    <w:p w14:paraId="30298614" w14:textId="77777777" w:rsidR="009A3D90" w:rsidRDefault="009A3D90" w:rsidP="009A3D90">
      <w:pPr>
        <w:spacing w:after="0"/>
        <w:jc w:val="both"/>
      </w:pPr>
    </w:p>
    <w:p w14:paraId="44097CD7" w14:textId="104CD63C" w:rsidR="009A3D90" w:rsidRDefault="009A3D90" w:rsidP="009A3D90">
      <w:pPr>
        <w:spacing w:after="0"/>
        <w:jc w:val="both"/>
      </w:pPr>
      <w:r>
        <w:t>The tool</w:t>
      </w:r>
      <w:r w:rsidR="00A83D4A">
        <w:t>kit</w:t>
      </w:r>
      <w:r>
        <w:t xml:space="preserve"> will be informed by: (a) a desk review of existing resources and best practices from UN entities, organizations of persons with disabilities, broader civil society, and academia (b) </w:t>
      </w:r>
      <w:r w:rsidR="000340D0">
        <w:t xml:space="preserve">consultations and validation workshops to seek input including from a diverse range of organizations of persons with disabilities, UNCTs, UN agencies, through the process of developing the toolkit as well as to build consensus around the resulting toolkit. </w:t>
      </w:r>
      <w:r>
        <w:t xml:space="preserve">The </w:t>
      </w:r>
      <w:r w:rsidR="003B40E1">
        <w:t>toolkit</w:t>
      </w:r>
      <w:r>
        <w:t xml:space="preserve"> intends to provide </w:t>
      </w:r>
      <w:r w:rsidR="00D72D48">
        <w:t xml:space="preserve">operational guidance with practical examples on </w:t>
      </w:r>
      <w:r w:rsidR="003B40E1">
        <w:t xml:space="preserve">implementing and integrating </w:t>
      </w:r>
      <w:r w:rsidR="008F4D1B">
        <w:t xml:space="preserve">an intersectional approach </w:t>
      </w:r>
      <w:r w:rsidR="00D72D48">
        <w:t>in programme design, implementation and monitoring</w:t>
      </w:r>
      <w:r w:rsidR="00E401B8">
        <w:t xml:space="preserve"> and evaluation.</w:t>
      </w:r>
      <w:r w:rsidR="000D75F0">
        <w:t xml:space="preserve"> The toolkit </w:t>
      </w:r>
      <w:r w:rsidR="00751F05">
        <w:t xml:space="preserve">is intended to </w:t>
      </w:r>
      <w:r w:rsidR="00E03B21">
        <w:t xml:space="preserve">primarily support </w:t>
      </w:r>
      <w:r w:rsidR="003D76C3">
        <w:t>U</w:t>
      </w:r>
      <w:r w:rsidR="00692DF2">
        <w:t>N agencies and</w:t>
      </w:r>
      <w:r w:rsidR="00BE06AC">
        <w:t xml:space="preserve"> </w:t>
      </w:r>
      <w:r w:rsidR="00110FA5">
        <w:t xml:space="preserve">governments </w:t>
      </w:r>
      <w:r w:rsidR="00E03B21">
        <w:t xml:space="preserve"> to design programmes and services with an intersectional approach and in doing so it will be a </w:t>
      </w:r>
      <w:r w:rsidR="00EA4A6C">
        <w:t>valuable</w:t>
      </w:r>
      <w:r w:rsidR="00E03B21">
        <w:t xml:space="preserve"> resource for UN agencies involved in UNPRPD joint programmes and beyond to support governments to implement programmes that are inclusive and take into </w:t>
      </w:r>
      <w:r w:rsidR="00E03B21">
        <w:lastRenderedPageBreak/>
        <w:t xml:space="preserve">account the compounded and multi-dimensional nature of disability. It could also be a useful guide for DPOs </w:t>
      </w:r>
      <w:proofErr w:type="gramStart"/>
      <w:r w:rsidR="00E03B21">
        <w:t>and</w:t>
      </w:r>
      <w:r w:rsidR="000340D0">
        <w:t xml:space="preserve"> </w:t>
      </w:r>
      <w:r w:rsidR="00751F05">
        <w:t xml:space="preserve"> civil</w:t>
      </w:r>
      <w:proofErr w:type="gramEnd"/>
      <w:r w:rsidR="00751F05">
        <w:t xml:space="preserve"> society</w:t>
      </w:r>
      <w:r w:rsidR="008B1071">
        <w:t xml:space="preserve"> in implementing an intersectional approach to disability inclusion</w:t>
      </w:r>
      <w:r w:rsidR="00E03B21">
        <w:t xml:space="preserve"> in their advocacy and programming</w:t>
      </w:r>
      <w:r w:rsidR="0023714E">
        <w:t>.</w:t>
      </w:r>
      <w:r w:rsidR="00E401B8">
        <w:t xml:space="preserve"> </w:t>
      </w:r>
    </w:p>
    <w:p w14:paraId="6CF3B44A" w14:textId="77777777" w:rsidR="003E7A83" w:rsidRDefault="003E7A83" w:rsidP="00F66AC2">
      <w:pPr>
        <w:spacing w:after="0" w:line="240" w:lineRule="auto"/>
        <w:jc w:val="both"/>
        <w:rPr>
          <w:sz w:val="20"/>
        </w:rPr>
      </w:pPr>
    </w:p>
    <w:p w14:paraId="48E15377" w14:textId="27C00EFB" w:rsidR="004D3182" w:rsidRPr="001D3BC9" w:rsidRDefault="006C28CF" w:rsidP="001D3BC9">
      <w:pPr>
        <w:pStyle w:val="Heading2"/>
      </w:pPr>
      <w:r w:rsidRPr="00A4508A">
        <w:t xml:space="preserve">2.2 </w:t>
      </w:r>
      <w:r w:rsidR="00BC4B02" w:rsidRPr="00A4508A">
        <w:t xml:space="preserve">Theory of change of the intervention – “How will the project produce </w:t>
      </w:r>
      <w:r w:rsidR="001D0E33" w:rsidRPr="00A4508A">
        <w:t>the stated impact</w:t>
      </w:r>
      <w:r w:rsidR="00BC4B02" w:rsidRPr="00A4508A">
        <w:t>?”</w:t>
      </w:r>
    </w:p>
    <w:p w14:paraId="074BCCB5" w14:textId="77777777" w:rsidR="004D3182" w:rsidRPr="009A3D90" w:rsidRDefault="004D3182" w:rsidP="00BC4B02">
      <w:pPr>
        <w:spacing w:after="0" w:line="240" w:lineRule="auto"/>
        <w:jc w:val="both"/>
        <w:rPr>
          <w:sz w:val="20"/>
          <w:highlight w:val="yellow"/>
        </w:rPr>
      </w:pPr>
    </w:p>
    <w:p w14:paraId="5681CC08" w14:textId="77777777" w:rsidR="00530C2A" w:rsidRDefault="003D76A5" w:rsidP="003D76A5">
      <w:r>
        <w:t xml:space="preserve">The project seeks to offer conceptual clarification and operational guidance on intersectional discrimination, with a </w:t>
      </w:r>
      <w:proofErr w:type="gramStart"/>
      <w:r>
        <w:t>particular focus</w:t>
      </w:r>
      <w:proofErr w:type="gramEnd"/>
      <w:r>
        <w:t xml:space="preserve"> </w:t>
      </w:r>
      <w:r w:rsidR="00CD1C90">
        <w:t xml:space="preserve">on the </w:t>
      </w:r>
      <w:r w:rsidR="004A316C">
        <w:t xml:space="preserve">disability inclusion. </w:t>
      </w:r>
      <w:r>
        <w:t>While the notion of intersectionality is present explicitly or implicitly both in the Beijing Declaration and Platform of Action</w:t>
      </w:r>
      <w:r w:rsidR="00194E2D">
        <w:t xml:space="preserve">, the Convention on the Elimination of All Forms of Discrimination Against Women, and </w:t>
      </w:r>
      <w:r>
        <w:t xml:space="preserve">the Convention on the Rights of Persons with Disabilities, the United Nations has not come up with a common approach on how to conceptualize it, and therefore little operational guidance has resulted for programming purposes. </w:t>
      </w:r>
    </w:p>
    <w:p w14:paraId="680D0451" w14:textId="6EC37650" w:rsidR="003D76A5" w:rsidRDefault="00530C2A" w:rsidP="003D76A5">
      <w:r>
        <w:t xml:space="preserve">Recognizing that efforts </w:t>
      </w:r>
      <w:r w:rsidR="00734589">
        <w:t xml:space="preserve">to address multiple forms of discrimination has been limited to </w:t>
      </w:r>
      <w:r w:rsidR="008C1488">
        <w:t>two to three identities</w:t>
      </w:r>
      <w:r w:rsidR="00F01A97">
        <w:t>,</w:t>
      </w:r>
      <w:r w:rsidR="0081006D">
        <w:t xml:space="preserve"> for example, gender and disability inclusion</w:t>
      </w:r>
      <w:r w:rsidR="006F729E">
        <w:t>; age, gender and disability inclusion,</w:t>
      </w:r>
      <w:r w:rsidR="00F01A97">
        <w:t xml:space="preserve"> t</w:t>
      </w:r>
      <w:r w:rsidR="003D76A5">
        <w:t>h</w:t>
      </w:r>
      <w:r w:rsidR="00FB5065">
        <w:t xml:space="preserve">is </w:t>
      </w:r>
      <w:r w:rsidR="003D76A5">
        <w:t xml:space="preserve">project will map </w:t>
      </w:r>
      <w:r w:rsidR="00B610D4">
        <w:t xml:space="preserve">and build on </w:t>
      </w:r>
      <w:r w:rsidR="003D76A5">
        <w:t xml:space="preserve">existing UN agencies’ </w:t>
      </w:r>
      <w:r w:rsidR="00DF4DA5">
        <w:t xml:space="preserve">and civil society </w:t>
      </w:r>
      <w:r w:rsidR="003D76A5">
        <w:t>approaches</w:t>
      </w:r>
      <w:r w:rsidR="006F729E">
        <w:t xml:space="preserve"> to </w:t>
      </w:r>
      <w:r w:rsidR="003D76A5">
        <w:t>intersectionality and available knowledge and expertise</w:t>
      </w:r>
      <w:r w:rsidR="0035045C">
        <w:t>. I</w:t>
      </w:r>
      <w:r w:rsidR="003D76A5">
        <w:t xml:space="preserve">n consultation with organizations of persons with disabilities, </w:t>
      </w:r>
      <w:r w:rsidR="0035045C">
        <w:t xml:space="preserve">the aim of the project is </w:t>
      </w:r>
      <w:r w:rsidR="003D76A5">
        <w:t>to come up with a practical tool</w:t>
      </w:r>
      <w:r w:rsidR="006E4411">
        <w:t>kit</w:t>
      </w:r>
      <w:r w:rsidR="003D76A5">
        <w:t xml:space="preserve"> which could serve as a reference for programming purposes and help UNCT</w:t>
      </w:r>
      <w:r w:rsidR="006E4411">
        <w:t>s</w:t>
      </w:r>
      <w:r w:rsidR="003D76A5">
        <w:t xml:space="preserve"> to properly frame the issue and engage more effectively in projects involving intersectional </w:t>
      </w:r>
      <w:r w:rsidR="00194E2D">
        <w:t xml:space="preserve">forms of </w:t>
      </w:r>
      <w:r w:rsidR="003D76A5">
        <w:t>discrimination.</w:t>
      </w:r>
    </w:p>
    <w:p w14:paraId="6A09962C" w14:textId="383E62AD" w:rsidR="00052D76" w:rsidRDefault="00E84C3B" w:rsidP="00E84C3B">
      <w:r>
        <w:t xml:space="preserve">The  project will </w:t>
      </w:r>
      <w:r w:rsidR="00DF4DA5">
        <w:t>aim to  translate</w:t>
      </w:r>
      <w:r>
        <w:t xml:space="preserve"> international</w:t>
      </w:r>
      <w:r w:rsidR="00AE5EC0">
        <w:t xml:space="preserve"> and regional</w:t>
      </w:r>
      <w:r>
        <w:t xml:space="preserve"> standards a</w:t>
      </w:r>
      <w:r w:rsidR="00A03057">
        <w:t>s well as</w:t>
      </w:r>
      <w:r>
        <w:t xml:space="preserve"> recommendations by the relevant human rights mechanisms, in order to influence the engagement of UN</w:t>
      </w:r>
      <w:r w:rsidR="00747DE6">
        <w:t xml:space="preserve"> agencies</w:t>
      </w:r>
      <w:r w:rsidR="00FF232B">
        <w:t xml:space="preserve"> </w:t>
      </w:r>
      <w:r w:rsidR="00747DE6">
        <w:t>and partner governments</w:t>
      </w:r>
      <w:r>
        <w:t xml:space="preserve"> </w:t>
      </w:r>
      <w:r w:rsidR="00747DE6">
        <w:t xml:space="preserve">at country level </w:t>
      </w:r>
      <w:r>
        <w:t>in development programming where intersection</w:t>
      </w:r>
      <w:r w:rsidR="00F84F1D">
        <w:t xml:space="preserve">s </w:t>
      </w:r>
      <w:r>
        <w:t xml:space="preserve">between disability and other factors, </w:t>
      </w:r>
      <w:r w:rsidR="007C2F0F">
        <w:t>including</w:t>
      </w:r>
      <w:r>
        <w:t xml:space="preserve"> gender, </w:t>
      </w:r>
      <w:r w:rsidR="00DF4DA5">
        <w:t xml:space="preserve">will be informed by </w:t>
      </w:r>
      <w:r>
        <w:t>bottom/up inputs from networks and organizations of persons with disabilities, with a view of distilling knowledge and good practices from a span of field experiences</w:t>
      </w:r>
      <w:r w:rsidR="00DF4DA5">
        <w:t xml:space="preserve"> and</w:t>
      </w:r>
      <w:r w:rsidR="00793D2E">
        <w:t xml:space="preserve"> </w:t>
      </w:r>
      <w:r w:rsidR="00DF4DA5">
        <w:t xml:space="preserve"> vice versa</w:t>
      </w:r>
      <w:r>
        <w:t xml:space="preserve">. </w:t>
      </w:r>
      <w:r w:rsidR="00793D2E">
        <w:t xml:space="preserve">In addition, the toolkit will contribute to supporting UNCTs in comprehensively </w:t>
      </w:r>
      <w:r w:rsidR="007C7649">
        <w:t>addressing the principles of L</w:t>
      </w:r>
      <w:r w:rsidR="007C2F0F">
        <w:t>eave No One Behind</w:t>
      </w:r>
      <w:r w:rsidR="007C7649">
        <w:t xml:space="preserve">, Human Rights and Gender Equality </w:t>
      </w:r>
      <w:r w:rsidR="00CE2D3B">
        <w:t xml:space="preserve">through an implementing an intersectional approach to </w:t>
      </w:r>
      <w:r w:rsidR="00327191">
        <w:t>the</w:t>
      </w:r>
      <w:r w:rsidR="00793D2E">
        <w:t xml:space="preserve"> UNDIS, and other country level scorecard exercises, including the gender scorecard. </w:t>
      </w:r>
    </w:p>
    <w:p w14:paraId="0B8628AA" w14:textId="77777777" w:rsidR="00BC4B02" w:rsidRPr="00F06BE2" w:rsidRDefault="006C28CF" w:rsidP="00F66AC2">
      <w:pPr>
        <w:pStyle w:val="Heading1"/>
        <w:rPr>
          <w:b w:val="0"/>
          <w:szCs w:val="24"/>
        </w:rPr>
      </w:pPr>
      <w:r>
        <w:t>3</w:t>
      </w:r>
      <w:r w:rsidRPr="00F06BE2">
        <w:t xml:space="preserve">. </w:t>
      </w:r>
      <w:r w:rsidR="00BC4B02" w:rsidRPr="00F06BE2">
        <w:rPr>
          <w:szCs w:val="24"/>
        </w:rPr>
        <w:t>R</w:t>
      </w:r>
      <w:r w:rsidR="00A14103" w:rsidRPr="00F06BE2">
        <w:rPr>
          <w:szCs w:val="24"/>
        </w:rPr>
        <w:t>esult chain of the I</w:t>
      </w:r>
      <w:r w:rsidR="00BC4B02" w:rsidRPr="00F06BE2">
        <w:rPr>
          <w:szCs w:val="24"/>
        </w:rPr>
        <w:t>ntervention</w:t>
      </w:r>
    </w:p>
    <w:p w14:paraId="131509BF" w14:textId="77777777" w:rsidR="002A75AF" w:rsidRDefault="002A75AF" w:rsidP="00BC4B02">
      <w:pPr>
        <w:spacing w:after="0" w:line="240" w:lineRule="auto"/>
        <w:rPr>
          <w:i/>
          <w:sz w:val="20"/>
        </w:rPr>
      </w:pPr>
    </w:p>
    <w:p w14:paraId="2923A74D" w14:textId="77777777" w:rsidR="00BC4B02" w:rsidRDefault="00BC4B02" w:rsidP="00340C8C">
      <w:pPr>
        <w:pStyle w:val="Heading2"/>
        <w:rPr>
          <w:color w:val="000000" w:themeColor="text1"/>
        </w:rPr>
      </w:pPr>
      <w:r>
        <w:t>Table 2</w:t>
      </w:r>
      <w:r w:rsidRPr="001362D2">
        <w:t xml:space="preserve">. Expected </w:t>
      </w:r>
      <w:r w:rsidRPr="001362D2">
        <w:rPr>
          <w:color w:val="000000" w:themeColor="text1"/>
        </w:rPr>
        <w:t>impact</w:t>
      </w:r>
    </w:p>
    <w:tbl>
      <w:tblPr>
        <w:tblStyle w:val="TableGrid"/>
        <w:tblW w:w="0" w:type="auto"/>
        <w:tblLook w:val="04A0" w:firstRow="1" w:lastRow="0" w:firstColumn="1" w:lastColumn="0" w:noHBand="0" w:noVBand="1"/>
        <w:tblCaption w:val="Expected Impact"/>
      </w:tblPr>
      <w:tblGrid>
        <w:gridCol w:w="9795"/>
      </w:tblGrid>
      <w:tr w:rsidR="00BC4B02" w14:paraId="457127DF" w14:textId="77777777" w:rsidTr="00FB40C6">
        <w:trPr>
          <w:tblHeader/>
        </w:trPr>
        <w:tc>
          <w:tcPr>
            <w:tcW w:w="979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7D5F051" w14:textId="77777777" w:rsidR="00BC4B02" w:rsidRPr="005B1267" w:rsidRDefault="007835AF" w:rsidP="002A75AF">
            <w:pPr>
              <w:spacing w:before="60" w:after="60"/>
              <w:jc w:val="both"/>
              <w:rPr>
                <w:b/>
                <w:color w:val="000000" w:themeColor="text1"/>
                <w:sz w:val="20"/>
              </w:rPr>
            </w:pPr>
            <w:r>
              <w:rPr>
                <w:b/>
                <w:color w:val="000000" w:themeColor="text1"/>
              </w:rPr>
              <w:t>Impact</w:t>
            </w:r>
          </w:p>
        </w:tc>
      </w:tr>
      <w:tr w:rsidR="00BC4B02" w14:paraId="000A8324" w14:textId="77777777" w:rsidTr="00FB40C6">
        <w:tc>
          <w:tcPr>
            <w:tcW w:w="9795" w:type="dxa"/>
            <w:tcBorders>
              <w:top w:val="double" w:sz="4" w:space="0" w:color="auto"/>
              <w:left w:val="double" w:sz="4" w:space="0" w:color="auto"/>
              <w:bottom w:val="double" w:sz="4" w:space="0" w:color="auto"/>
              <w:right w:val="double" w:sz="4" w:space="0" w:color="auto"/>
            </w:tcBorders>
          </w:tcPr>
          <w:p w14:paraId="211364B0" w14:textId="014B87D9" w:rsidR="00556FE1" w:rsidRDefault="00DD461B" w:rsidP="00BC4B02">
            <w:pPr>
              <w:rPr>
                <w:b/>
                <w:color w:val="000000" w:themeColor="text1"/>
                <w:sz w:val="20"/>
              </w:rPr>
            </w:pPr>
            <w:r>
              <w:rPr>
                <w:sz w:val="20"/>
              </w:rPr>
              <w:t>E</w:t>
            </w:r>
            <w:r w:rsidRPr="00DD461B">
              <w:rPr>
                <w:sz w:val="20"/>
              </w:rPr>
              <w:t>nhance</w:t>
            </w:r>
            <w:r>
              <w:rPr>
                <w:sz w:val="20"/>
              </w:rPr>
              <w:t>d</w:t>
            </w:r>
            <w:r w:rsidRPr="00DD461B">
              <w:rPr>
                <w:sz w:val="20"/>
              </w:rPr>
              <w:t xml:space="preserve"> capacity and coherence of </w:t>
            </w:r>
            <w:r w:rsidR="00FC6DE0">
              <w:rPr>
                <w:sz w:val="20"/>
              </w:rPr>
              <w:t>UN</w:t>
            </w:r>
            <w:r w:rsidR="00747DE6">
              <w:rPr>
                <w:sz w:val="20"/>
              </w:rPr>
              <w:t xml:space="preserve"> agencies</w:t>
            </w:r>
            <w:r w:rsidR="00FC6DE0">
              <w:rPr>
                <w:sz w:val="20"/>
              </w:rPr>
              <w:t xml:space="preserve"> </w:t>
            </w:r>
            <w:r w:rsidRPr="00DD461B">
              <w:rPr>
                <w:sz w:val="20"/>
              </w:rPr>
              <w:t xml:space="preserve">to support Governments, DPOs and other stakeholders to </w:t>
            </w:r>
            <w:r w:rsidR="00CA7195">
              <w:rPr>
                <w:sz w:val="20"/>
              </w:rPr>
              <w:t xml:space="preserve">take an intersectional approach to </w:t>
            </w:r>
            <w:r w:rsidRPr="00DD461B">
              <w:rPr>
                <w:sz w:val="20"/>
              </w:rPr>
              <w:t>promote the rights of persons with disabilities</w:t>
            </w:r>
            <w:r w:rsidR="00E62D40">
              <w:rPr>
                <w:sz w:val="20"/>
              </w:rPr>
              <w:t xml:space="preserve"> in all their diversity</w:t>
            </w:r>
            <w:r w:rsidR="00E76321">
              <w:rPr>
                <w:sz w:val="20"/>
              </w:rPr>
              <w:t xml:space="preserve"> across the life course, </w:t>
            </w:r>
            <w:r w:rsidR="00556FE1">
              <w:rPr>
                <w:sz w:val="20"/>
              </w:rPr>
              <w:t>including</w:t>
            </w:r>
            <w:r w:rsidRPr="00DD461B">
              <w:rPr>
                <w:sz w:val="20"/>
              </w:rPr>
              <w:t xml:space="preserve"> in line with the UNCRPD</w:t>
            </w:r>
            <w:r w:rsidR="00E62D40">
              <w:rPr>
                <w:sz w:val="20"/>
              </w:rPr>
              <w:t>, CEDAW</w:t>
            </w:r>
            <w:r w:rsidR="00556FE1">
              <w:rPr>
                <w:sz w:val="20"/>
              </w:rPr>
              <w:t xml:space="preserve">, </w:t>
            </w:r>
            <w:r w:rsidR="006320CE">
              <w:rPr>
                <w:sz w:val="20"/>
              </w:rPr>
              <w:t xml:space="preserve">UDHR, </w:t>
            </w:r>
            <w:r w:rsidR="00556FE1">
              <w:rPr>
                <w:sz w:val="20"/>
              </w:rPr>
              <w:t xml:space="preserve">UNDIS </w:t>
            </w:r>
            <w:r w:rsidRPr="00DD461B">
              <w:rPr>
                <w:sz w:val="20"/>
              </w:rPr>
              <w:t>and consistent with the commitments of the 2030 Agenda for Sustainable Development</w:t>
            </w:r>
            <w:r w:rsidR="00906F1A">
              <w:rPr>
                <w:sz w:val="20"/>
              </w:rPr>
              <w:t xml:space="preserve"> to leave no one behind</w:t>
            </w:r>
            <w:r w:rsidR="00CA7195">
              <w:rPr>
                <w:sz w:val="20"/>
              </w:rPr>
              <w:t>.</w:t>
            </w:r>
            <w:r>
              <w:rPr>
                <w:sz w:val="20"/>
              </w:rPr>
              <w:t xml:space="preserve"> </w:t>
            </w:r>
          </w:p>
        </w:tc>
      </w:tr>
    </w:tbl>
    <w:p w14:paraId="2E55AF55" w14:textId="77777777" w:rsidR="00340C8C" w:rsidRPr="00BB6C6D" w:rsidRDefault="004606A3" w:rsidP="00CE4D68">
      <w:pPr>
        <w:pStyle w:val="Heading2"/>
        <w:ind w:hanging="270"/>
      </w:pPr>
      <w:r>
        <w:rPr>
          <w:sz w:val="20"/>
        </w:rPr>
        <w:lastRenderedPageBreak/>
        <w:tab/>
      </w:r>
      <w:r w:rsidR="00340C8C" w:rsidRPr="00BB6C6D">
        <w:t>Impact Indicators</w:t>
      </w:r>
    </w:p>
    <w:tbl>
      <w:tblPr>
        <w:tblStyle w:val="TableGrid"/>
        <w:tblW w:w="4868" w:type="pct"/>
        <w:tblLook w:val="04A0" w:firstRow="1" w:lastRow="0" w:firstColumn="1" w:lastColumn="0" w:noHBand="0" w:noVBand="1"/>
        <w:tblCaption w:val="This table includes the impact indicators"/>
        <w:tblDescription w:val="Row 1 column 1-indicator, column 2 baseline, column 3 target, column- 4 means of verification. Please provide sex disaggregation for all baseline and end line figures."/>
      </w:tblPr>
      <w:tblGrid>
        <w:gridCol w:w="1523"/>
        <w:gridCol w:w="1470"/>
        <w:gridCol w:w="1825"/>
        <w:gridCol w:w="2203"/>
        <w:gridCol w:w="2783"/>
      </w:tblGrid>
      <w:tr w:rsidR="00340C8C" w:rsidRPr="00BB6C6D" w14:paraId="3ECC0816" w14:textId="77777777" w:rsidTr="00FB40C6">
        <w:trPr>
          <w:tblHeader/>
        </w:trPr>
        <w:tc>
          <w:tcPr>
            <w:tcW w:w="679" w:type="pct"/>
            <w:shd w:val="clear" w:color="auto" w:fill="D9D9D9" w:themeFill="background1" w:themeFillShade="D9"/>
          </w:tcPr>
          <w:p w14:paraId="28340CA6" w14:textId="77777777" w:rsidR="00340C8C" w:rsidRPr="00BB6C6D" w:rsidRDefault="00340C8C" w:rsidP="004A5E9B">
            <w:pPr>
              <w:pStyle w:val="ListParagraph"/>
              <w:spacing w:before="100" w:beforeAutospacing="1" w:after="240"/>
              <w:ind w:left="0"/>
              <w:jc w:val="both"/>
              <w:rPr>
                <w:b/>
                <w:sz w:val="20"/>
              </w:rPr>
            </w:pPr>
            <w:r w:rsidRPr="00BB6C6D">
              <w:rPr>
                <w:b/>
                <w:sz w:val="20"/>
              </w:rPr>
              <w:t>Indicator*</w:t>
            </w:r>
          </w:p>
        </w:tc>
        <w:tc>
          <w:tcPr>
            <w:tcW w:w="774" w:type="pct"/>
            <w:shd w:val="clear" w:color="auto" w:fill="D9D9D9" w:themeFill="background1" w:themeFillShade="D9"/>
          </w:tcPr>
          <w:p w14:paraId="6FD60954" w14:textId="77777777" w:rsidR="00340C8C" w:rsidRPr="00BB6C6D" w:rsidRDefault="00340C8C" w:rsidP="004A5E9B">
            <w:pPr>
              <w:jc w:val="both"/>
              <w:rPr>
                <w:b/>
                <w:sz w:val="20"/>
              </w:rPr>
            </w:pPr>
            <w:r w:rsidRPr="00BB6C6D">
              <w:rPr>
                <w:b/>
                <w:sz w:val="20"/>
              </w:rPr>
              <w:t xml:space="preserve">Start level </w:t>
            </w:r>
          </w:p>
          <w:p w14:paraId="0130D13B" w14:textId="77777777" w:rsidR="00340C8C" w:rsidRPr="00BB6C6D" w:rsidRDefault="00340C8C" w:rsidP="004A5E9B">
            <w:pPr>
              <w:jc w:val="both"/>
              <w:rPr>
                <w:sz w:val="20"/>
              </w:rPr>
            </w:pPr>
            <w:r w:rsidRPr="00BB6C6D">
              <w:rPr>
                <w:sz w:val="20"/>
              </w:rPr>
              <w:t>(Beginning o</w:t>
            </w:r>
            <w:r w:rsidR="004A5E9B">
              <w:rPr>
                <w:sz w:val="20"/>
              </w:rPr>
              <w:t>f the project reporting period)</w:t>
            </w:r>
          </w:p>
        </w:tc>
        <w:tc>
          <w:tcPr>
            <w:tcW w:w="955" w:type="pct"/>
            <w:shd w:val="clear" w:color="auto" w:fill="D9D9D9" w:themeFill="background1" w:themeFillShade="D9"/>
          </w:tcPr>
          <w:p w14:paraId="48D785B2" w14:textId="77777777" w:rsidR="00340C8C" w:rsidRPr="00BB6C6D" w:rsidRDefault="00340C8C" w:rsidP="004A5E9B">
            <w:pPr>
              <w:pStyle w:val="ListParagraph"/>
              <w:spacing w:before="60" w:after="60"/>
              <w:ind w:left="0"/>
              <w:contextualSpacing w:val="0"/>
              <w:rPr>
                <w:b/>
                <w:sz w:val="20"/>
              </w:rPr>
            </w:pPr>
            <w:r>
              <w:rPr>
                <w:b/>
                <w:sz w:val="20"/>
              </w:rPr>
              <w:t>Target</w:t>
            </w:r>
          </w:p>
        </w:tc>
        <w:tc>
          <w:tcPr>
            <w:tcW w:w="1148" w:type="pct"/>
            <w:shd w:val="clear" w:color="auto" w:fill="D9D9D9" w:themeFill="background1" w:themeFillShade="D9"/>
          </w:tcPr>
          <w:p w14:paraId="0F30DF86" w14:textId="77777777" w:rsidR="00340C8C" w:rsidRPr="00BB6C6D" w:rsidRDefault="00340C8C" w:rsidP="004A5E9B">
            <w:pPr>
              <w:pStyle w:val="ListParagraph"/>
              <w:spacing w:before="60" w:after="60"/>
              <w:ind w:left="0"/>
              <w:contextualSpacing w:val="0"/>
              <w:rPr>
                <w:b/>
                <w:sz w:val="20"/>
              </w:rPr>
            </w:pPr>
            <w:r w:rsidRPr="00BB6C6D">
              <w:rPr>
                <w:b/>
                <w:sz w:val="20"/>
              </w:rPr>
              <w:t xml:space="preserve">End level </w:t>
            </w:r>
          </w:p>
          <w:p w14:paraId="60FBDF29" w14:textId="77777777" w:rsidR="00340C8C" w:rsidRPr="00BB6C6D" w:rsidRDefault="00340C8C" w:rsidP="004A5E9B">
            <w:pPr>
              <w:pStyle w:val="ListParagraph"/>
              <w:spacing w:before="100" w:beforeAutospacing="1" w:after="240"/>
              <w:ind w:left="0"/>
              <w:jc w:val="both"/>
              <w:rPr>
                <w:b/>
                <w:sz w:val="20"/>
              </w:rPr>
            </w:pPr>
            <w:r w:rsidRPr="00BB6C6D">
              <w:rPr>
                <w:sz w:val="20"/>
              </w:rPr>
              <w:t>(End of the project reporting period)</w:t>
            </w:r>
          </w:p>
        </w:tc>
        <w:tc>
          <w:tcPr>
            <w:tcW w:w="1444" w:type="pct"/>
            <w:shd w:val="clear" w:color="auto" w:fill="D9D9D9" w:themeFill="background1" w:themeFillShade="D9"/>
          </w:tcPr>
          <w:p w14:paraId="39AD0CAC" w14:textId="77777777" w:rsidR="00340C8C" w:rsidRPr="00BB6C6D" w:rsidRDefault="00340C8C" w:rsidP="004A5E9B">
            <w:pPr>
              <w:pStyle w:val="ListParagraph"/>
              <w:spacing w:before="60" w:after="60"/>
              <w:ind w:left="0"/>
              <w:contextualSpacing w:val="0"/>
              <w:rPr>
                <w:b/>
                <w:sz w:val="20"/>
              </w:rPr>
            </w:pPr>
            <w:r>
              <w:rPr>
                <w:b/>
                <w:sz w:val="20"/>
              </w:rPr>
              <w:t>Means of Verification</w:t>
            </w:r>
          </w:p>
        </w:tc>
      </w:tr>
      <w:tr w:rsidR="00340C8C" w:rsidRPr="00BB6C6D" w14:paraId="419AF49A" w14:textId="77777777" w:rsidTr="00FB40C6">
        <w:tc>
          <w:tcPr>
            <w:tcW w:w="679" w:type="pct"/>
          </w:tcPr>
          <w:p w14:paraId="345F1985" w14:textId="1C21DB14" w:rsidR="00340C8C" w:rsidRPr="00BB6C6D" w:rsidRDefault="001178EC" w:rsidP="004A5E9B">
            <w:r>
              <w:rPr>
                <w:sz w:val="20"/>
              </w:rPr>
              <w:t xml:space="preserve">Increased </w:t>
            </w:r>
            <w:r w:rsidR="0057405F">
              <w:rPr>
                <w:sz w:val="20"/>
              </w:rPr>
              <w:t xml:space="preserve">number of UNCTs </w:t>
            </w:r>
            <w:r w:rsidR="00871A43">
              <w:rPr>
                <w:sz w:val="20"/>
              </w:rPr>
              <w:t xml:space="preserve">integrating </w:t>
            </w:r>
            <w:r w:rsidR="00E76321">
              <w:rPr>
                <w:sz w:val="20"/>
              </w:rPr>
              <w:t xml:space="preserve">an intersectional approach </w:t>
            </w:r>
            <w:r w:rsidR="00871A43">
              <w:rPr>
                <w:sz w:val="20"/>
              </w:rPr>
              <w:t xml:space="preserve">in the </w:t>
            </w:r>
            <w:r w:rsidR="004007E7">
              <w:rPr>
                <w:sz w:val="20"/>
              </w:rPr>
              <w:t xml:space="preserve">implementation of UNDIS scorecard </w:t>
            </w:r>
            <w:r w:rsidR="00686C51">
              <w:rPr>
                <w:sz w:val="20"/>
              </w:rPr>
              <w:t xml:space="preserve"> </w:t>
            </w:r>
          </w:p>
        </w:tc>
        <w:tc>
          <w:tcPr>
            <w:tcW w:w="774" w:type="pct"/>
          </w:tcPr>
          <w:p w14:paraId="3F62E1E0" w14:textId="79746E62" w:rsidR="00340C8C" w:rsidRPr="00BB6C6D" w:rsidRDefault="007067F0" w:rsidP="004A5E9B">
            <w:r>
              <w:rPr>
                <w:sz w:val="20"/>
              </w:rPr>
              <w:t xml:space="preserve">Reporting on UNDIS </w:t>
            </w:r>
            <w:r w:rsidR="00F65B39">
              <w:rPr>
                <w:sz w:val="20"/>
              </w:rPr>
              <w:t xml:space="preserve">has not yet taken place </w:t>
            </w:r>
          </w:p>
        </w:tc>
        <w:tc>
          <w:tcPr>
            <w:tcW w:w="955" w:type="pct"/>
          </w:tcPr>
          <w:p w14:paraId="4F80310E" w14:textId="4D1E4F73" w:rsidR="00340C8C" w:rsidRPr="00BB6C6D" w:rsidRDefault="00686C51" w:rsidP="004A5E9B">
            <w:pPr>
              <w:rPr>
                <w:sz w:val="20"/>
              </w:rPr>
            </w:pPr>
            <w:r>
              <w:rPr>
                <w:sz w:val="20"/>
              </w:rPr>
              <w:t>N/A</w:t>
            </w:r>
          </w:p>
        </w:tc>
        <w:tc>
          <w:tcPr>
            <w:tcW w:w="1148" w:type="pct"/>
          </w:tcPr>
          <w:p w14:paraId="03E6C865" w14:textId="353E584A" w:rsidR="00340C8C" w:rsidRPr="00BB6C6D" w:rsidRDefault="00686C51" w:rsidP="004A5E9B">
            <w:r>
              <w:rPr>
                <w:sz w:val="20"/>
              </w:rPr>
              <w:t>N/A</w:t>
            </w:r>
          </w:p>
        </w:tc>
        <w:tc>
          <w:tcPr>
            <w:tcW w:w="1444" w:type="pct"/>
          </w:tcPr>
          <w:p w14:paraId="47A28A28" w14:textId="0C3D2D92" w:rsidR="00340C8C" w:rsidRPr="00BB6C6D" w:rsidRDefault="002928AE" w:rsidP="004A5E9B">
            <w:pPr>
              <w:rPr>
                <w:sz w:val="20"/>
              </w:rPr>
            </w:pPr>
            <w:r>
              <w:rPr>
                <w:sz w:val="20"/>
              </w:rPr>
              <w:t xml:space="preserve">SG report </w:t>
            </w:r>
            <w:r w:rsidR="00892544">
              <w:rPr>
                <w:sz w:val="20"/>
              </w:rPr>
              <w:t xml:space="preserve">on </w:t>
            </w:r>
            <w:r w:rsidR="00892544" w:rsidRPr="00892544">
              <w:rPr>
                <w:sz w:val="20"/>
              </w:rPr>
              <w:t xml:space="preserve">system-wide progress report on the implementation of the </w:t>
            </w:r>
            <w:r w:rsidR="00AE41AD">
              <w:rPr>
                <w:sz w:val="20"/>
              </w:rPr>
              <w:t>UNDIS</w:t>
            </w:r>
          </w:p>
        </w:tc>
      </w:tr>
    </w:tbl>
    <w:p w14:paraId="70A68A24" w14:textId="77777777" w:rsidR="00340C8C" w:rsidRPr="00BB6C6D" w:rsidRDefault="00340C8C" w:rsidP="00340C8C">
      <w:pPr>
        <w:pStyle w:val="Heading2"/>
      </w:pPr>
      <w:r w:rsidRPr="00BB6C6D">
        <w:t>Table 2. Variation</w:t>
      </w:r>
      <w:r w:rsidR="00A92E2E">
        <w:t>s</w:t>
      </w:r>
      <w:r w:rsidRPr="00BB6C6D">
        <w:t xml:space="preserve"> in outcome indicators </w:t>
      </w:r>
    </w:p>
    <w:p w14:paraId="400E6AE2" w14:textId="77777777" w:rsidR="00340C8C" w:rsidRPr="00BB6C6D" w:rsidRDefault="00340C8C" w:rsidP="004A5E9B">
      <w:r w:rsidRPr="00BB6C6D">
        <w:rPr>
          <w:i/>
          <w:sz w:val="20"/>
          <w:szCs w:val="20"/>
        </w:rPr>
        <w:t>(A</w:t>
      </w:r>
      <w:r w:rsidRPr="00BB6C6D">
        <w:rPr>
          <w:i/>
          <w:sz w:val="20"/>
        </w:rPr>
        <w:t>dd a table for each outcome in the approved project document)</w:t>
      </w:r>
    </w:p>
    <w:tbl>
      <w:tblPr>
        <w:tblStyle w:val="TableGrid"/>
        <w:tblW w:w="4873" w:type="pct"/>
        <w:tblLook w:val="04A0" w:firstRow="1" w:lastRow="0" w:firstColumn="1" w:lastColumn="0" w:noHBand="0" w:noVBand="1"/>
        <w:tblCaption w:val="Outcome 1"/>
        <w:tblDescription w:val="This table includes the project's outcome statement."/>
      </w:tblPr>
      <w:tblGrid>
        <w:gridCol w:w="9795"/>
      </w:tblGrid>
      <w:tr w:rsidR="00340C8C" w:rsidRPr="00BB6C6D" w14:paraId="6F9627D7" w14:textId="77777777" w:rsidTr="00FB40C6">
        <w:trPr>
          <w:tblHeader/>
        </w:trPr>
        <w:tc>
          <w:tcPr>
            <w:tcW w:w="5000" w:type="pct"/>
            <w:tcBorders>
              <w:top w:val="double" w:sz="4" w:space="0" w:color="auto"/>
              <w:left w:val="double" w:sz="4" w:space="0" w:color="auto"/>
              <w:right w:val="double" w:sz="4" w:space="0" w:color="auto"/>
            </w:tcBorders>
            <w:shd w:val="clear" w:color="auto" w:fill="D9D9D9" w:themeFill="background1" w:themeFillShade="D9"/>
          </w:tcPr>
          <w:p w14:paraId="042737D9" w14:textId="77777777" w:rsidR="00340C8C" w:rsidRPr="00BB6C6D" w:rsidRDefault="00340C8C" w:rsidP="004A5E9B">
            <w:pPr>
              <w:spacing w:before="60" w:after="60"/>
              <w:jc w:val="both"/>
              <w:rPr>
                <w:b/>
                <w:sz w:val="20"/>
              </w:rPr>
            </w:pPr>
            <w:r w:rsidRPr="00BB6C6D">
              <w:rPr>
                <w:b/>
                <w:sz w:val="20"/>
              </w:rPr>
              <w:t>Outcome 1</w:t>
            </w:r>
          </w:p>
        </w:tc>
      </w:tr>
      <w:tr w:rsidR="00340C8C" w:rsidRPr="00BB6C6D" w14:paraId="417FDFB4" w14:textId="77777777" w:rsidTr="00FB40C6">
        <w:trPr>
          <w:tblHeader/>
        </w:trPr>
        <w:tc>
          <w:tcPr>
            <w:tcW w:w="5000" w:type="pct"/>
            <w:tcBorders>
              <w:left w:val="double" w:sz="4" w:space="0" w:color="auto"/>
              <w:right w:val="double" w:sz="4" w:space="0" w:color="auto"/>
            </w:tcBorders>
          </w:tcPr>
          <w:p w14:paraId="6E836328" w14:textId="08A2CC1B" w:rsidR="00340C8C" w:rsidRPr="00CA7195" w:rsidRDefault="00DD461B" w:rsidP="00CA7195">
            <w:pPr>
              <w:spacing w:before="60" w:after="60"/>
              <w:jc w:val="both"/>
              <w:rPr>
                <w:sz w:val="20"/>
              </w:rPr>
            </w:pPr>
            <w:r w:rsidRPr="00CA7195">
              <w:rPr>
                <w:sz w:val="20"/>
              </w:rPr>
              <w:t>UN entity programmes increasingly employ an intersection</w:t>
            </w:r>
            <w:r w:rsidR="00CA7195" w:rsidRPr="00CA7195">
              <w:rPr>
                <w:sz w:val="20"/>
              </w:rPr>
              <w:t>al</w:t>
            </w:r>
            <w:r w:rsidRPr="00CA7195">
              <w:rPr>
                <w:sz w:val="20"/>
              </w:rPr>
              <w:t xml:space="preserve"> approach to disability inclusion</w:t>
            </w:r>
          </w:p>
        </w:tc>
      </w:tr>
    </w:tbl>
    <w:p w14:paraId="61B5E510" w14:textId="77777777" w:rsidR="00340C8C" w:rsidRPr="00BB6C6D" w:rsidRDefault="00340C8C" w:rsidP="004A5E9B">
      <w:pPr>
        <w:pStyle w:val="Heading2"/>
      </w:pPr>
      <w:r w:rsidRPr="00BB6C6D">
        <w:t>Outcome 1 Indicators</w:t>
      </w:r>
    </w:p>
    <w:tbl>
      <w:tblPr>
        <w:tblStyle w:val="TableGrid"/>
        <w:tblpPr w:leftFromText="180" w:rightFromText="180" w:vertAnchor="text" w:tblpX="13" w:tblpY="1"/>
        <w:tblOverlap w:val="never"/>
        <w:tblW w:w="4868" w:type="pct"/>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2005"/>
        <w:gridCol w:w="1916"/>
        <w:gridCol w:w="2103"/>
        <w:gridCol w:w="3780"/>
      </w:tblGrid>
      <w:tr w:rsidR="007B69F7" w:rsidRPr="00BB6C6D" w14:paraId="2DE3BB59" w14:textId="77777777" w:rsidTr="006669AB">
        <w:trPr>
          <w:tblHeader/>
        </w:trPr>
        <w:tc>
          <w:tcPr>
            <w:tcW w:w="807" w:type="pct"/>
            <w:shd w:val="clear" w:color="auto" w:fill="D9D9D9" w:themeFill="background1" w:themeFillShade="D9"/>
          </w:tcPr>
          <w:p w14:paraId="1A218D80" w14:textId="77777777" w:rsidR="006669AB" w:rsidRPr="00BB6C6D" w:rsidRDefault="006669AB" w:rsidP="004A5E9B">
            <w:pPr>
              <w:spacing w:before="100" w:beforeAutospacing="1" w:after="240"/>
              <w:contextualSpacing/>
              <w:jc w:val="both"/>
              <w:rPr>
                <w:b/>
                <w:sz w:val="20"/>
              </w:rPr>
            </w:pPr>
            <w:r w:rsidRPr="00BB6C6D">
              <w:rPr>
                <w:b/>
                <w:sz w:val="20"/>
              </w:rPr>
              <w:t>Indicator*</w:t>
            </w:r>
          </w:p>
        </w:tc>
        <w:tc>
          <w:tcPr>
            <w:tcW w:w="1049" w:type="pct"/>
            <w:shd w:val="clear" w:color="auto" w:fill="D9D9D9" w:themeFill="background1" w:themeFillShade="D9"/>
          </w:tcPr>
          <w:p w14:paraId="143E368D" w14:textId="77777777" w:rsidR="006669AB" w:rsidRPr="00BB6C6D" w:rsidRDefault="006669AB" w:rsidP="004A5E9B">
            <w:pPr>
              <w:spacing w:before="100" w:beforeAutospacing="1" w:after="240"/>
              <w:contextualSpacing/>
              <w:jc w:val="both"/>
              <w:rPr>
                <w:b/>
                <w:sz w:val="20"/>
              </w:rPr>
            </w:pPr>
            <w:r w:rsidRPr="00BB6C6D">
              <w:rPr>
                <w:b/>
                <w:sz w:val="20"/>
              </w:rPr>
              <w:t xml:space="preserve">Start level </w:t>
            </w:r>
          </w:p>
          <w:p w14:paraId="31BF8AE7" w14:textId="77777777" w:rsidR="006669AB" w:rsidRPr="00BB6C6D" w:rsidRDefault="006669AB" w:rsidP="004A5E9B">
            <w:pPr>
              <w:spacing w:before="100" w:beforeAutospacing="1" w:after="240"/>
              <w:contextualSpacing/>
              <w:jc w:val="both"/>
              <w:rPr>
                <w:sz w:val="20"/>
              </w:rPr>
            </w:pPr>
            <w:r w:rsidRPr="00BB6C6D">
              <w:rPr>
                <w:sz w:val="20"/>
              </w:rPr>
              <w:t>Baseline</w:t>
            </w:r>
          </w:p>
          <w:p w14:paraId="1C4084EE" w14:textId="77777777" w:rsidR="006669AB" w:rsidRPr="00BB6C6D" w:rsidRDefault="006669AB" w:rsidP="004A5E9B">
            <w:pPr>
              <w:spacing w:before="100" w:beforeAutospacing="1" w:after="240"/>
              <w:contextualSpacing/>
              <w:jc w:val="both"/>
              <w:rPr>
                <w:sz w:val="20"/>
              </w:rPr>
            </w:pPr>
            <w:r w:rsidRPr="00BB6C6D">
              <w:rPr>
                <w:sz w:val="20"/>
              </w:rPr>
              <w:t>(Beginning o</w:t>
            </w:r>
            <w:r>
              <w:rPr>
                <w:sz w:val="20"/>
              </w:rPr>
              <w:t>f the project reporting period)</w:t>
            </w:r>
          </w:p>
        </w:tc>
        <w:tc>
          <w:tcPr>
            <w:tcW w:w="1144" w:type="pct"/>
            <w:shd w:val="clear" w:color="auto" w:fill="D9D9D9" w:themeFill="background1" w:themeFillShade="D9"/>
          </w:tcPr>
          <w:p w14:paraId="72385D19" w14:textId="77777777" w:rsidR="006669AB" w:rsidRPr="00BB6C6D" w:rsidRDefault="006669AB" w:rsidP="004A5E9B">
            <w:pPr>
              <w:spacing w:before="100" w:beforeAutospacing="1" w:after="240"/>
              <w:contextualSpacing/>
              <w:jc w:val="both"/>
              <w:rPr>
                <w:b/>
                <w:sz w:val="20"/>
              </w:rPr>
            </w:pPr>
            <w:r>
              <w:rPr>
                <w:b/>
                <w:sz w:val="20"/>
              </w:rPr>
              <w:t xml:space="preserve">Target </w:t>
            </w:r>
          </w:p>
        </w:tc>
        <w:tc>
          <w:tcPr>
            <w:tcW w:w="1999" w:type="pct"/>
            <w:shd w:val="clear" w:color="auto" w:fill="D9D9D9" w:themeFill="background1" w:themeFillShade="D9"/>
          </w:tcPr>
          <w:p w14:paraId="092D6761" w14:textId="77777777" w:rsidR="006669AB" w:rsidRPr="00BB6C6D" w:rsidRDefault="006669AB" w:rsidP="004A5E9B">
            <w:pPr>
              <w:spacing w:before="100" w:beforeAutospacing="1" w:after="240"/>
              <w:contextualSpacing/>
              <w:jc w:val="both"/>
              <w:rPr>
                <w:b/>
                <w:sz w:val="20"/>
              </w:rPr>
            </w:pPr>
            <w:r w:rsidRPr="00BB6C6D">
              <w:rPr>
                <w:b/>
                <w:sz w:val="20"/>
              </w:rPr>
              <w:t>Means of Verification</w:t>
            </w:r>
          </w:p>
        </w:tc>
      </w:tr>
      <w:tr w:rsidR="007B69F7" w:rsidRPr="00BB6C6D" w14:paraId="0E5A8DE0" w14:textId="77777777" w:rsidTr="006669AB">
        <w:tc>
          <w:tcPr>
            <w:tcW w:w="807" w:type="pct"/>
          </w:tcPr>
          <w:p w14:paraId="14970746" w14:textId="09AEE47A" w:rsidR="006669AB" w:rsidRPr="00BB6C6D" w:rsidRDefault="006669AB" w:rsidP="004A5E9B">
            <w:r w:rsidRPr="001276E4">
              <w:rPr>
                <w:sz w:val="20"/>
              </w:rPr>
              <w:t xml:space="preserve">Guidance on intersectionality is available for </w:t>
            </w:r>
            <w:r>
              <w:rPr>
                <w:sz w:val="20"/>
              </w:rPr>
              <w:t xml:space="preserve">UN entities and </w:t>
            </w:r>
            <w:r w:rsidRPr="001276E4">
              <w:rPr>
                <w:sz w:val="20"/>
              </w:rPr>
              <w:t>UNCTs and other relevant stakeholders</w:t>
            </w:r>
            <w:r w:rsidR="00747DE6">
              <w:rPr>
                <w:sz w:val="20"/>
              </w:rPr>
              <w:t xml:space="preserve"> and partner governments</w:t>
            </w:r>
          </w:p>
        </w:tc>
        <w:tc>
          <w:tcPr>
            <w:tcW w:w="1049" w:type="pct"/>
          </w:tcPr>
          <w:p w14:paraId="00FEB5EA" w14:textId="423ABA95" w:rsidR="006669AB" w:rsidRPr="00BB6C6D" w:rsidRDefault="006669AB" w:rsidP="004A5E9B">
            <w:r w:rsidRPr="00755C5F">
              <w:rPr>
                <w:sz w:val="20"/>
              </w:rPr>
              <w:t>No common UN guidance</w:t>
            </w:r>
          </w:p>
        </w:tc>
        <w:tc>
          <w:tcPr>
            <w:tcW w:w="1144" w:type="pct"/>
          </w:tcPr>
          <w:p w14:paraId="46958F4D" w14:textId="74455777" w:rsidR="006669AB" w:rsidRPr="00BB6C6D" w:rsidRDefault="00747DE6" w:rsidP="004A5E9B">
            <w:pPr>
              <w:rPr>
                <w:sz w:val="20"/>
              </w:rPr>
            </w:pPr>
            <w:r>
              <w:rPr>
                <w:sz w:val="20"/>
              </w:rPr>
              <w:t>G</w:t>
            </w:r>
            <w:r w:rsidR="006669AB" w:rsidRPr="008A7C3E">
              <w:rPr>
                <w:sz w:val="20"/>
              </w:rPr>
              <w:t>uidance tool</w:t>
            </w:r>
            <w:r>
              <w:rPr>
                <w:sz w:val="20"/>
              </w:rPr>
              <w:t xml:space="preserve"> available</w:t>
            </w:r>
            <w:r w:rsidR="006669AB" w:rsidRPr="008A7C3E">
              <w:rPr>
                <w:sz w:val="20"/>
              </w:rPr>
              <w:t xml:space="preserve"> </w:t>
            </w:r>
          </w:p>
        </w:tc>
        <w:tc>
          <w:tcPr>
            <w:tcW w:w="1999" w:type="pct"/>
          </w:tcPr>
          <w:p w14:paraId="16532261" w14:textId="768B5C44" w:rsidR="006669AB" w:rsidRPr="00BB6C6D" w:rsidRDefault="006669AB" w:rsidP="004A5E9B">
            <w:pPr>
              <w:rPr>
                <w:sz w:val="20"/>
              </w:rPr>
            </w:pPr>
            <w:r w:rsidRPr="00A869A2">
              <w:rPr>
                <w:sz w:val="20"/>
              </w:rPr>
              <w:t>Finalized product included in UNPRPD UNCT programming guidance package</w:t>
            </w:r>
          </w:p>
        </w:tc>
      </w:tr>
      <w:tr w:rsidR="007B69F7" w:rsidRPr="00BB6C6D" w14:paraId="12A2DDE5" w14:textId="77777777" w:rsidTr="006669AB">
        <w:tc>
          <w:tcPr>
            <w:tcW w:w="807" w:type="pct"/>
          </w:tcPr>
          <w:p w14:paraId="43018B6A" w14:textId="4276F905" w:rsidR="006669AB" w:rsidRPr="00BB6C6D" w:rsidRDefault="006669AB" w:rsidP="004A5E9B">
            <w:r>
              <w:rPr>
                <w:sz w:val="20"/>
              </w:rPr>
              <w:t xml:space="preserve">Global </w:t>
            </w:r>
            <w:r w:rsidR="007B69F7">
              <w:rPr>
                <w:sz w:val="20"/>
              </w:rPr>
              <w:t xml:space="preserve">inter-agency </w:t>
            </w:r>
            <w:r>
              <w:rPr>
                <w:sz w:val="20"/>
              </w:rPr>
              <w:t>coordination</w:t>
            </w:r>
            <w:r w:rsidR="007B69F7">
              <w:rPr>
                <w:sz w:val="20"/>
              </w:rPr>
              <w:t xml:space="preserve">/meeting </w:t>
            </w:r>
            <w:r>
              <w:rPr>
                <w:sz w:val="20"/>
              </w:rPr>
              <w:t>forum for inter-sectional issues</w:t>
            </w:r>
          </w:p>
        </w:tc>
        <w:tc>
          <w:tcPr>
            <w:tcW w:w="1049" w:type="pct"/>
          </w:tcPr>
          <w:p w14:paraId="2D4E2E76" w14:textId="38B59CD5" w:rsidR="006669AB" w:rsidRPr="00BB6C6D" w:rsidRDefault="006669AB" w:rsidP="004A5E9B">
            <w:r>
              <w:rPr>
                <w:sz w:val="20"/>
              </w:rPr>
              <w:t>No forum exists</w:t>
            </w:r>
          </w:p>
        </w:tc>
        <w:tc>
          <w:tcPr>
            <w:tcW w:w="1144" w:type="pct"/>
          </w:tcPr>
          <w:p w14:paraId="2B592D40" w14:textId="2A4E6442" w:rsidR="006669AB" w:rsidRPr="00BB6C6D" w:rsidRDefault="006669AB" w:rsidP="004A5E9B">
            <w:pPr>
              <w:rPr>
                <w:sz w:val="20"/>
              </w:rPr>
            </w:pPr>
            <w:r>
              <w:rPr>
                <w:sz w:val="20"/>
              </w:rPr>
              <w:t>Inter-agency coordination space/meeting forum established</w:t>
            </w:r>
          </w:p>
        </w:tc>
        <w:tc>
          <w:tcPr>
            <w:tcW w:w="1999" w:type="pct"/>
          </w:tcPr>
          <w:p w14:paraId="36270977" w14:textId="6065F50E" w:rsidR="006669AB" w:rsidRPr="00BB6C6D" w:rsidRDefault="006669AB" w:rsidP="004A5E9B">
            <w:pPr>
              <w:rPr>
                <w:sz w:val="20"/>
              </w:rPr>
            </w:pPr>
            <w:r>
              <w:rPr>
                <w:sz w:val="20"/>
              </w:rPr>
              <w:t>Meeting minutes</w:t>
            </w:r>
          </w:p>
        </w:tc>
      </w:tr>
    </w:tbl>
    <w:p w14:paraId="0D274E7F" w14:textId="77777777" w:rsidR="00340C8C" w:rsidRDefault="00340C8C" w:rsidP="00BC4B02">
      <w:pPr>
        <w:spacing w:after="0" w:line="240" w:lineRule="auto"/>
        <w:jc w:val="both"/>
        <w:rPr>
          <w:b/>
          <w:sz w:val="20"/>
        </w:rPr>
      </w:pPr>
    </w:p>
    <w:p w14:paraId="37FB095F" w14:textId="77777777" w:rsidR="009C7F15" w:rsidRPr="00412DCC" w:rsidRDefault="009C7F15" w:rsidP="009C7F15">
      <w:pPr>
        <w:pStyle w:val="Heading2"/>
        <w:rPr>
          <w:i/>
        </w:rPr>
      </w:pPr>
      <w:r w:rsidRPr="00F11AE6">
        <w:lastRenderedPageBreak/>
        <w:t>Outputs</w:t>
      </w:r>
    </w:p>
    <w:tbl>
      <w:tblPr>
        <w:tblStyle w:val="TableGrid"/>
        <w:tblW w:w="9810" w:type="dxa"/>
        <w:tblInd w:w="-15"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6480"/>
        <w:gridCol w:w="3330"/>
      </w:tblGrid>
      <w:tr w:rsidR="009C7F15" w:rsidRPr="007B06BC" w14:paraId="0973C55E" w14:textId="77777777" w:rsidTr="00FB40C6">
        <w:trPr>
          <w:trHeight w:val="413"/>
          <w:tblHeader/>
        </w:trPr>
        <w:tc>
          <w:tcPr>
            <w:tcW w:w="6480" w:type="dxa"/>
            <w:tcBorders>
              <w:left w:val="double" w:sz="4" w:space="0" w:color="auto"/>
            </w:tcBorders>
            <w:shd w:val="clear" w:color="auto" w:fill="D9D9D9" w:themeFill="background1" w:themeFillShade="D9"/>
          </w:tcPr>
          <w:p w14:paraId="34A353EF" w14:textId="77777777" w:rsidR="009C7F15" w:rsidRPr="00685A94" w:rsidRDefault="009C7F15" w:rsidP="00DD461B">
            <w:pPr>
              <w:pStyle w:val="ListParagraph"/>
              <w:spacing w:before="60" w:after="60"/>
              <w:ind w:left="0"/>
              <w:contextualSpacing w:val="0"/>
              <w:jc w:val="both"/>
              <w:rPr>
                <w:b/>
                <w:sz w:val="20"/>
              </w:rPr>
            </w:pPr>
            <w:r>
              <w:rPr>
                <w:b/>
                <w:sz w:val="20"/>
              </w:rPr>
              <w:t>Formulation</w:t>
            </w:r>
          </w:p>
        </w:tc>
        <w:tc>
          <w:tcPr>
            <w:tcW w:w="3330" w:type="dxa"/>
            <w:tcBorders>
              <w:right w:val="double" w:sz="4" w:space="0" w:color="auto"/>
            </w:tcBorders>
            <w:shd w:val="clear" w:color="auto" w:fill="D9D9D9" w:themeFill="background1" w:themeFillShade="D9"/>
          </w:tcPr>
          <w:p w14:paraId="78D7CA2B" w14:textId="77777777" w:rsidR="009C7F15" w:rsidRPr="00685A94" w:rsidRDefault="009C7F15" w:rsidP="00DD461B">
            <w:pPr>
              <w:pStyle w:val="ListParagraph"/>
              <w:spacing w:before="60" w:after="60"/>
              <w:ind w:left="0"/>
              <w:contextualSpacing w:val="0"/>
              <w:jc w:val="both"/>
              <w:rPr>
                <w:b/>
                <w:sz w:val="20"/>
              </w:rPr>
            </w:pPr>
            <w:r>
              <w:rPr>
                <w:b/>
                <w:sz w:val="20"/>
              </w:rPr>
              <w:t xml:space="preserve">Tentative timeline </w:t>
            </w:r>
          </w:p>
        </w:tc>
      </w:tr>
      <w:tr w:rsidR="009C7F15" w:rsidRPr="007B06BC" w14:paraId="5DDA935E" w14:textId="77777777" w:rsidTr="00FB40C6">
        <w:trPr>
          <w:trHeight w:val="413"/>
        </w:trPr>
        <w:tc>
          <w:tcPr>
            <w:tcW w:w="6480" w:type="dxa"/>
            <w:tcBorders>
              <w:left w:val="double" w:sz="4" w:space="0" w:color="auto"/>
            </w:tcBorders>
          </w:tcPr>
          <w:p w14:paraId="3967506F" w14:textId="75F5B8EE" w:rsidR="009C7F15" w:rsidRPr="007B06BC" w:rsidRDefault="00702C50" w:rsidP="007E7209">
            <w:pPr>
              <w:pStyle w:val="ListParagraph"/>
              <w:numPr>
                <w:ilvl w:val="1"/>
                <w:numId w:val="1"/>
              </w:numPr>
              <w:spacing w:before="60" w:after="60" w:line="240" w:lineRule="auto"/>
              <w:contextualSpacing w:val="0"/>
              <w:jc w:val="both"/>
              <w:rPr>
                <w:sz w:val="20"/>
              </w:rPr>
            </w:pPr>
            <w:r w:rsidRPr="00702C50">
              <w:rPr>
                <w:sz w:val="20"/>
              </w:rPr>
              <w:t>Guidance tool</w:t>
            </w:r>
            <w:r w:rsidR="000200D5">
              <w:rPr>
                <w:sz w:val="20"/>
              </w:rPr>
              <w:t>kit</w:t>
            </w:r>
            <w:r w:rsidRPr="00702C50">
              <w:rPr>
                <w:sz w:val="20"/>
              </w:rPr>
              <w:t xml:space="preserve"> on interse</w:t>
            </w:r>
            <w:r w:rsidR="00E12261">
              <w:rPr>
                <w:sz w:val="20"/>
              </w:rPr>
              <w:t xml:space="preserve">ctional approaches to addressing </w:t>
            </w:r>
            <w:r w:rsidR="004436E6">
              <w:rPr>
                <w:sz w:val="20"/>
              </w:rPr>
              <w:t>disability inclusion</w:t>
            </w:r>
          </w:p>
        </w:tc>
        <w:tc>
          <w:tcPr>
            <w:tcW w:w="3330" w:type="dxa"/>
            <w:tcBorders>
              <w:right w:val="double" w:sz="4" w:space="0" w:color="auto"/>
            </w:tcBorders>
          </w:tcPr>
          <w:p w14:paraId="4B858F63" w14:textId="793636F1" w:rsidR="009C7F15" w:rsidRDefault="00A34742" w:rsidP="00DD461B">
            <w:r w:rsidRPr="00A34742">
              <w:rPr>
                <w:sz w:val="20"/>
              </w:rPr>
              <w:t>[XX/2020]</w:t>
            </w:r>
          </w:p>
        </w:tc>
      </w:tr>
      <w:tr w:rsidR="006669AB" w:rsidRPr="007B06BC" w14:paraId="18E2456E" w14:textId="77777777" w:rsidTr="00FB40C6">
        <w:trPr>
          <w:trHeight w:val="413"/>
        </w:trPr>
        <w:tc>
          <w:tcPr>
            <w:tcW w:w="6480" w:type="dxa"/>
            <w:tcBorders>
              <w:left w:val="double" w:sz="4" w:space="0" w:color="auto"/>
            </w:tcBorders>
          </w:tcPr>
          <w:p w14:paraId="32EF7709" w14:textId="7FD62104" w:rsidR="006669AB" w:rsidRPr="00702C50" w:rsidRDefault="006669AB" w:rsidP="007E7209">
            <w:pPr>
              <w:pStyle w:val="ListParagraph"/>
              <w:numPr>
                <w:ilvl w:val="1"/>
                <w:numId w:val="1"/>
              </w:numPr>
              <w:spacing w:before="60" w:after="60" w:line="240" w:lineRule="auto"/>
              <w:contextualSpacing w:val="0"/>
              <w:jc w:val="both"/>
              <w:rPr>
                <w:sz w:val="20"/>
              </w:rPr>
            </w:pPr>
            <w:r>
              <w:rPr>
                <w:sz w:val="20"/>
              </w:rPr>
              <w:t xml:space="preserve"> Practices/Case studies on disability inclusive programming using inter-sectional approach documented</w:t>
            </w:r>
          </w:p>
        </w:tc>
        <w:tc>
          <w:tcPr>
            <w:tcW w:w="3330" w:type="dxa"/>
            <w:tcBorders>
              <w:right w:val="double" w:sz="4" w:space="0" w:color="auto"/>
            </w:tcBorders>
          </w:tcPr>
          <w:p w14:paraId="27B654DC" w14:textId="77777777" w:rsidR="006669AB" w:rsidRPr="00A34742" w:rsidRDefault="006669AB" w:rsidP="00DD461B">
            <w:pPr>
              <w:rPr>
                <w:sz w:val="20"/>
              </w:rPr>
            </w:pPr>
          </w:p>
        </w:tc>
      </w:tr>
      <w:tr w:rsidR="007B69F7" w:rsidRPr="007B06BC" w14:paraId="71CA25B3" w14:textId="77777777" w:rsidTr="00FB40C6">
        <w:trPr>
          <w:trHeight w:val="413"/>
        </w:trPr>
        <w:tc>
          <w:tcPr>
            <w:tcW w:w="6480" w:type="dxa"/>
            <w:tcBorders>
              <w:left w:val="double" w:sz="4" w:space="0" w:color="auto"/>
            </w:tcBorders>
          </w:tcPr>
          <w:p w14:paraId="4588E5E3" w14:textId="1B39F518" w:rsidR="007B69F7" w:rsidRDefault="007B69F7" w:rsidP="007E7209">
            <w:pPr>
              <w:pStyle w:val="ListParagraph"/>
              <w:numPr>
                <w:ilvl w:val="1"/>
                <w:numId w:val="1"/>
              </w:numPr>
              <w:spacing w:before="60" w:after="60" w:line="240" w:lineRule="auto"/>
              <w:contextualSpacing w:val="0"/>
              <w:jc w:val="both"/>
              <w:rPr>
                <w:sz w:val="20"/>
              </w:rPr>
            </w:pPr>
            <w:proofErr w:type="spellStart"/>
            <w:r>
              <w:rPr>
                <w:sz w:val="20"/>
              </w:rPr>
              <w:t>ToRs</w:t>
            </w:r>
            <w:proofErr w:type="spellEnd"/>
            <w:r>
              <w:rPr>
                <w:sz w:val="20"/>
              </w:rPr>
              <w:t xml:space="preserve"> for inter-agency forum developed</w:t>
            </w:r>
          </w:p>
        </w:tc>
        <w:tc>
          <w:tcPr>
            <w:tcW w:w="3330" w:type="dxa"/>
            <w:tcBorders>
              <w:right w:val="double" w:sz="4" w:space="0" w:color="auto"/>
            </w:tcBorders>
          </w:tcPr>
          <w:p w14:paraId="2FE7FC63" w14:textId="77777777" w:rsidR="007B69F7" w:rsidRPr="00A34742" w:rsidRDefault="007B69F7" w:rsidP="00DD461B">
            <w:pPr>
              <w:rPr>
                <w:sz w:val="20"/>
              </w:rPr>
            </w:pPr>
          </w:p>
        </w:tc>
      </w:tr>
      <w:tr w:rsidR="007B69F7" w:rsidRPr="007B06BC" w14:paraId="3E431204" w14:textId="77777777" w:rsidTr="00FB40C6">
        <w:trPr>
          <w:trHeight w:val="413"/>
        </w:trPr>
        <w:tc>
          <w:tcPr>
            <w:tcW w:w="6480" w:type="dxa"/>
            <w:tcBorders>
              <w:left w:val="double" w:sz="4" w:space="0" w:color="auto"/>
            </w:tcBorders>
          </w:tcPr>
          <w:p w14:paraId="2A930657" w14:textId="4EE4F0E0" w:rsidR="007B69F7" w:rsidRPr="00FD7DDE" w:rsidRDefault="007B69F7" w:rsidP="007E7209">
            <w:pPr>
              <w:pStyle w:val="ListParagraph"/>
              <w:numPr>
                <w:ilvl w:val="1"/>
                <w:numId w:val="5"/>
              </w:numPr>
              <w:spacing w:before="60" w:after="60" w:line="240" w:lineRule="auto"/>
              <w:jc w:val="both"/>
              <w:rPr>
                <w:sz w:val="20"/>
              </w:rPr>
            </w:pPr>
            <w:r w:rsidRPr="00FD7DDE">
              <w:rPr>
                <w:sz w:val="20"/>
              </w:rPr>
              <w:t xml:space="preserve"> 2 meetings of inter-agency meeting forum for intersectional programming</w:t>
            </w:r>
          </w:p>
        </w:tc>
        <w:tc>
          <w:tcPr>
            <w:tcW w:w="3330" w:type="dxa"/>
            <w:tcBorders>
              <w:right w:val="double" w:sz="4" w:space="0" w:color="auto"/>
            </w:tcBorders>
          </w:tcPr>
          <w:p w14:paraId="656712A4" w14:textId="77777777" w:rsidR="007B69F7" w:rsidRPr="00A34742" w:rsidRDefault="007B69F7" w:rsidP="00DD461B">
            <w:pPr>
              <w:rPr>
                <w:sz w:val="20"/>
              </w:rPr>
            </w:pPr>
          </w:p>
        </w:tc>
      </w:tr>
      <w:tr w:rsidR="00D46EC2" w:rsidRPr="007B06BC" w14:paraId="4E798D62" w14:textId="77777777" w:rsidTr="00FB40C6">
        <w:trPr>
          <w:trHeight w:val="413"/>
        </w:trPr>
        <w:tc>
          <w:tcPr>
            <w:tcW w:w="6480" w:type="dxa"/>
            <w:tcBorders>
              <w:left w:val="double" w:sz="4" w:space="0" w:color="auto"/>
            </w:tcBorders>
          </w:tcPr>
          <w:p w14:paraId="64EA21EA" w14:textId="10FC1066" w:rsidR="00D46EC2" w:rsidRPr="00FD7DDE" w:rsidRDefault="004436E6" w:rsidP="007E7209">
            <w:pPr>
              <w:pStyle w:val="ListParagraph"/>
              <w:numPr>
                <w:ilvl w:val="1"/>
                <w:numId w:val="5"/>
              </w:numPr>
              <w:spacing w:before="60" w:after="60" w:line="240" w:lineRule="auto"/>
              <w:jc w:val="both"/>
              <w:rPr>
                <w:sz w:val="20"/>
              </w:rPr>
            </w:pPr>
            <w:r>
              <w:rPr>
                <w:sz w:val="20"/>
              </w:rPr>
              <w:t>Consolidated feedback from the field, including based on survey result</w:t>
            </w:r>
            <w:r w:rsidR="00FE68EF">
              <w:rPr>
                <w:sz w:val="20"/>
              </w:rPr>
              <w:t>s</w:t>
            </w:r>
          </w:p>
        </w:tc>
        <w:tc>
          <w:tcPr>
            <w:tcW w:w="3330" w:type="dxa"/>
            <w:tcBorders>
              <w:right w:val="double" w:sz="4" w:space="0" w:color="auto"/>
            </w:tcBorders>
          </w:tcPr>
          <w:p w14:paraId="0523EE4C" w14:textId="77777777" w:rsidR="00D46EC2" w:rsidRPr="00A34742" w:rsidRDefault="00D46EC2" w:rsidP="00DD461B">
            <w:pPr>
              <w:rPr>
                <w:sz w:val="20"/>
              </w:rPr>
            </w:pPr>
          </w:p>
        </w:tc>
      </w:tr>
      <w:tr w:rsidR="00BC43E2" w:rsidRPr="007B06BC" w14:paraId="17E7BA75" w14:textId="77777777" w:rsidTr="00FB40C6">
        <w:trPr>
          <w:trHeight w:val="413"/>
        </w:trPr>
        <w:tc>
          <w:tcPr>
            <w:tcW w:w="6480" w:type="dxa"/>
            <w:tcBorders>
              <w:left w:val="double" w:sz="4" w:space="0" w:color="auto"/>
            </w:tcBorders>
          </w:tcPr>
          <w:p w14:paraId="42AA7EE0" w14:textId="4D3AAEF0" w:rsidR="00BC43E2" w:rsidRDefault="0091000B" w:rsidP="007E7209">
            <w:pPr>
              <w:pStyle w:val="ListParagraph"/>
              <w:numPr>
                <w:ilvl w:val="1"/>
                <w:numId w:val="5"/>
              </w:numPr>
              <w:spacing w:before="60" w:after="60" w:line="240" w:lineRule="auto"/>
              <w:jc w:val="both"/>
              <w:rPr>
                <w:sz w:val="20"/>
              </w:rPr>
            </w:pPr>
            <w:r>
              <w:rPr>
                <w:sz w:val="20"/>
              </w:rPr>
              <w:t>De</w:t>
            </w:r>
            <w:r w:rsidR="00360B46">
              <w:rPr>
                <w:sz w:val="20"/>
              </w:rPr>
              <w:t xml:space="preserve">velop 1 webinar on the </w:t>
            </w:r>
            <w:r w:rsidR="006C5686">
              <w:rPr>
                <w:sz w:val="20"/>
              </w:rPr>
              <w:t xml:space="preserve">toolkit for dissemination </w:t>
            </w:r>
          </w:p>
        </w:tc>
        <w:tc>
          <w:tcPr>
            <w:tcW w:w="3330" w:type="dxa"/>
            <w:tcBorders>
              <w:right w:val="double" w:sz="4" w:space="0" w:color="auto"/>
            </w:tcBorders>
          </w:tcPr>
          <w:p w14:paraId="21D2327D" w14:textId="77777777" w:rsidR="00BC43E2" w:rsidRPr="00A34742" w:rsidRDefault="00BC43E2" w:rsidP="00DD461B">
            <w:pPr>
              <w:rPr>
                <w:sz w:val="20"/>
              </w:rPr>
            </w:pPr>
          </w:p>
        </w:tc>
      </w:tr>
      <w:tr w:rsidR="003C1D5B" w:rsidRPr="007B06BC" w14:paraId="7D578E91" w14:textId="77777777" w:rsidTr="00FB40C6">
        <w:trPr>
          <w:trHeight w:val="413"/>
        </w:trPr>
        <w:tc>
          <w:tcPr>
            <w:tcW w:w="6480" w:type="dxa"/>
            <w:tcBorders>
              <w:left w:val="double" w:sz="4" w:space="0" w:color="auto"/>
            </w:tcBorders>
          </w:tcPr>
          <w:p w14:paraId="1473A280" w14:textId="5E69BBE0" w:rsidR="003C1D5B" w:rsidRDefault="003C1D5B" w:rsidP="007E7209">
            <w:pPr>
              <w:pStyle w:val="ListParagraph"/>
              <w:numPr>
                <w:ilvl w:val="1"/>
                <w:numId w:val="5"/>
              </w:numPr>
              <w:spacing w:before="60" w:after="60" w:line="240" w:lineRule="auto"/>
              <w:jc w:val="both"/>
              <w:rPr>
                <w:sz w:val="20"/>
              </w:rPr>
            </w:pPr>
            <w:r>
              <w:rPr>
                <w:sz w:val="20"/>
              </w:rPr>
              <w:t xml:space="preserve">Mapping of potential partners by </w:t>
            </w:r>
            <w:r w:rsidR="007739F2">
              <w:rPr>
                <w:sz w:val="20"/>
              </w:rPr>
              <w:t xml:space="preserve">region </w:t>
            </w:r>
          </w:p>
        </w:tc>
        <w:tc>
          <w:tcPr>
            <w:tcW w:w="3330" w:type="dxa"/>
            <w:tcBorders>
              <w:right w:val="double" w:sz="4" w:space="0" w:color="auto"/>
            </w:tcBorders>
          </w:tcPr>
          <w:p w14:paraId="332DC126" w14:textId="77777777" w:rsidR="003C1D5B" w:rsidRPr="00A34742" w:rsidRDefault="003C1D5B" w:rsidP="00DD461B">
            <w:pPr>
              <w:rPr>
                <w:sz w:val="20"/>
              </w:rPr>
            </w:pPr>
          </w:p>
        </w:tc>
      </w:tr>
      <w:tr w:rsidR="00133169" w:rsidRPr="007B06BC" w14:paraId="03441B30" w14:textId="77777777" w:rsidTr="00FB40C6">
        <w:trPr>
          <w:trHeight w:val="413"/>
        </w:trPr>
        <w:tc>
          <w:tcPr>
            <w:tcW w:w="6480" w:type="dxa"/>
            <w:tcBorders>
              <w:left w:val="double" w:sz="4" w:space="0" w:color="auto"/>
            </w:tcBorders>
          </w:tcPr>
          <w:p w14:paraId="730F440E" w14:textId="25B05C83" w:rsidR="00133169" w:rsidRDefault="0091000B" w:rsidP="007E7209">
            <w:pPr>
              <w:pStyle w:val="ListParagraph"/>
              <w:numPr>
                <w:ilvl w:val="1"/>
                <w:numId w:val="5"/>
              </w:numPr>
              <w:spacing w:before="60" w:after="60" w:line="240" w:lineRule="auto"/>
              <w:jc w:val="both"/>
              <w:rPr>
                <w:sz w:val="20"/>
              </w:rPr>
            </w:pPr>
            <w:r>
              <w:rPr>
                <w:sz w:val="20"/>
              </w:rPr>
              <w:t>Disseminate toolkit</w:t>
            </w:r>
            <w:r w:rsidR="006F5C59">
              <w:rPr>
                <w:sz w:val="20"/>
              </w:rPr>
              <w:t>, including easy-to-read versions,</w:t>
            </w:r>
            <w:r>
              <w:rPr>
                <w:sz w:val="20"/>
              </w:rPr>
              <w:t xml:space="preserve"> through relevant global and regional inter-agency mechanisms</w:t>
            </w:r>
            <w:r w:rsidR="006F5C59">
              <w:rPr>
                <w:sz w:val="20"/>
              </w:rPr>
              <w:t xml:space="preserve"> and a diverse range of civil society networks</w:t>
            </w:r>
          </w:p>
        </w:tc>
        <w:tc>
          <w:tcPr>
            <w:tcW w:w="3330" w:type="dxa"/>
            <w:tcBorders>
              <w:right w:val="double" w:sz="4" w:space="0" w:color="auto"/>
            </w:tcBorders>
          </w:tcPr>
          <w:p w14:paraId="2BB2BE87" w14:textId="77777777" w:rsidR="00133169" w:rsidRPr="00A34742" w:rsidRDefault="00133169" w:rsidP="00DD461B">
            <w:pPr>
              <w:rPr>
                <w:sz w:val="20"/>
              </w:rPr>
            </w:pPr>
          </w:p>
        </w:tc>
      </w:tr>
    </w:tbl>
    <w:p w14:paraId="08A3D1FB" w14:textId="0FBB3E7D" w:rsidR="00263243" w:rsidRDefault="00263243" w:rsidP="00BC4B02">
      <w:pPr>
        <w:spacing w:after="0" w:line="240" w:lineRule="auto"/>
        <w:jc w:val="both"/>
        <w:rPr>
          <w:b/>
          <w:sz w:val="20"/>
        </w:rPr>
      </w:pPr>
    </w:p>
    <w:p w14:paraId="4F93EA21" w14:textId="77777777" w:rsidR="00263243" w:rsidRDefault="00263243" w:rsidP="00BC4B02">
      <w:pPr>
        <w:spacing w:after="0" w:line="240" w:lineRule="auto"/>
        <w:jc w:val="both"/>
        <w:rPr>
          <w:b/>
          <w:sz w:val="20"/>
        </w:rPr>
      </w:pPr>
    </w:p>
    <w:p w14:paraId="5EC60DA0" w14:textId="77777777" w:rsidR="00BC4B02" w:rsidRPr="002D0888" w:rsidRDefault="002D0888" w:rsidP="002D0888">
      <w:pPr>
        <w:pStyle w:val="Heading1"/>
      </w:pPr>
      <w:r>
        <w:t xml:space="preserve">4. </w:t>
      </w:r>
      <w:r w:rsidR="00BC4B02" w:rsidRPr="002D0888">
        <w:t>Partnership-</w:t>
      </w:r>
      <w:r w:rsidR="00056FB7">
        <w:t>b</w:t>
      </w:r>
      <w:r w:rsidR="00BC4B02" w:rsidRPr="002D0888">
        <w:t xml:space="preserve">uilding </w:t>
      </w:r>
      <w:r w:rsidR="00056FB7">
        <w:t>p</w:t>
      </w:r>
      <w:r w:rsidR="00BC4B02" w:rsidRPr="002D0888">
        <w:t>otential</w:t>
      </w:r>
    </w:p>
    <w:p w14:paraId="44D7FC10" w14:textId="77777777" w:rsidR="00BC4B02" w:rsidRPr="00A9299D" w:rsidRDefault="00BC4B02" w:rsidP="00BC4B02">
      <w:pPr>
        <w:spacing w:after="0" w:line="240" w:lineRule="auto"/>
        <w:jc w:val="both"/>
        <w:rPr>
          <w:i/>
          <w:sz w:val="20"/>
        </w:rPr>
      </w:pPr>
    </w:p>
    <w:p w14:paraId="4B813D61" w14:textId="2692E125" w:rsidR="00A35C00" w:rsidRDefault="00A35C00" w:rsidP="00A35C00">
      <w:pPr>
        <w:spacing w:after="360"/>
        <w:jc w:val="both"/>
      </w:pPr>
      <w:r>
        <w:t xml:space="preserve">The UNPRPD provides an opportunity to work jointly, building on complementarity and leveraging the assets of each participating entity and organization as well as well as its partners. We are uniquely positioned through partnerships and multi-stakeholder mechanisms to maximize impact for long term sustainability. </w:t>
      </w:r>
    </w:p>
    <w:p w14:paraId="3CF40D62" w14:textId="00C0A7E5" w:rsidR="00A35C00" w:rsidRDefault="00DB29FC" w:rsidP="002073F8">
      <w:pPr>
        <w:spacing w:after="360"/>
        <w:jc w:val="both"/>
      </w:pPr>
      <w:r>
        <w:t xml:space="preserve">At the global level, </w:t>
      </w:r>
      <w:r w:rsidR="00F213A7">
        <w:t>a c</w:t>
      </w:r>
      <w:r w:rsidR="00A85A92">
        <w:t xml:space="preserve">ivil society </w:t>
      </w:r>
      <w:r w:rsidR="00F213A7">
        <w:t>advisory group has been established</w:t>
      </w:r>
      <w:r w:rsidR="00005DD9">
        <w:t xml:space="preserve"> to </w:t>
      </w:r>
      <w:r w:rsidR="00D055F2">
        <w:t>contribute to a</w:t>
      </w:r>
      <w:r w:rsidR="00435192">
        <w:t>ll aspects of the development and dissemination of the tool. The advisory group</w:t>
      </w:r>
      <w:r w:rsidR="00D85879">
        <w:t xml:space="preserve"> </w:t>
      </w:r>
      <w:r w:rsidR="00A85399">
        <w:t>consists of the following 7</w:t>
      </w:r>
      <w:r w:rsidR="00F213A7">
        <w:t xml:space="preserve"> civil society organizations:</w:t>
      </w:r>
      <w:r w:rsidR="00A85399">
        <w:t xml:space="preserve"> </w:t>
      </w:r>
      <w:r w:rsidR="00A20F3D">
        <w:t>International Disability Alliance, CBM</w:t>
      </w:r>
      <w:r w:rsidR="00D14446">
        <w:t xml:space="preserve">, Women Enabled International, Women’s Refugee Commission, </w:t>
      </w:r>
      <w:r w:rsidR="00A04772">
        <w:t xml:space="preserve">WaterAid, </w:t>
      </w:r>
      <w:r w:rsidR="006105C6">
        <w:t xml:space="preserve">Sight Savers, and CREA. </w:t>
      </w:r>
      <w:r w:rsidR="00F92294">
        <w:t xml:space="preserve"> </w:t>
      </w:r>
      <w:r w:rsidR="00A35C00">
        <w:t xml:space="preserve">It is expected that the partnership will provide a space to address, including through consultations the heterogeneity of persons with disabilities and range of organizations that represent different types of intersectionality and issues of persons with disabilities.  Their work and experiences will inform the desk review and tool. </w:t>
      </w:r>
      <w:r w:rsidR="002073F8">
        <w:t xml:space="preserve"> </w:t>
      </w:r>
      <w:r w:rsidR="00A35C00">
        <w:t xml:space="preserve">The outcome of the desk review will be reviewed through validation workshops and consultations with various stakeholders. </w:t>
      </w:r>
    </w:p>
    <w:p w14:paraId="79F59B35" w14:textId="1B21775C" w:rsidR="002073F8" w:rsidRDefault="002073F8" w:rsidP="002073F8">
      <w:pPr>
        <w:spacing w:after="360"/>
        <w:jc w:val="both"/>
      </w:pPr>
      <w:r>
        <w:t xml:space="preserve">In addition, </w:t>
      </w:r>
      <w:r w:rsidR="0021583E">
        <w:t xml:space="preserve">this project presents the opportunity to establish an inter-agency meeting forum to convene </w:t>
      </w:r>
      <w:r w:rsidR="008D4FCD">
        <w:t>gender, disability,</w:t>
      </w:r>
      <w:r w:rsidR="007739F2">
        <w:t xml:space="preserve"> age, </w:t>
      </w:r>
      <w:r w:rsidR="008D4FCD">
        <w:t xml:space="preserve"> youth </w:t>
      </w:r>
      <w:r w:rsidR="001E72FC">
        <w:t xml:space="preserve">focal points from UN agencies on a periodical basis </w:t>
      </w:r>
      <w:r w:rsidR="00D85385">
        <w:t xml:space="preserve">to not only inform the development of the guidelines but also provide a space </w:t>
      </w:r>
      <w:r w:rsidR="007F74F5">
        <w:t xml:space="preserve">to </w:t>
      </w:r>
      <w:r w:rsidR="007F74F5" w:rsidRPr="007F74F5">
        <w:t>identify entry points for building more synergy and to support UNCT</w:t>
      </w:r>
      <w:r w:rsidR="007F74F5">
        <w:t>s</w:t>
      </w:r>
      <w:r w:rsidR="007F74F5" w:rsidRPr="007F74F5">
        <w:t>.</w:t>
      </w:r>
    </w:p>
    <w:p w14:paraId="3AE09A9C" w14:textId="57841258" w:rsidR="003E4B5C" w:rsidRPr="002073F8" w:rsidRDefault="003E4B5C" w:rsidP="00BC4B02">
      <w:pPr>
        <w:spacing w:after="0" w:line="240" w:lineRule="auto"/>
        <w:jc w:val="both"/>
        <w:rPr>
          <w:bCs/>
          <w:iCs/>
          <w:szCs w:val="20"/>
        </w:rPr>
      </w:pPr>
    </w:p>
    <w:p w14:paraId="3B3185C1" w14:textId="77777777" w:rsidR="00830399" w:rsidRPr="00C07DB1" w:rsidRDefault="002D0888" w:rsidP="00830399">
      <w:pPr>
        <w:pStyle w:val="Heading1"/>
      </w:pPr>
      <w:r w:rsidRPr="00C07DB1">
        <w:lastRenderedPageBreak/>
        <w:t>5.</w:t>
      </w:r>
      <w:r w:rsidR="00830399" w:rsidRPr="00C07DB1">
        <w:t xml:space="preserve"> </w:t>
      </w:r>
      <w:r w:rsidR="00056FB7" w:rsidRPr="00C07DB1">
        <w:t>Knowledge m</w:t>
      </w:r>
      <w:r w:rsidR="00830399" w:rsidRPr="00C07DB1">
        <w:t xml:space="preserve">anagement and </w:t>
      </w:r>
      <w:r w:rsidR="00056FB7" w:rsidRPr="00C07DB1">
        <w:t>d</w:t>
      </w:r>
      <w:r w:rsidR="00830399" w:rsidRPr="00C07DB1">
        <w:t>issemination</w:t>
      </w:r>
    </w:p>
    <w:p w14:paraId="6D1C4970" w14:textId="198091AE" w:rsidR="00683C36" w:rsidRDefault="00683C36" w:rsidP="00830399">
      <w:pPr>
        <w:pStyle w:val="ListParagraph"/>
        <w:spacing w:after="0" w:line="240" w:lineRule="auto"/>
        <w:ind w:left="0"/>
        <w:contextualSpacing w:val="0"/>
        <w:jc w:val="both"/>
        <w:rPr>
          <w:i/>
          <w:sz w:val="20"/>
        </w:rPr>
      </w:pPr>
    </w:p>
    <w:p w14:paraId="54D6593C" w14:textId="5B9ED5F2" w:rsidR="007A07BE" w:rsidRDefault="00A83D4A" w:rsidP="00830399">
      <w:pPr>
        <w:pStyle w:val="ListParagraph"/>
        <w:spacing w:after="0" w:line="240" w:lineRule="auto"/>
        <w:ind w:left="0"/>
        <w:contextualSpacing w:val="0"/>
        <w:jc w:val="both"/>
      </w:pPr>
      <w:r>
        <w:t xml:space="preserve">The project hopes to leverage and build on existing knowledge addressing intersectional approaches to </w:t>
      </w:r>
      <w:r w:rsidR="00095988">
        <w:t>disability inclusion</w:t>
      </w:r>
      <w:r w:rsidR="00614A7A">
        <w:t>.</w:t>
      </w:r>
      <w:r w:rsidR="00793D2E">
        <w:t xml:space="preserve"> </w:t>
      </w:r>
      <w:r w:rsidR="00444320">
        <w:t xml:space="preserve"> </w:t>
      </w:r>
      <w:r w:rsidR="00095988">
        <w:t xml:space="preserve">The </w:t>
      </w:r>
      <w:r w:rsidR="00124475">
        <w:t>project will</w:t>
      </w:r>
      <w:r w:rsidR="007A07BE">
        <w:t xml:space="preserve">: </w:t>
      </w:r>
    </w:p>
    <w:p w14:paraId="03ABB2C6" w14:textId="4A7EFAA3" w:rsidR="00EA29F4" w:rsidRDefault="007A07BE" w:rsidP="00793D2E">
      <w:pPr>
        <w:pStyle w:val="ListParagraph"/>
        <w:numPr>
          <w:ilvl w:val="0"/>
          <w:numId w:val="6"/>
        </w:numPr>
        <w:spacing w:after="0" w:line="240" w:lineRule="auto"/>
        <w:contextualSpacing w:val="0"/>
        <w:jc w:val="both"/>
      </w:pPr>
      <w:r>
        <w:t>Compile resources</w:t>
      </w:r>
      <w:r w:rsidR="00327191">
        <w:t xml:space="preserve">, </w:t>
      </w:r>
      <w:r w:rsidR="00BD4DF7">
        <w:t>promising practices</w:t>
      </w:r>
      <w:r w:rsidR="00327191">
        <w:t>, and learnings through the development of the toolkit</w:t>
      </w:r>
      <w:r w:rsidR="00BD4DF7">
        <w:t xml:space="preserve"> in a report or web</w:t>
      </w:r>
      <w:r w:rsidR="0044385E">
        <w:t xml:space="preserve"> repository</w:t>
      </w:r>
      <w:r w:rsidR="00327191">
        <w:t xml:space="preserve"> or community of practice</w:t>
      </w:r>
      <w:r w:rsidR="0044385E">
        <w:t xml:space="preserve">; </w:t>
      </w:r>
    </w:p>
    <w:p w14:paraId="321E175B" w14:textId="042043D1" w:rsidR="006F5C59" w:rsidRDefault="006F5C59" w:rsidP="00793D2E">
      <w:pPr>
        <w:pStyle w:val="ListParagraph"/>
        <w:numPr>
          <w:ilvl w:val="0"/>
          <w:numId w:val="6"/>
        </w:numPr>
        <w:spacing w:after="0" w:line="240" w:lineRule="auto"/>
        <w:contextualSpacing w:val="0"/>
        <w:jc w:val="both"/>
      </w:pPr>
      <w:r>
        <w:t xml:space="preserve">Develop 1 webinar on the toolkit to </w:t>
      </w:r>
      <w:r w:rsidR="00C46120">
        <w:t xml:space="preserve">support dissemination </w:t>
      </w:r>
    </w:p>
    <w:p w14:paraId="64D64C11" w14:textId="30D144C4" w:rsidR="00C46120" w:rsidRDefault="00383F69" w:rsidP="00793D2E">
      <w:pPr>
        <w:pStyle w:val="ListParagraph"/>
        <w:numPr>
          <w:ilvl w:val="0"/>
          <w:numId w:val="6"/>
        </w:numPr>
        <w:spacing w:after="0" w:line="240" w:lineRule="auto"/>
        <w:contextualSpacing w:val="0"/>
        <w:jc w:val="both"/>
      </w:pPr>
      <w:r>
        <w:t xml:space="preserve">Develop easy-to-read versions of the toolkit </w:t>
      </w:r>
    </w:p>
    <w:p w14:paraId="698B846A" w14:textId="095E897D" w:rsidR="00053355" w:rsidRDefault="00FA6BEE" w:rsidP="00327191">
      <w:pPr>
        <w:pStyle w:val="ListParagraph"/>
        <w:numPr>
          <w:ilvl w:val="0"/>
          <w:numId w:val="6"/>
        </w:numPr>
        <w:spacing w:after="0" w:line="240" w:lineRule="auto"/>
        <w:contextualSpacing w:val="0"/>
        <w:jc w:val="both"/>
      </w:pPr>
      <w:r>
        <w:t>Dissemin</w:t>
      </w:r>
      <w:r w:rsidR="00A570D6">
        <w:t xml:space="preserve">ate the resulting toolkit through various inter-agency mechanisms, including </w:t>
      </w:r>
      <w:r w:rsidR="00793D2E">
        <w:t xml:space="preserve">Inter-agency Network on </w:t>
      </w:r>
      <w:r w:rsidR="00AF08D2">
        <w:t>Women and Gender Equality, the Inter-agency Support Group on the CRPD,</w:t>
      </w:r>
      <w:r w:rsidR="00327191">
        <w:t xml:space="preserve"> as well as the</w:t>
      </w:r>
      <w:r w:rsidR="00AF08D2">
        <w:t xml:space="preserve"> </w:t>
      </w:r>
      <w:r w:rsidR="00854613">
        <w:t>UNSDG</w:t>
      </w:r>
      <w:r w:rsidR="00327191">
        <w:t xml:space="preserve">. </w:t>
      </w:r>
    </w:p>
    <w:p w14:paraId="0ACD3CCE" w14:textId="68A71BD6" w:rsidR="0052492D" w:rsidRPr="00327191" w:rsidRDefault="0052492D" w:rsidP="00327191">
      <w:pPr>
        <w:pStyle w:val="ListParagraph"/>
        <w:numPr>
          <w:ilvl w:val="0"/>
          <w:numId w:val="6"/>
        </w:numPr>
        <w:spacing w:after="0" w:line="240" w:lineRule="auto"/>
        <w:contextualSpacing w:val="0"/>
        <w:jc w:val="both"/>
      </w:pPr>
      <w:r>
        <w:t xml:space="preserve">Disseminate the resulting toolkit through diverse range of civil society networks </w:t>
      </w:r>
    </w:p>
    <w:p w14:paraId="5FE5ADF6" w14:textId="77777777" w:rsidR="00BC4B02" w:rsidRPr="002D0888" w:rsidRDefault="00830399" w:rsidP="002D0888">
      <w:pPr>
        <w:pStyle w:val="Heading1"/>
      </w:pPr>
      <w:r>
        <w:t>6.</w:t>
      </w:r>
      <w:r w:rsidR="002D0888">
        <w:t xml:space="preserve"> </w:t>
      </w:r>
      <w:r w:rsidR="00081DE7">
        <w:t xml:space="preserve">Project </w:t>
      </w:r>
      <w:r w:rsidR="00056FB7">
        <w:t>m</w:t>
      </w:r>
      <w:r w:rsidR="00BC4B02" w:rsidRPr="002D0888">
        <w:t xml:space="preserve">anagement </w:t>
      </w:r>
      <w:r w:rsidR="00056FB7">
        <w:t>and m</w:t>
      </w:r>
      <w:r w:rsidR="00081DE7">
        <w:t xml:space="preserve">onitoring </w:t>
      </w:r>
      <w:r w:rsidR="00BC4B02" w:rsidRPr="002D0888">
        <w:t>arrangements</w:t>
      </w:r>
    </w:p>
    <w:p w14:paraId="1244B573" w14:textId="77777777" w:rsidR="00BC4B02" w:rsidRDefault="00BC4B02" w:rsidP="00BC4B02">
      <w:pPr>
        <w:spacing w:after="0" w:line="240" w:lineRule="auto"/>
        <w:jc w:val="both"/>
        <w:rPr>
          <w:i/>
          <w:sz w:val="20"/>
        </w:rPr>
      </w:pPr>
    </w:p>
    <w:p w14:paraId="34A608F0" w14:textId="72F0D236" w:rsidR="00BC4B02" w:rsidRDefault="00BC4B02" w:rsidP="00375E00">
      <w:pPr>
        <w:pStyle w:val="Heading2"/>
      </w:pPr>
      <w:r>
        <w:t>Table 4</w:t>
      </w:r>
      <w:r w:rsidRPr="008446EA">
        <w:t xml:space="preserve">. </w:t>
      </w:r>
      <w:r>
        <w:t>Implementation arrangements</w:t>
      </w:r>
    </w:p>
    <w:p w14:paraId="60B1B235" w14:textId="77777777" w:rsidR="00BC4B02" w:rsidRDefault="00BC4B02" w:rsidP="00BC4B02">
      <w:pPr>
        <w:pStyle w:val="ListParagraph"/>
        <w:spacing w:after="0" w:line="240" w:lineRule="auto"/>
        <w:ind w:left="360"/>
        <w:contextualSpacing w:val="0"/>
        <w:jc w:val="both"/>
        <w:rPr>
          <w:b/>
          <w:sz w:val="20"/>
        </w:rPr>
      </w:pPr>
    </w:p>
    <w:tbl>
      <w:tblPr>
        <w:tblStyle w:val="TableGrid"/>
        <w:tblW w:w="9720" w:type="dxa"/>
        <w:tblInd w:w="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Implementation arrangements"/>
      </w:tblPr>
      <w:tblGrid>
        <w:gridCol w:w="2657"/>
        <w:gridCol w:w="2369"/>
        <w:gridCol w:w="2400"/>
        <w:gridCol w:w="2294"/>
      </w:tblGrid>
      <w:tr w:rsidR="00BC4B02" w14:paraId="33307BDF" w14:textId="77777777" w:rsidTr="00FB40C6">
        <w:trPr>
          <w:tblHeader/>
        </w:trPr>
        <w:tc>
          <w:tcPr>
            <w:tcW w:w="2657" w:type="dxa"/>
            <w:tcBorders>
              <w:bottom w:val="double" w:sz="4" w:space="0" w:color="auto"/>
            </w:tcBorders>
            <w:shd w:val="clear" w:color="auto" w:fill="D9D9D9" w:themeFill="background1" w:themeFillShade="D9"/>
          </w:tcPr>
          <w:p w14:paraId="1C0E7EFC" w14:textId="77777777" w:rsidR="00BC4B02" w:rsidRPr="008E1999" w:rsidRDefault="00BC4B02" w:rsidP="00BC4B02">
            <w:pPr>
              <w:pStyle w:val="ListParagraph"/>
              <w:ind w:left="0"/>
              <w:contextualSpacing w:val="0"/>
              <w:jc w:val="both"/>
              <w:rPr>
                <w:b/>
                <w:color w:val="000000" w:themeColor="text1"/>
                <w:sz w:val="20"/>
              </w:rPr>
            </w:pPr>
            <w:r w:rsidRPr="008E1999">
              <w:rPr>
                <w:b/>
                <w:color w:val="000000" w:themeColor="text1"/>
                <w:sz w:val="20"/>
              </w:rPr>
              <w:t>Outcome number</w:t>
            </w:r>
          </w:p>
        </w:tc>
        <w:tc>
          <w:tcPr>
            <w:tcW w:w="2369" w:type="dxa"/>
            <w:tcBorders>
              <w:bottom w:val="double" w:sz="4" w:space="0" w:color="auto"/>
            </w:tcBorders>
            <w:shd w:val="clear" w:color="auto" w:fill="D9D9D9" w:themeFill="background1" w:themeFillShade="D9"/>
          </w:tcPr>
          <w:p w14:paraId="732A5A51" w14:textId="77777777" w:rsidR="00BC4B02" w:rsidRPr="008E1999" w:rsidRDefault="00BC4B02" w:rsidP="00BC4B02">
            <w:pPr>
              <w:pStyle w:val="ListParagraph"/>
              <w:ind w:left="0"/>
              <w:contextualSpacing w:val="0"/>
              <w:jc w:val="both"/>
              <w:rPr>
                <w:b/>
                <w:color w:val="000000" w:themeColor="text1"/>
                <w:sz w:val="20"/>
              </w:rPr>
            </w:pPr>
            <w:r w:rsidRPr="008E1999">
              <w:rPr>
                <w:b/>
                <w:color w:val="000000" w:themeColor="text1"/>
                <w:sz w:val="20"/>
              </w:rPr>
              <w:t>UNPRPD Focal Point</w:t>
            </w:r>
          </w:p>
        </w:tc>
        <w:tc>
          <w:tcPr>
            <w:tcW w:w="2400" w:type="dxa"/>
            <w:tcBorders>
              <w:bottom w:val="double" w:sz="4" w:space="0" w:color="auto"/>
            </w:tcBorders>
            <w:shd w:val="clear" w:color="auto" w:fill="D9D9D9" w:themeFill="background1" w:themeFillShade="D9"/>
          </w:tcPr>
          <w:p w14:paraId="3AD7CE49" w14:textId="77777777" w:rsidR="00BC4B02" w:rsidRPr="008E1999" w:rsidRDefault="00BC4B02" w:rsidP="00BC4B02">
            <w:pPr>
              <w:pStyle w:val="ListParagraph"/>
              <w:ind w:left="0"/>
              <w:contextualSpacing w:val="0"/>
              <w:jc w:val="both"/>
              <w:rPr>
                <w:b/>
                <w:color w:val="000000" w:themeColor="text1"/>
                <w:sz w:val="20"/>
              </w:rPr>
            </w:pPr>
            <w:r w:rsidRPr="008E1999">
              <w:rPr>
                <w:b/>
                <w:color w:val="000000" w:themeColor="text1"/>
                <w:sz w:val="20"/>
              </w:rPr>
              <w:t>Implementing agencies</w:t>
            </w:r>
          </w:p>
        </w:tc>
        <w:tc>
          <w:tcPr>
            <w:tcW w:w="2294" w:type="dxa"/>
            <w:tcBorders>
              <w:bottom w:val="double" w:sz="4" w:space="0" w:color="auto"/>
            </w:tcBorders>
            <w:shd w:val="clear" w:color="auto" w:fill="D9D9D9" w:themeFill="background1" w:themeFillShade="D9"/>
          </w:tcPr>
          <w:p w14:paraId="04119FEA" w14:textId="77777777" w:rsidR="00BC4B02" w:rsidRPr="008E1999" w:rsidRDefault="00BC4B02" w:rsidP="00BC4B02">
            <w:pPr>
              <w:pStyle w:val="ListParagraph"/>
              <w:ind w:left="0"/>
              <w:contextualSpacing w:val="0"/>
              <w:jc w:val="both"/>
              <w:rPr>
                <w:b/>
                <w:color w:val="000000" w:themeColor="text1"/>
                <w:sz w:val="20"/>
              </w:rPr>
            </w:pPr>
            <w:r w:rsidRPr="008E1999">
              <w:rPr>
                <w:b/>
                <w:color w:val="000000" w:themeColor="text1"/>
                <w:sz w:val="20"/>
              </w:rPr>
              <w:t>Other partners</w:t>
            </w:r>
          </w:p>
        </w:tc>
      </w:tr>
      <w:tr w:rsidR="000401F6" w14:paraId="4780AB6A" w14:textId="77777777" w:rsidTr="00FB40C6">
        <w:tc>
          <w:tcPr>
            <w:tcW w:w="2657" w:type="dxa"/>
            <w:tcBorders>
              <w:top w:val="double" w:sz="4" w:space="0" w:color="auto"/>
              <w:bottom w:val="double" w:sz="4" w:space="0" w:color="auto"/>
              <w:right w:val="double" w:sz="4" w:space="0" w:color="auto"/>
            </w:tcBorders>
          </w:tcPr>
          <w:p w14:paraId="660CE5C3" w14:textId="161AC3A9" w:rsidR="000401F6" w:rsidRDefault="000401F6" w:rsidP="000401F6">
            <w:pPr>
              <w:pStyle w:val="ListParagraph"/>
              <w:ind w:left="0"/>
              <w:contextualSpacing w:val="0"/>
              <w:jc w:val="both"/>
              <w:rPr>
                <w:b/>
                <w:sz w:val="20"/>
              </w:rPr>
            </w:pPr>
            <w:r>
              <w:rPr>
                <w:b/>
                <w:sz w:val="20"/>
              </w:rPr>
              <w:t>1</w:t>
            </w:r>
            <w:r w:rsidR="00F06BE2" w:rsidRPr="00702C50">
              <w:rPr>
                <w:sz w:val="20"/>
              </w:rPr>
              <w:t xml:space="preserve"> Guidance tool on intersection</w:t>
            </w:r>
            <w:r w:rsidR="00327191">
              <w:rPr>
                <w:sz w:val="20"/>
              </w:rPr>
              <w:t xml:space="preserve">al approaches to addressing disability inclusion, </w:t>
            </w:r>
          </w:p>
        </w:tc>
        <w:tc>
          <w:tcPr>
            <w:tcW w:w="2369" w:type="dxa"/>
            <w:tcBorders>
              <w:top w:val="double" w:sz="4" w:space="0" w:color="auto"/>
              <w:left w:val="double" w:sz="4" w:space="0" w:color="auto"/>
              <w:bottom w:val="double" w:sz="4" w:space="0" w:color="auto"/>
              <w:right w:val="double" w:sz="4" w:space="0" w:color="auto"/>
            </w:tcBorders>
          </w:tcPr>
          <w:p w14:paraId="17D75C2F" w14:textId="77777777" w:rsidR="000401F6" w:rsidRDefault="000401F6" w:rsidP="000401F6">
            <w:pPr>
              <w:pStyle w:val="ListParagraph"/>
              <w:ind w:left="0"/>
              <w:contextualSpacing w:val="0"/>
              <w:jc w:val="both"/>
              <w:rPr>
                <w:b/>
                <w:sz w:val="20"/>
              </w:rPr>
            </w:pPr>
            <w:r>
              <w:rPr>
                <w:sz w:val="20"/>
              </w:rPr>
              <w:t>[…]</w:t>
            </w:r>
          </w:p>
        </w:tc>
        <w:tc>
          <w:tcPr>
            <w:tcW w:w="2400" w:type="dxa"/>
            <w:tcBorders>
              <w:top w:val="double" w:sz="4" w:space="0" w:color="auto"/>
              <w:left w:val="double" w:sz="4" w:space="0" w:color="auto"/>
              <w:bottom w:val="double" w:sz="4" w:space="0" w:color="auto"/>
              <w:right w:val="double" w:sz="4" w:space="0" w:color="auto"/>
            </w:tcBorders>
          </w:tcPr>
          <w:p w14:paraId="3BF83198" w14:textId="27B6A66F" w:rsidR="000401F6" w:rsidRPr="00002BED" w:rsidRDefault="00F06BE2" w:rsidP="000401F6">
            <w:pPr>
              <w:jc w:val="both"/>
              <w:rPr>
                <w:sz w:val="20"/>
              </w:rPr>
            </w:pPr>
            <w:r>
              <w:rPr>
                <w:sz w:val="20"/>
              </w:rPr>
              <w:t>UN Women; UNICEF; UNFPA; DESA; OHCHR</w:t>
            </w:r>
          </w:p>
          <w:p w14:paraId="3B9368BD" w14:textId="77777777" w:rsidR="000401F6" w:rsidRDefault="000401F6" w:rsidP="000401F6">
            <w:pPr>
              <w:pStyle w:val="ListParagraph"/>
              <w:ind w:left="0"/>
              <w:contextualSpacing w:val="0"/>
              <w:jc w:val="both"/>
              <w:rPr>
                <w:b/>
                <w:sz w:val="20"/>
              </w:rPr>
            </w:pPr>
          </w:p>
        </w:tc>
        <w:tc>
          <w:tcPr>
            <w:tcW w:w="2294" w:type="dxa"/>
            <w:tcBorders>
              <w:top w:val="double" w:sz="4" w:space="0" w:color="auto"/>
              <w:left w:val="double" w:sz="4" w:space="0" w:color="auto"/>
              <w:bottom w:val="double" w:sz="4" w:space="0" w:color="auto"/>
            </w:tcBorders>
          </w:tcPr>
          <w:p w14:paraId="2125F04E" w14:textId="492FFAD0" w:rsidR="000401F6" w:rsidRDefault="00F06BE2" w:rsidP="000401F6">
            <w:r>
              <w:rPr>
                <w:sz w:val="20"/>
              </w:rPr>
              <w:t xml:space="preserve">Women Enabled International; Women’s Refugee Commission; CBM; the International Disability Alliance; CREA; WaterAid; </w:t>
            </w:r>
            <w:proofErr w:type="spellStart"/>
            <w:r>
              <w:rPr>
                <w:sz w:val="20"/>
              </w:rPr>
              <w:t>Sightsavers</w:t>
            </w:r>
            <w:proofErr w:type="spellEnd"/>
            <w:r>
              <w:rPr>
                <w:sz w:val="20"/>
              </w:rPr>
              <w:t xml:space="preserve">; </w:t>
            </w:r>
            <w:r w:rsidR="00A355C4">
              <w:rPr>
                <w:sz w:val="20"/>
              </w:rPr>
              <w:t xml:space="preserve">and </w:t>
            </w:r>
            <w:r w:rsidR="00A355C4">
              <w:rPr>
                <w:rFonts w:eastAsia="Calibri"/>
                <w:szCs w:val="24"/>
              </w:rPr>
              <w:t>International Women’s Rights Action Watch – Asia Pacific</w:t>
            </w:r>
          </w:p>
        </w:tc>
      </w:tr>
    </w:tbl>
    <w:p w14:paraId="2DD03EE9" w14:textId="77777777" w:rsidR="002D596D" w:rsidRDefault="002D596D" w:rsidP="002D596D">
      <w:pPr>
        <w:spacing w:after="0" w:line="240" w:lineRule="auto"/>
        <w:jc w:val="both"/>
        <w:rPr>
          <w:sz w:val="20"/>
        </w:rPr>
      </w:pPr>
    </w:p>
    <w:p w14:paraId="0837A6FC" w14:textId="20B80910" w:rsidR="002D596D" w:rsidRDefault="002D596D" w:rsidP="002D596D">
      <w:pPr>
        <w:spacing w:after="0" w:line="240" w:lineRule="auto"/>
        <w:jc w:val="both"/>
        <w:rPr>
          <w:sz w:val="20"/>
        </w:rPr>
      </w:pPr>
    </w:p>
    <w:p w14:paraId="4F40815B" w14:textId="014AAE4B" w:rsidR="00A87B2C" w:rsidRDefault="00783FA8" w:rsidP="007E7209">
      <w:pPr>
        <w:pStyle w:val="ListParagraph"/>
        <w:numPr>
          <w:ilvl w:val="0"/>
          <w:numId w:val="4"/>
        </w:numPr>
        <w:spacing w:after="0" w:line="240" w:lineRule="auto"/>
        <w:jc w:val="both"/>
        <w:rPr>
          <w:sz w:val="20"/>
        </w:rPr>
      </w:pPr>
      <w:r>
        <w:rPr>
          <w:sz w:val="20"/>
        </w:rPr>
        <w:t xml:space="preserve">Civil </w:t>
      </w:r>
      <w:r w:rsidR="00211126">
        <w:rPr>
          <w:sz w:val="20"/>
        </w:rPr>
        <w:t>Society</w:t>
      </w:r>
      <w:r>
        <w:rPr>
          <w:sz w:val="20"/>
        </w:rPr>
        <w:t xml:space="preserve"> Advisory Group Meetings – UN Women is responsible for convening these meetings, </w:t>
      </w:r>
      <w:r w:rsidR="00211126">
        <w:rPr>
          <w:sz w:val="20"/>
        </w:rPr>
        <w:t>circulating meetings</w:t>
      </w:r>
    </w:p>
    <w:p w14:paraId="290D1C02" w14:textId="5C2B1D34" w:rsidR="00211126" w:rsidRDefault="00211126" w:rsidP="007E7209">
      <w:pPr>
        <w:pStyle w:val="ListParagraph"/>
        <w:numPr>
          <w:ilvl w:val="0"/>
          <w:numId w:val="4"/>
        </w:numPr>
        <w:spacing w:after="0" w:line="240" w:lineRule="auto"/>
        <w:jc w:val="both"/>
        <w:rPr>
          <w:sz w:val="20"/>
        </w:rPr>
      </w:pPr>
      <w:r>
        <w:rPr>
          <w:sz w:val="20"/>
        </w:rPr>
        <w:t xml:space="preserve">Consultations with Civil Society Advisory Group – UN Women is responsible to circulating and consolidating meetings </w:t>
      </w:r>
    </w:p>
    <w:p w14:paraId="7D0C3C7D" w14:textId="4DAC61DF" w:rsidR="00211126" w:rsidRDefault="00211126" w:rsidP="007E7209">
      <w:pPr>
        <w:pStyle w:val="ListParagraph"/>
        <w:numPr>
          <w:ilvl w:val="0"/>
          <w:numId w:val="4"/>
        </w:numPr>
        <w:spacing w:after="0" w:line="240" w:lineRule="auto"/>
        <w:jc w:val="both"/>
        <w:rPr>
          <w:sz w:val="20"/>
        </w:rPr>
      </w:pPr>
      <w:r>
        <w:rPr>
          <w:sz w:val="20"/>
        </w:rPr>
        <w:t xml:space="preserve">Inter-agency meetings – UN Women, UNICEF, UNFPA, OHCHR and UNDESA will rotate the responsibility of convening </w:t>
      </w:r>
    </w:p>
    <w:p w14:paraId="4EEB9A72" w14:textId="1AA1B934" w:rsidR="00211126" w:rsidRPr="005C22F7" w:rsidRDefault="00211126" w:rsidP="007E7209">
      <w:pPr>
        <w:pStyle w:val="ListParagraph"/>
        <w:numPr>
          <w:ilvl w:val="0"/>
          <w:numId w:val="4"/>
        </w:numPr>
        <w:spacing w:after="0" w:line="240" w:lineRule="auto"/>
        <w:jc w:val="both"/>
        <w:rPr>
          <w:sz w:val="20"/>
        </w:rPr>
      </w:pPr>
      <w:r>
        <w:rPr>
          <w:sz w:val="20"/>
        </w:rPr>
        <w:t xml:space="preserve">Consultant – UN Women is responsible for administering budget for the international consultant. Their work will be </w:t>
      </w:r>
      <w:r w:rsidR="00E24B2C">
        <w:rPr>
          <w:sz w:val="20"/>
        </w:rPr>
        <w:t>reviewed,</w:t>
      </w:r>
      <w:r>
        <w:rPr>
          <w:sz w:val="20"/>
        </w:rPr>
        <w:t xml:space="preserve"> </w:t>
      </w:r>
      <w:r w:rsidR="005C22F7">
        <w:rPr>
          <w:sz w:val="20"/>
        </w:rPr>
        <w:t>and gu</w:t>
      </w:r>
      <w:r w:rsidR="00E24B2C">
        <w:rPr>
          <w:sz w:val="20"/>
        </w:rPr>
        <w:t xml:space="preserve">idance will be provided </w:t>
      </w:r>
      <w:r>
        <w:rPr>
          <w:sz w:val="20"/>
        </w:rPr>
        <w:t>by the core UN agencies involved</w:t>
      </w:r>
      <w:r w:rsidR="00E24B2C">
        <w:rPr>
          <w:sz w:val="20"/>
        </w:rPr>
        <w:t xml:space="preserve">. </w:t>
      </w:r>
    </w:p>
    <w:p w14:paraId="6412F908" w14:textId="77777777" w:rsidR="00211126" w:rsidRPr="00A87B2C" w:rsidRDefault="00211126" w:rsidP="00211126">
      <w:pPr>
        <w:pStyle w:val="ListParagraph"/>
        <w:spacing w:after="0" w:line="240" w:lineRule="auto"/>
        <w:jc w:val="both"/>
        <w:rPr>
          <w:sz w:val="20"/>
        </w:rPr>
      </w:pPr>
    </w:p>
    <w:p w14:paraId="226554BE" w14:textId="77777777" w:rsidR="00F66AC2" w:rsidRPr="005C52C0" w:rsidRDefault="00CE32D7" w:rsidP="00F66AC2">
      <w:pPr>
        <w:pStyle w:val="Heading1"/>
      </w:pPr>
      <w:r>
        <w:t>7</w:t>
      </w:r>
      <w:r w:rsidR="002D0888">
        <w:t xml:space="preserve">. </w:t>
      </w:r>
      <w:r w:rsidR="00F66AC2">
        <w:t>Risk</w:t>
      </w:r>
      <w:r w:rsidR="00F66AC2" w:rsidRPr="005C52C0">
        <w:t xml:space="preserve"> Management</w:t>
      </w:r>
    </w:p>
    <w:p w14:paraId="6579E029" w14:textId="77777777" w:rsidR="00C2722E" w:rsidRDefault="00C2722E" w:rsidP="00F66AC2">
      <w:pPr>
        <w:spacing w:after="0"/>
        <w:jc w:val="both"/>
        <w:rPr>
          <w:b/>
          <w:color w:val="000000" w:themeColor="text1"/>
          <w:sz w:val="20"/>
        </w:rPr>
      </w:pPr>
    </w:p>
    <w:tbl>
      <w:tblPr>
        <w:tblStyle w:val="TableGrid"/>
        <w:tblW w:w="9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Risk Managment Strategy"/>
      </w:tblPr>
      <w:tblGrid>
        <w:gridCol w:w="2142"/>
        <w:gridCol w:w="1700"/>
        <w:gridCol w:w="1211"/>
        <w:gridCol w:w="1792"/>
        <w:gridCol w:w="1503"/>
        <w:gridCol w:w="1527"/>
      </w:tblGrid>
      <w:tr w:rsidR="00F66AC2" w14:paraId="487C3A86" w14:textId="77777777" w:rsidTr="00FD7DDE">
        <w:trPr>
          <w:tblHeader/>
        </w:trPr>
        <w:tc>
          <w:tcPr>
            <w:tcW w:w="2142" w:type="dxa"/>
            <w:shd w:val="clear" w:color="auto" w:fill="D9D9D9" w:themeFill="background1" w:themeFillShade="D9"/>
          </w:tcPr>
          <w:p w14:paraId="0F997571" w14:textId="77777777" w:rsidR="00F66AC2" w:rsidRPr="00EE06B6" w:rsidRDefault="00F66AC2" w:rsidP="004A5E9B">
            <w:pPr>
              <w:jc w:val="both"/>
              <w:rPr>
                <w:b/>
                <w:i/>
                <w:color w:val="000000" w:themeColor="text1"/>
                <w:sz w:val="20"/>
              </w:rPr>
            </w:pPr>
            <w:r w:rsidRPr="00EE06B6">
              <w:rPr>
                <w:b/>
                <w:i/>
                <w:color w:val="000000" w:themeColor="text1"/>
                <w:sz w:val="20"/>
              </w:rPr>
              <w:lastRenderedPageBreak/>
              <w:t>Type of risk*</w:t>
            </w:r>
          </w:p>
          <w:p w14:paraId="0D3B1CC9" w14:textId="77777777" w:rsidR="00F66AC2" w:rsidRPr="00EE06B6" w:rsidRDefault="00F66AC2" w:rsidP="00285A35">
            <w:pPr>
              <w:jc w:val="both"/>
              <w:rPr>
                <w:i/>
                <w:color w:val="000000" w:themeColor="text1"/>
                <w:sz w:val="20"/>
              </w:rPr>
            </w:pPr>
            <w:r w:rsidRPr="00EE06B6">
              <w:rPr>
                <w:b/>
                <w:i/>
                <w:color w:val="000000" w:themeColor="text1"/>
                <w:sz w:val="20"/>
              </w:rPr>
              <w:t>(contextual</w:t>
            </w:r>
            <w:r w:rsidR="00285A35" w:rsidRPr="00EE06B6">
              <w:rPr>
                <w:b/>
                <w:i/>
                <w:color w:val="000000" w:themeColor="text1"/>
                <w:sz w:val="20"/>
              </w:rPr>
              <w:t xml:space="preserve">, </w:t>
            </w:r>
            <w:r w:rsidRPr="00EE06B6">
              <w:rPr>
                <w:b/>
                <w:i/>
                <w:color w:val="000000" w:themeColor="text1"/>
                <w:sz w:val="20"/>
              </w:rPr>
              <w:t>programmatic, institutional)</w:t>
            </w:r>
          </w:p>
        </w:tc>
        <w:tc>
          <w:tcPr>
            <w:tcW w:w="1700" w:type="dxa"/>
            <w:shd w:val="clear" w:color="auto" w:fill="D9D9D9" w:themeFill="background1" w:themeFillShade="D9"/>
          </w:tcPr>
          <w:p w14:paraId="2FCC0F5B" w14:textId="77777777" w:rsidR="00F66AC2" w:rsidRPr="00EE06B6" w:rsidRDefault="00F66AC2" w:rsidP="004A5E9B">
            <w:pPr>
              <w:jc w:val="center"/>
              <w:rPr>
                <w:b/>
                <w:i/>
                <w:color w:val="000000" w:themeColor="text1"/>
                <w:sz w:val="20"/>
              </w:rPr>
            </w:pPr>
            <w:r w:rsidRPr="00EE06B6">
              <w:rPr>
                <w:b/>
                <w:i/>
                <w:color w:val="000000" w:themeColor="text1"/>
                <w:sz w:val="20"/>
              </w:rPr>
              <w:t>Risk</w:t>
            </w:r>
          </w:p>
        </w:tc>
        <w:tc>
          <w:tcPr>
            <w:tcW w:w="1211" w:type="dxa"/>
            <w:shd w:val="clear" w:color="auto" w:fill="D9D9D9" w:themeFill="background1" w:themeFillShade="D9"/>
          </w:tcPr>
          <w:p w14:paraId="4275E2B6" w14:textId="77777777" w:rsidR="00F66AC2" w:rsidRPr="00EE06B6" w:rsidRDefault="00F66AC2" w:rsidP="00F31637">
            <w:pPr>
              <w:jc w:val="both"/>
              <w:rPr>
                <w:b/>
                <w:i/>
                <w:color w:val="000000" w:themeColor="text1"/>
                <w:sz w:val="20"/>
              </w:rPr>
            </w:pPr>
            <w:r w:rsidRPr="00EE06B6">
              <w:rPr>
                <w:b/>
                <w:i/>
                <w:color w:val="000000" w:themeColor="text1"/>
                <w:sz w:val="20"/>
              </w:rPr>
              <w:t xml:space="preserve">Likelihood </w:t>
            </w:r>
          </w:p>
          <w:p w14:paraId="3F8732FD" w14:textId="77777777" w:rsidR="00F31637" w:rsidRPr="00EE06B6" w:rsidRDefault="00F31637" w:rsidP="00F31637">
            <w:pPr>
              <w:jc w:val="both"/>
              <w:rPr>
                <w:b/>
                <w:i/>
                <w:color w:val="000000" w:themeColor="text1"/>
                <w:sz w:val="20"/>
              </w:rPr>
            </w:pPr>
            <w:r w:rsidRPr="00EE06B6">
              <w:rPr>
                <w:b/>
                <w:i/>
                <w:color w:val="000000" w:themeColor="text1"/>
                <w:sz w:val="20"/>
              </w:rPr>
              <w:t>(Low, Moderate, High)</w:t>
            </w:r>
          </w:p>
        </w:tc>
        <w:tc>
          <w:tcPr>
            <w:tcW w:w="1792" w:type="dxa"/>
            <w:shd w:val="clear" w:color="auto" w:fill="D9D9D9" w:themeFill="background1" w:themeFillShade="D9"/>
          </w:tcPr>
          <w:p w14:paraId="40BBE9B4" w14:textId="77777777" w:rsidR="00F66AC2" w:rsidRPr="00EE06B6" w:rsidRDefault="00F66AC2" w:rsidP="004A5E9B">
            <w:pPr>
              <w:jc w:val="both"/>
              <w:rPr>
                <w:b/>
                <w:i/>
                <w:color w:val="000000" w:themeColor="text1"/>
                <w:sz w:val="20"/>
              </w:rPr>
            </w:pPr>
            <w:r w:rsidRPr="00EE06B6">
              <w:rPr>
                <w:b/>
                <w:i/>
                <w:color w:val="000000" w:themeColor="text1"/>
                <w:sz w:val="20"/>
              </w:rPr>
              <w:t>Impact on result</w:t>
            </w:r>
          </w:p>
          <w:p w14:paraId="04017769" w14:textId="77777777" w:rsidR="00F31637" w:rsidRPr="00EE06B6" w:rsidRDefault="00F31637" w:rsidP="004A5E9B">
            <w:pPr>
              <w:jc w:val="both"/>
              <w:rPr>
                <w:i/>
                <w:color w:val="000000" w:themeColor="text1"/>
                <w:sz w:val="20"/>
              </w:rPr>
            </w:pPr>
            <w:r w:rsidRPr="00EE06B6">
              <w:rPr>
                <w:b/>
                <w:i/>
                <w:color w:val="000000" w:themeColor="text1"/>
                <w:sz w:val="20"/>
              </w:rPr>
              <w:t>(Low, Moderate, High)</w:t>
            </w:r>
          </w:p>
        </w:tc>
        <w:tc>
          <w:tcPr>
            <w:tcW w:w="1503" w:type="dxa"/>
            <w:shd w:val="clear" w:color="auto" w:fill="D9D9D9" w:themeFill="background1" w:themeFillShade="D9"/>
          </w:tcPr>
          <w:p w14:paraId="474EA287" w14:textId="77777777" w:rsidR="00F66AC2" w:rsidRPr="00EE06B6" w:rsidRDefault="00E53BAD" w:rsidP="004A5E9B">
            <w:pPr>
              <w:jc w:val="both"/>
              <w:rPr>
                <w:i/>
                <w:color w:val="000000" w:themeColor="text1"/>
                <w:sz w:val="20"/>
              </w:rPr>
            </w:pPr>
            <w:r w:rsidRPr="00EE06B6">
              <w:rPr>
                <w:b/>
                <w:i/>
                <w:color w:val="000000" w:themeColor="text1"/>
                <w:sz w:val="20"/>
              </w:rPr>
              <w:t xml:space="preserve">Risk </w:t>
            </w:r>
            <w:r w:rsidR="00F66AC2" w:rsidRPr="00EE06B6">
              <w:rPr>
                <w:b/>
                <w:i/>
                <w:color w:val="000000" w:themeColor="text1"/>
                <w:sz w:val="20"/>
              </w:rPr>
              <w:t>Mitigation strategies</w:t>
            </w:r>
          </w:p>
        </w:tc>
        <w:tc>
          <w:tcPr>
            <w:tcW w:w="1527" w:type="dxa"/>
            <w:shd w:val="clear" w:color="auto" w:fill="D9D9D9" w:themeFill="background1" w:themeFillShade="D9"/>
          </w:tcPr>
          <w:p w14:paraId="2EBDF567" w14:textId="77777777" w:rsidR="00F66AC2" w:rsidRPr="00EE06B6" w:rsidRDefault="00E53BAD" w:rsidP="00350DCE">
            <w:pPr>
              <w:jc w:val="both"/>
              <w:rPr>
                <w:i/>
                <w:color w:val="000000" w:themeColor="text1"/>
                <w:sz w:val="20"/>
              </w:rPr>
            </w:pPr>
            <w:r w:rsidRPr="00EE06B6">
              <w:rPr>
                <w:b/>
                <w:i/>
                <w:color w:val="000000" w:themeColor="text1"/>
                <w:sz w:val="20"/>
              </w:rPr>
              <w:t>Re</w:t>
            </w:r>
            <w:r w:rsidR="00B24801" w:rsidRPr="00EE06B6">
              <w:rPr>
                <w:b/>
                <w:i/>
                <w:color w:val="000000" w:themeColor="text1"/>
                <w:sz w:val="20"/>
              </w:rPr>
              <w:t xml:space="preserve">sponsible entity </w:t>
            </w:r>
            <w:r w:rsidRPr="00EE06B6">
              <w:rPr>
                <w:b/>
                <w:i/>
                <w:color w:val="000000" w:themeColor="text1"/>
                <w:sz w:val="20"/>
              </w:rPr>
              <w:t>for Risk treatment</w:t>
            </w:r>
          </w:p>
        </w:tc>
      </w:tr>
      <w:tr w:rsidR="00F66AC2" w14:paraId="151FE0FD" w14:textId="77777777" w:rsidTr="00FD7DDE">
        <w:tc>
          <w:tcPr>
            <w:tcW w:w="2142" w:type="dxa"/>
          </w:tcPr>
          <w:p w14:paraId="60DDF2CE" w14:textId="5DE17681" w:rsidR="00F66AC2" w:rsidRPr="005C52C0" w:rsidRDefault="000C50DE" w:rsidP="004A5E9B">
            <w:pPr>
              <w:jc w:val="both"/>
              <w:rPr>
                <w:b/>
                <w:i/>
                <w:sz w:val="20"/>
              </w:rPr>
            </w:pPr>
            <w:r>
              <w:rPr>
                <w:b/>
                <w:i/>
                <w:sz w:val="20"/>
              </w:rPr>
              <w:t xml:space="preserve">Contextual </w:t>
            </w:r>
          </w:p>
          <w:p w14:paraId="3DB8B7A8" w14:textId="77777777" w:rsidR="00F66AC2" w:rsidRDefault="00F66AC2" w:rsidP="004A5E9B">
            <w:pPr>
              <w:jc w:val="both"/>
              <w:rPr>
                <w:i/>
                <w:sz w:val="20"/>
              </w:rPr>
            </w:pPr>
          </w:p>
        </w:tc>
        <w:tc>
          <w:tcPr>
            <w:tcW w:w="1700" w:type="dxa"/>
          </w:tcPr>
          <w:p w14:paraId="726A744E" w14:textId="399385DE" w:rsidR="00F66AC2" w:rsidRPr="000C5EA2" w:rsidRDefault="000C50DE" w:rsidP="004A5E9B">
            <w:pPr>
              <w:jc w:val="both"/>
              <w:rPr>
                <w:b/>
                <w:i/>
                <w:sz w:val="20"/>
              </w:rPr>
            </w:pPr>
            <w:r>
              <w:rPr>
                <w:b/>
                <w:i/>
                <w:sz w:val="20"/>
              </w:rPr>
              <w:t xml:space="preserve">The guidance is developed </w:t>
            </w:r>
            <w:r w:rsidR="00366CFB">
              <w:rPr>
                <w:b/>
                <w:i/>
                <w:sz w:val="20"/>
              </w:rPr>
              <w:t>without meaningfully engaging with civil society organizations rendering it pres</w:t>
            </w:r>
            <w:r w:rsidR="005078EE">
              <w:rPr>
                <w:b/>
                <w:i/>
                <w:sz w:val="20"/>
              </w:rPr>
              <w:t xml:space="preserve">criptive </w:t>
            </w:r>
          </w:p>
          <w:p w14:paraId="78FCD117" w14:textId="77777777" w:rsidR="00F66AC2" w:rsidRPr="005C52C0" w:rsidRDefault="00F66AC2" w:rsidP="004A5E9B">
            <w:pPr>
              <w:jc w:val="both"/>
              <w:rPr>
                <w:b/>
                <w:i/>
                <w:sz w:val="20"/>
              </w:rPr>
            </w:pPr>
          </w:p>
        </w:tc>
        <w:tc>
          <w:tcPr>
            <w:tcW w:w="1211" w:type="dxa"/>
          </w:tcPr>
          <w:p w14:paraId="15EE49D5" w14:textId="758B9BC1" w:rsidR="00F66AC2" w:rsidRPr="005C52C0" w:rsidRDefault="005078EE" w:rsidP="004A5E9B">
            <w:pPr>
              <w:jc w:val="both"/>
              <w:rPr>
                <w:b/>
                <w:i/>
                <w:sz w:val="20"/>
              </w:rPr>
            </w:pPr>
            <w:r>
              <w:rPr>
                <w:b/>
                <w:i/>
                <w:sz w:val="20"/>
              </w:rPr>
              <w:t xml:space="preserve">Low </w:t>
            </w:r>
          </w:p>
          <w:p w14:paraId="71932833" w14:textId="77777777" w:rsidR="00F66AC2" w:rsidRDefault="00F66AC2" w:rsidP="004A5E9B">
            <w:pPr>
              <w:jc w:val="both"/>
              <w:rPr>
                <w:i/>
                <w:sz w:val="20"/>
              </w:rPr>
            </w:pPr>
          </w:p>
        </w:tc>
        <w:tc>
          <w:tcPr>
            <w:tcW w:w="1792" w:type="dxa"/>
          </w:tcPr>
          <w:p w14:paraId="357A12BB" w14:textId="370D0675" w:rsidR="00F66AC2" w:rsidRPr="005C52C0" w:rsidRDefault="005078EE" w:rsidP="004A5E9B">
            <w:pPr>
              <w:jc w:val="both"/>
              <w:rPr>
                <w:b/>
                <w:i/>
                <w:sz w:val="20"/>
              </w:rPr>
            </w:pPr>
            <w:r>
              <w:rPr>
                <w:b/>
                <w:i/>
                <w:sz w:val="20"/>
              </w:rPr>
              <w:t xml:space="preserve">Moderate </w:t>
            </w:r>
          </w:p>
          <w:p w14:paraId="272D607C" w14:textId="77777777" w:rsidR="00F66AC2" w:rsidRDefault="00F66AC2" w:rsidP="004A5E9B">
            <w:pPr>
              <w:jc w:val="both"/>
              <w:rPr>
                <w:i/>
                <w:sz w:val="20"/>
              </w:rPr>
            </w:pPr>
          </w:p>
        </w:tc>
        <w:tc>
          <w:tcPr>
            <w:tcW w:w="1503" w:type="dxa"/>
          </w:tcPr>
          <w:p w14:paraId="12DB32A4" w14:textId="0019D479" w:rsidR="00F66AC2" w:rsidRPr="005C52C0" w:rsidRDefault="000218C2" w:rsidP="004A5E9B">
            <w:pPr>
              <w:jc w:val="both"/>
              <w:rPr>
                <w:b/>
                <w:i/>
                <w:sz w:val="20"/>
              </w:rPr>
            </w:pPr>
            <w:r>
              <w:rPr>
                <w:b/>
                <w:i/>
                <w:sz w:val="20"/>
              </w:rPr>
              <w:t xml:space="preserve">Actively engage with </w:t>
            </w:r>
            <w:r w:rsidR="004913F1">
              <w:rPr>
                <w:b/>
                <w:i/>
                <w:sz w:val="20"/>
              </w:rPr>
              <w:t xml:space="preserve">civil society advisory group and their regional and national networks </w:t>
            </w:r>
          </w:p>
          <w:p w14:paraId="7E327CE4" w14:textId="77777777" w:rsidR="00F66AC2" w:rsidRDefault="00F66AC2" w:rsidP="004A5E9B">
            <w:pPr>
              <w:jc w:val="both"/>
              <w:rPr>
                <w:i/>
                <w:sz w:val="20"/>
              </w:rPr>
            </w:pPr>
          </w:p>
        </w:tc>
        <w:tc>
          <w:tcPr>
            <w:tcW w:w="1527" w:type="dxa"/>
          </w:tcPr>
          <w:p w14:paraId="71EE2352" w14:textId="4925ADB9" w:rsidR="00F66AC2" w:rsidRPr="005C52C0" w:rsidRDefault="004913F1" w:rsidP="004A5E9B">
            <w:pPr>
              <w:jc w:val="both"/>
              <w:rPr>
                <w:b/>
                <w:i/>
                <w:sz w:val="20"/>
              </w:rPr>
            </w:pPr>
            <w:r>
              <w:rPr>
                <w:b/>
                <w:i/>
                <w:sz w:val="20"/>
              </w:rPr>
              <w:t xml:space="preserve">UN Women; UNICEF; UNFPA; DESA; OHCHR </w:t>
            </w:r>
          </w:p>
          <w:p w14:paraId="57CE0197" w14:textId="77777777" w:rsidR="00F66AC2" w:rsidRDefault="00F66AC2" w:rsidP="004A5E9B">
            <w:pPr>
              <w:jc w:val="both"/>
              <w:rPr>
                <w:i/>
                <w:sz w:val="20"/>
              </w:rPr>
            </w:pPr>
          </w:p>
        </w:tc>
      </w:tr>
      <w:tr w:rsidR="00584635" w14:paraId="1613817E" w14:textId="77777777" w:rsidTr="00FD7DDE">
        <w:tc>
          <w:tcPr>
            <w:tcW w:w="2142" w:type="dxa"/>
          </w:tcPr>
          <w:p w14:paraId="274BC7FE" w14:textId="062FE5C2" w:rsidR="00584635" w:rsidRDefault="00697DC6" w:rsidP="00584635">
            <w:pPr>
              <w:jc w:val="both"/>
              <w:rPr>
                <w:b/>
                <w:i/>
                <w:sz w:val="20"/>
              </w:rPr>
            </w:pPr>
            <w:r>
              <w:rPr>
                <w:b/>
                <w:i/>
                <w:sz w:val="20"/>
              </w:rPr>
              <w:t xml:space="preserve">Contextual </w:t>
            </w:r>
          </w:p>
        </w:tc>
        <w:tc>
          <w:tcPr>
            <w:tcW w:w="1700" w:type="dxa"/>
          </w:tcPr>
          <w:p w14:paraId="21442D66" w14:textId="08886416" w:rsidR="00584635" w:rsidRDefault="00584635" w:rsidP="00584635">
            <w:pPr>
              <w:jc w:val="both"/>
              <w:rPr>
                <w:b/>
                <w:i/>
                <w:sz w:val="20"/>
              </w:rPr>
            </w:pPr>
            <w:r w:rsidRPr="006E2887">
              <w:rPr>
                <w:b/>
                <w:i/>
                <w:sz w:val="20"/>
              </w:rPr>
              <w:t xml:space="preserve">Not getting enough participation in the consultation process from </w:t>
            </w:r>
            <w:r w:rsidR="00FD7DDE">
              <w:rPr>
                <w:b/>
                <w:i/>
                <w:sz w:val="20"/>
              </w:rPr>
              <w:t>DPOs</w:t>
            </w:r>
            <w:r w:rsidRPr="006E2887">
              <w:rPr>
                <w:b/>
                <w:i/>
                <w:sz w:val="20"/>
              </w:rPr>
              <w:t xml:space="preserve"> particularly those from underrepresented groups on account of the barriers they may face to participation in the process</w:t>
            </w:r>
          </w:p>
        </w:tc>
        <w:tc>
          <w:tcPr>
            <w:tcW w:w="1211" w:type="dxa"/>
          </w:tcPr>
          <w:p w14:paraId="4F8E5887" w14:textId="4E8D1FE9" w:rsidR="00584635" w:rsidRDefault="00584635" w:rsidP="00584635">
            <w:pPr>
              <w:jc w:val="both"/>
              <w:rPr>
                <w:b/>
                <w:i/>
                <w:sz w:val="20"/>
              </w:rPr>
            </w:pPr>
            <w:r>
              <w:rPr>
                <w:b/>
                <w:i/>
                <w:sz w:val="20"/>
              </w:rPr>
              <w:t>Moderate</w:t>
            </w:r>
          </w:p>
        </w:tc>
        <w:tc>
          <w:tcPr>
            <w:tcW w:w="1792" w:type="dxa"/>
          </w:tcPr>
          <w:p w14:paraId="22E70EE8" w14:textId="69CD7CFF" w:rsidR="00584635" w:rsidRDefault="00584635" w:rsidP="00584635">
            <w:pPr>
              <w:jc w:val="both"/>
              <w:rPr>
                <w:b/>
                <w:i/>
                <w:sz w:val="20"/>
              </w:rPr>
            </w:pPr>
            <w:r>
              <w:rPr>
                <w:b/>
                <w:i/>
                <w:sz w:val="20"/>
              </w:rPr>
              <w:t xml:space="preserve">High </w:t>
            </w:r>
          </w:p>
        </w:tc>
        <w:tc>
          <w:tcPr>
            <w:tcW w:w="1503" w:type="dxa"/>
          </w:tcPr>
          <w:p w14:paraId="1533A849" w14:textId="75C6FA61" w:rsidR="00584635" w:rsidRDefault="00584635" w:rsidP="00584635">
            <w:pPr>
              <w:jc w:val="both"/>
              <w:rPr>
                <w:b/>
                <w:i/>
                <w:sz w:val="20"/>
              </w:rPr>
            </w:pPr>
            <w:r w:rsidRPr="007E14AA">
              <w:rPr>
                <w:b/>
                <w:i/>
                <w:color w:val="000000" w:themeColor="text1"/>
                <w:sz w:val="20"/>
              </w:rPr>
              <w:t xml:space="preserve">Ensuring various methods of communication by the consultant who is undertaking the study and consultations and ensuring materials regarding any calls are in plain language, easy read formats etc. </w:t>
            </w:r>
          </w:p>
        </w:tc>
        <w:tc>
          <w:tcPr>
            <w:tcW w:w="1527" w:type="dxa"/>
          </w:tcPr>
          <w:p w14:paraId="67E155CE" w14:textId="77777777" w:rsidR="001B3723" w:rsidRPr="005C52C0" w:rsidRDefault="001B3723" w:rsidP="001B3723">
            <w:pPr>
              <w:jc w:val="both"/>
              <w:rPr>
                <w:b/>
                <w:i/>
                <w:sz w:val="20"/>
              </w:rPr>
            </w:pPr>
            <w:r>
              <w:rPr>
                <w:b/>
                <w:i/>
                <w:sz w:val="20"/>
              </w:rPr>
              <w:t xml:space="preserve">UN Women; UNICEF; UNFPA; DESA; OHCHR </w:t>
            </w:r>
          </w:p>
          <w:p w14:paraId="79CBAF5D" w14:textId="77777777" w:rsidR="00584635" w:rsidRDefault="00584635" w:rsidP="00584635">
            <w:pPr>
              <w:jc w:val="both"/>
              <w:rPr>
                <w:b/>
                <w:i/>
                <w:sz w:val="20"/>
              </w:rPr>
            </w:pPr>
          </w:p>
        </w:tc>
      </w:tr>
      <w:tr w:rsidR="00584635" w14:paraId="4B0D5F6E" w14:textId="77777777" w:rsidTr="00FD7DDE">
        <w:tc>
          <w:tcPr>
            <w:tcW w:w="2142" w:type="dxa"/>
          </w:tcPr>
          <w:p w14:paraId="0307094E" w14:textId="69DFF86E" w:rsidR="00584635" w:rsidRPr="005C52C0" w:rsidRDefault="00584635" w:rsidP="00584635">
            <w:pPr>
              <w:jc w:val="both"/>
              <w:rPr>
                <w:b/>
                <w:i/>
                <w:sz w:val="20"/>
              </w:rPr>
            </w:pPr>
            <w:r>
              <w:rPr>
                <w:b/>
                <w:i/>
                <w:sz w:val="20"/>
              </w:rPr>
              <w:t xml:space="preserve">Institutional </w:t>
            </w:r>
          </w:p>
          <w:p w14:paraId="3FFC9C13" w14:textId="77777777" w:rsidR="00584635" w:rsidRDefault="00584635" w:rsidP="00584635">
            <w:pPr>
              <w:jc w:val="both"/>
              <w:rPr>
                <w:i/>
                <w:sz w:val="20"/>
              </w:rPr>
            </w:pPr>
          </w:p>
        </w:tc>
        <w:tc>
          <w:tcPr>
            <w:tcW w:w="1700" w:type="dxa"/>
          </w:tcPr>
          <w:p w14:paraId="64446DC6" w14:textId="1A472F2E" w:rsidR="00584635" w:rsidRPr="005C52C0" w:rsidRDefault="00584635" w:rsidP="00584635">
            <w:pPr>
              <w:jc w:val="both"/>
              <w:rPr>
                <w:b/>
                <w:i/>
                <w:sz w:val="20"/>
              </w:rPr>
            </w:pPr>
            <w:r>
              <w:rPr>
                <w:b/>
                <w:i/>
                <w:sz w:val="20"/>
              </w:rPr>
              <w:t xml:space="preserve">Duplication of efforts within the UN System and civil society </w:t>
            </w:r>
          </w:p>
        </w:tc>
        <w:tc>
          <w:tcPr>
            <w:tcW w:w="1211" w:type="dxa"/>
          </w:tcPr>
          <w:p w14:paraId="30343D7E" w14:textId="7E64CAB6" w:rsidR="00584635" w:rsidRPr="005C52C0" w:rsidRDefault="00584635" w:rsidP="00584635">
            <w:pPr>
              <w:jc w:val="both"/>
              <w:rPr>
                <w:b/>
                <w:i/>
                <w:sz w:val="20"/>
              </w:rPr>
            </w:pPr>
            <w:r>
              <w:rPr>
                <w:b/>
                <w:i/>
                <w:sz w:val="20"/>
              </w:rPr>
              <w:t xml:space="preserve">Moderate </w:t>
            </w:r>
          </w:p>
          <w:p w14:paraId="5F27C837" w14:textId="77777777" w:rsidR="00584635" w:rsidRDefault="00584635" w:rsidP="00584635">
            <w:pPr>
              <w:jc w:val="both"/>
              <w:rPr>
                <w:i/>
                <w:sz w:val="20"/>
              </w:rPr>
            </w:pPr>
          </w:p>
        </w:tc>
        <w:tc>
          <w:tcPr>
            <w:tcW w:w="1792" w:type="dxa"/>
          </w:tcPr>
          <w:p w14:paraId="1438BDB9" w14:textId="4D112868" w:rsidR="00584635" w:rsidRPr="005C52C0" w:rsidRDefault="00584635" w:rsidP="00584635">
            <w:pPr>
              <w:jc w:val="both"/>
              <w:rPr>
                <w:b/>
                <w:i/>
                <w:sz w:val="20"/>
              </w:rPr>
            </w:pPr>
            <w:r>
              <w:rPr>
                <w:b/>
                <w:i/>
                <w:sz w:val="20"/>
              </w:rPr>
              <w:t xml:space="preserve">Moderate </w:t>
            </w:r>
          </w:p>
          <w:p w14:paraId="5FD33095" w14:textId="77777777" w:rsidR="00584635" w:rsidRDefault="00584635" w:rsidP="00584635">
            <w:pPr>
              <w:jc w:val="both"/>
              <w:rPr>
                <w:i/>
                <w:sz w:val="20"/>
              </w:rPr>
            </w:pPr>
          </w:p>
        </w:tc>
        <w:tc>
          <w:tcPr>
            <w:tcW w:w="1503" w:type="dxa"/>
          </w:tcPr>
          <w:p w14:paraId="43FB9DD1" w14:textId="64C089BE" w:rsidR="00584635" w:rsidRPr="005C52C0" w:rsidRDefault="00584635" w:rsidP="00584635">
            <w:pPr>
              <w:jc w:val="both"/>
              <w:rPr>
                <w:b/>
                <w:i/>
                <w:sz w:val="20"/>
              </w:rPr>
            </w:pPr>
            <w:r>
              <w:rPr>
                <w:b/>
                <w:i/>
                <w:sz w:val="20"/>
              </w:rPr>
              <w:t xml:space="preserve">Actively engage with UN agencies and civil society advisory group and their regional as well as inter-agency networks such as the Inter-Agency Network on </w:t>
            </w:r>
            <w:r>
              <w:rPr>
                <w:b/>
                <w:i/>
                <w:sz w:val="20"/>
              </w:rPr>
              <w:lastRenderedPageBreak/>
              <w:t xml:space="preserve">Women and Gender Equality (IANWGE)   </w:t>
            </w:r>
          </w:p>
          <w:p w14:paraId="26E24507" w14:textId="77777777" w:rsidR="00584635" w:rsidRDefault="00584635" w:rsidP="00584635">
            <w:pPr>
              <w:jc w:val="both"/>
              <w:rPr>
                <w:i/>
                <w:sz w:val="20"/>
              </w:rPr>
            </w:pPr>
          </w:p>
        </w:tc>
        <w:tc>
          <w:tcPr>
            <w:tcW w:w="1527" w:type="dxa"/>
          </w:tcPr>
          <w:p w14:paraId="05DCEAA6" w14:textId="77777777" w:rsidR="00584635" w:rsidRPr="005C52C0" w:rsidRDefault="00584635" w:rsidP="00584635">
            <w:pPr>
              <w:jc w:val="both"/>
              <w:rPr>
                <w:b/>
                <w:i/>
                <w:sz w:val="20"/>
              </w:rPr>
            </w:pPr>
            <w:r>
              <w:rPr>
                <w:b/>
                <w:i/>
                <w:sz w:val="20"/>
              </w:rPr>
              <w:lastRenderedPageBreak/>
              <w:t xml:space="preserve">UN Women; UNICEF; UNFPA; DESA; OHCHR </w:t>
            </w:r>
          </w:p>
          <w:p w14:paraId="0A50710B" w14:textId="77777777" w:rsidR="00584635" w:rsidRDefault="00584635" w:rsidP="00584635">
            <w:pPr>
              <w:jc w:val="both"/>
              <w:rPr>
                <w:i/>
                <w:sz w:val="20"/>
              </w:rPr>
            </w:pPr>
          </w:p>
        </w:tc>
      </w:tr>
      <w:tr w:rsidR="00584635" w14:paraId="4A9BC666" w14:textId="77777777" w:rsidTr="00FD7DDE">
        <w:tc>
          <w:tcPr>
            <w:tcW w:w="2142" w:type="dxa"/>
          </w:tcPr>
          <w:p w14:paraId="58F46FEF" w14:textId="245F2277" w:rsidR="00584635" w:rsidRDefault="00584635" w:rsidP="00584635">
            <w:pPr>
              <w:jc w:val="both"/>
              <w:rPr>
                <w:b/>
                <w:i/>
                <w:sz w:val="20"/>
              </w:rPr>
            </w:pPr>
            <w:r>
              <w:rPr>
                <w:b/>
                <w:i/>
                <w:sz w:val="20"/>
              </w:rPr>
              <w:t xml:space="preserve">Institutional </w:t>
            </w:r>
          </w:p>
        </w:tc>
        <w:tc>
          <w:tcPr>
            <w:tcW w:w="1700" w:type="dxa"/>
          </w:tcPr>
          <w:p w14:paraId="3476F725" w14:textId="40D72B85" w:rsidR="00584635" w:rsidRPr="00EE14AD" w:rsidRDefault="00584635" w:rsidP="00584635">
            <w:pPr>
              <w:jc w:val="both"/>
              <w:rPr>
                <w:b/>
                <w:i/>
                <w:sz w:val="20"/>
              </w:rPr>
            </w:pPr>
            <w:r w:rsidRPr="00CE72D8">
              <w:rPr>
                <w:b/>
                <w:i/>
                <w:sz w:val="20"/>
              </w:rPr>
              <w:t xml:space="preserve">Resistance to </w:t>
            </w:r>
            <w:r>
              <w:rPr>
                <w:b/>
                <w:i/>
                <w:sz w:val="20"/>
              </w:rPr>
              <w:t xml:space="preserve">uptake of guidance by UNCTs </w:t>
            </w:r>
          </w:p>
        </w:tc>
        <w:tc>
          <w:tcPr>
            <w:tcW w:w="1211" w:type="dxa"/>
          </w:tcPr>
          <w:p w14:paraId="52F41FAE" w14:textId="7B2CC0F2" w:rsidR="00584635" w:rsidRPr="005C52C0" w:rsidRDefault="00584635" w:rsidP="00584635">
            <w:pPr>
              <w:jc w:val="both"/>
              <w:rPr>
                <w:b/>
                <w:i/>
                <w:sz w:val="20"/>
              </w:rPr>
            </w:pPr>
            <w:r>
              <w:rPr>
                <w:b/>
                <w:i/>
                <w:sz w:val="20"/>
              </w:rPr>
              <w:t xml:space="preserve">Low </w:t>
            </w:r>
          </w:p>
        </w:tc>
        <w:tc>
          <w:tcPr>
            <w:tcW w:w="1792" w:type="dxa"/>
          </w:tcPr>
          <w:p w14:paraId="7A703CDC" w14:textId="2134350D" w:rsidR="00584635" w:rsidRPr="005C52C0" w:rsidRDefault="00584635" w:rsidP="00584635">
            <w:pPr>
              <w:jc w:val="both"/>
              <w:rPr>
                <w:b/>
                <w:i/>
                <w:sz w:val="20"/>
              </w:rPr>
            </w:pPr>
            <w:r>
              <w:rPr>
                <w:b/>
                <w:i/>
                <w:sz w:val="20"/>
              </w:rPr>
              <w:t xml:space="preserve">Moderate </w:t>
            </w:r>
          </w:p>
        </w:tc>
        <w:tc>
          <w:tcPr>
            <w:tcW w:w="1503" w:type="dxa"/>
          </w:tcPr>
          <w:p w14:paraId="3EDBBE48" w14:textId="7CECAA46" w:rsidR="00584635" w:rsidRPr="005C52C0" w:rsidRDefault="00584635" w:rsidP="00584635">
            <w:pPr>
              <w:jc w:val="both"/>
              <w:rPr>
                <w:b/>
                <w:i/>
                <w:sz w:val="20"/>
              </w:rPr>
            </w:pPr>
            <w:r>
              <w:rPr>
                <w:b/>
                <w:i/>
                <w:sz w:val="20"/>
              </w:rPr>
              <w:t>Actively engage with civil society advisory group and their regional as well as inter-agency networks such as the Inter-Agency Network on Women and Gender Equality (</w:t>
            </w:r>
            <w:proofErr w:type="gramStart"/>
            <w:r>
              <w:rPr>
                <w:b/>
                <w:i/>
                <w:sz w:val="20"/>
              </w:rPr>
              <w:t xml:space="preserve">IANWGE)   </w:t>
            </w:r>
            <w:proofErr w:type="gramEnd"/>
            <w:r>
              <w:rPr>
                <w:b/>
                <w:i/>
                <w:sz w:val="20"/>
              </w:rPr>
              <w:t>and the UNDIS focal points network and DCO to disseminate the guidelines</w:t>
            </w:r>
          </w:p>
        </w:tc>
        <w:tc>
          <w:tcPr>
            <w:tcW w:w="1527" w:type="dxa"/>
          </w:tcPr>
          <w:p w14:paraId="0FA117F0" w14:textId="77777777" w:rsidR="00584635" w:rsidRPr="005C52C0" w:rsidRDefault="00584635" w:rsidP="00584635">
            <w:pPr>
              <w:jc w:val="both"/>
              <w:rPr>
                <w:b/>
                <w:i/>
                <w:sz w:val="20"/>
              </w:rPr>
            </w:pPr>
            <w:r>
              <w:rPr>
                <w:b/>
                <w:i/>
                <w:sz w:val="20"/>
              </w:rPr>
              <w:t xml:space="preserve">UN Women; UNICEF; UNFPA; DESA; OHCHR </w:t>
            </w:r>
          </w:p>
          <w:p w14:paraId="0F1F9B76" w14:textId="77777777" w:rsidR="00584635" w:rsidRPr="005C52C0" w:rsidRDefault="00584635" w:rsidP="00584635">
            <w:pPr>
              <w:jc w:val="both"/>
              <w:rPr>
                <w:b/>
                <w:i/>
                <w:sz w:val="20"/>
              </w:rPr>
            </w:pPr>
          </w:p>
        </w:tc>
      </w:tr>
    </w:tbl>
    <w:p w14:paraId="5B12CDC9" w14:textId="77777777" w:rsidR="00F66AC2" w:rsidRPr="00D31469" w:rsidRDefault="00F66AC2" w:rsidP="00F66AC2">
      <w:pPr>
        <w:spacing w:after="0" w:line="240" w:lineRule="auto"/>
        <w:jc w:val="both"/>
        <w:rPr>
          <w:sz w:val="16"/>
        </w:rPr>
      </w:pPr>
    </w:p>
    <w:p w14:paraId="7B6D7527" w14:textId="77777777" w:rsidR="00683C36" w:rsidRDefault="00683C36">
      <w:pPr>
        <w:spacing w:after="160" w:line="259" w:lineRule="auto"/>
        <w:rPr>
          <w:rFonts w:ascii="Calibri" w:eastAsiaTheme="majorEastAsia" w:hAnsi="Calibri" w:cstheme="majorBidi"/>
          <w:b/>
          <w:color w:val="2E74B5" w:themeColor="accent1" w:themeShade="BF"/>
          <w:sz w:val="24"/>
          <w:szCs w:val="32"/>
        </w:rPr>
      </w:pPr>
      <w:r>
        <w:br w:type="page"/>
      </w:r>
    </w:p>
    <w:p w14:paraId="313450E8" w14:textId="77777777" w:rsidR="00BC4B02" w:rsidRPr="002D0888" w:rsidRDefault="00CE32D7" w:rsidP="002D0888">
      <w:pPr>
        <w:pStyle w:val="Heading1"/>
      </w:pPr>
      <w:r>
        <w:lastRenderedPageBreak/>
        <w:t>8</w:t>
      </w:r>
      <w:r w:rsidR="002D0888">
        <w:t xml:space="preserve">. </w:t>
      </w:r>
      <w:r w:rsidR="00BC4B02" w:rsidRPr="002D0888">
        <w:t>Budget</w:t>
      </w:r>
    </w:p>
    <w:p w14:paraId="3F1091F3" w14:textId="77777777" w:rsidR="00BC4B02" w:rsidRDefault="00BC4B02" w:rsidP="000B5A27">
      <w:pPr>
        <w:spacing w:after="0" w:line="240" w:lineRule="auto"/>
        <w:jc w:val="both"/>
        <w:rPr>
          <w:i/>
          <w:sz w:val="20"/>
        </w:rPr>
      </w:pPr>
      <w:r>
        <w:rPr>
          <w:i/>
          <w:sz w:val="20"/>
        </w:rPr>
        <w:t>Please use</w:t>
      </w:r>
      <w:r w:rsidRPr="002B0B2B">
        <w:rPr>
          <w:i/>
          <w:sz w:val="20"/>
        </w:rPr>
        <w:t xml:space="preserve"> the template</w:t>
      </w:r>
      <w:r>
        <w:rPr>
          <w:i/>
          <w:sz w:val="20"/>
        </w:rPr>
        <w:t xml:space="preserve"> below,</w:t>
      </w:r>
      <w:r w:rsidRPr="002B0B2B">
        <w:rPr>
          <w:i/>
          <w:sz w:val="20"/>
        </w:rPr>
        <w:t xml:space="preserve"> based on the format approved by the UNDG Financial Policy Working Group</w:t>
      </w:r>
      <w:r>
        <w:rPr>
          <w:i/>
          <w:sz w:val="20"/>
        </w:rPr>
        <w:t>, to provide overall budget information</w:t>
      </w:r>
      <w:r w:rsidRPr="002B0B2B">
        <w:rPr>
          <w:i/>
          <w:sz w:val="20"/>
        </w:rPr>
        <w:t xml:space="preserve">. </w:t>
      </w:r>
      <w:r>
        <w:rPr>
          <w:i/>
          <w:sz w:val="20"/>
        </w:rPr>
        <w:t>Please also utilize the attached Excel spreadsheet to provide a budget breakdown by fund recipient (Sheet 1) and by outcome (Sheet 2).</w:t>
      </w:r>
    </w:p>
    <w:p w14:paraId="79BBDD8F" w14:textId="77777777" w:rsidR="00BC4B02" w:rsidRDefault="00BC4B02" w:rsidP="000B5A27">
      <w:pPr>
        <w:spacing w:after="0" w:line="240" w:lineRule="auto"/>
        <w:jc w:val="both"/>
        <w:rPr>
          <w:i/>
          <w:sz w:val="20"/>
        </w:rPr>
      </w:pPr>
    </w:p>
    <w:p w14:paraId="372F9F53" w14:textId="77777777" w:rsidR="00BC4B02" w:rsidRPr="00E63255" w:rsidRDefault="00BC4B02" w:rsidP="002D0888">
      <w:pPr>
        <w:pStyle w:val="Heading2"/>
      </w:pPr>
      <w:r w:rsidRPr="00E63255">
        <w:t>Project Budget</w:t>
      </w:r>
    </w:p>
    <w:p w14:paraId="39000E0B" w14:textId="77777777" w:rsidR="00BC4B02" w:rsidRDefault="00BC4B02" w:rsidP="00BC4B02">
      <w:pPr>
        <w:spacing w:after="0" w:line="240" w:lineRule="auto"/>
        <w:ind w:left="360"/>
        <w:jc w:val="both"/>
        <w:rPr>
          <w:b/>
          <w:sz w:val="20"/>
        </w:rPr>
      </w:pPr>
    </w:p>
    <w:tbl>
      <w:tblPr>
        <w:tblStyle w:val="TableGrid"/>
        <w:tblW w:w="10425" w:type="dxa"/>
        <w:tblLayout w:type="fixed"/>
        <w:tblLook w:val="04A0" w:firstRow="1" w:lastRow="0" w:firstColumn="1" w:lastColumn="0" w:noHBand="0" w:noVBand="1"/>
        <w:tblCaption w:val="Budget"/>
      </w:tblPr>
      <w:tblGrid>
        <w:gridCol w:w="1384"/>
        <w:gridCol w:w="2263"/>
        <w:gridCol w:w="939"/>
        <w:gridCol w:w="717"/>
        <w:gridCol w:w="1072"/>
        <w:gridCol w:w="1260"/>
        <w:gridCol w:w="1350"/>
        <w:gridCol w:w="1440"/>
      </w:tblGrid>
      <w:tr w:rsidR="00664A69" w:rsidRPr="00002BED" w14:paraId="4A91153F" w14:textId="77777777" w:rsidTr="00664A69">
        <w:trPr>
          <w:tblHeader/>
        </w:trPr>
        <w:tc>
          <w:tcPr>
            <w:tcW w:w="1384" w:type="dxa"/>
            <w:tcBorders>
              <w:top w:val="double" w:sz="4" w:space="0" w:color="auto"/>
              <w:left w:val="double" w:sz="4" w:space="0" w:color="auto"/>
              <w:bottom w:val="double" w:sz="4" w:space="0" w:color="auto"/>
            </w:tcBorders>
            <w:shd w:val="clear" w:color="auto" w:fill="D9D9D9" w:themeFill="background1" w:themeFillShade="D9"/>
          </w:tcPr>
          <w:p w14:paraId="52277C22" w14:textId="77777777" w:rsidR="00BC4B02" w:rsidRPr="00002BED" w:rsidRDefault="00BC4B02" w:rsidP="00BC4B02">
            <w:pPr>
              <w:ind w:left="360"/>
              <w:jc w:val="both"/>
              <w:rPr>
                <w:b/>
                <w:sz w:val="20"/>
              </w:rPr>
            </w:pPr>
            <w:r w:rsidRPr="00002BED">
              <w:rPr>
                <w:b/>
                <w:sz w:val="20"/>
              </w:rPr>
              <w:t>Category</w:t>
            </w:r>
          </w:p>
        </w:tc>
        <w:tc>
          <w:tcPr>
            <w:tcW w:w="2263" w:type="dxa"/>
            <w:tcBorders>
              <w:top w:val="double" w:sz="4" w:space="0" w:color="auto"/>
              <w:bottom w:val="double" w:sz="4" w:space="0" w:color="auto"/>
            </w:tcBorders>
            <w:shd w:val="clear" w:color="auto" w:fill="D9D9D9" w:themeFill="background1" w:themeFillShade="D9"/>
          </w:tcPr>
          <w:p w14:paraId="4FD210C6" w14:textId="77777777" w:rsidR="00BC4B02" w:rsidRPr="00002BED" w:rsidRDefault="00BC4B02" w:rsidP="00BC4B02">
            <w:pPr>
              <w:ind w:left="360"/>
              <w:jc w:val="both"/>
              <w:rPr>
                <w:b/>
                <w:sz w:val="20"/>
              </w:rPr>
            </w:pPr>
            <w:r>
              <w:rPr>
                <w:b/>
                <w:sz w:val="20"/>
              </w:rPr>
              <w:t>Item</w:t>
            </w:r>
          </w:p>
        </w:tc>
        <w:tc>
          <w:tcPr>
            <w:tcW w:w="939" w:type="dxa"/>
            <w:tcBorders>
              <w:top w:val="double" w:sz="4" w:space="0" w:color="auto"/>
              <w:bottom w:val="double" w:sz="4" w:space="0" w:color="auto"/>
            </w:tcBorders>
            <w:shd w:val="clear" w:color="auto" w:fill="D9D9D9" w:themeFill="background1" w:themeFillShade="D9"/>
          </w:tcPr>
          <w:p w14:paraId="48DA4F66" w14:textId="77777777" w:rsidR="00BC4B02" w:rsidRPr="00002BED" w:rsidRDefault="00BC4B02" w:rsidP="00BC4B02">
            <w:pPr>
              <w:ind w:left="360"/>
              <w:jc w:val="both"/>
              <w:rPr>
                <w:b/>
                <w:sz w:val="20"/>
              </w:rPr>
            </w:pPr>
            <w:r>
              <w:rPr>
                <w:b/>
                <w:sz w:val="20"/>
              </w:rPr>
              <w:t>Unit Cost</w:t>
            </w:r>
          </w:p>
        </w:tc>
        <w:tc>
          <w:tcPr>
            <w:tcW w:w="717" w:type="dxa"/>
            <w:tcBorders>
              <w:top w:val="double" w:sz="4" w:space="0" w:color="auto"/>
              <w:bottom w:val="double" w:sz="4" w:space="0" w:color="auto"/>
            </w:tcBorders>
            <w:shd w:val="clear" w:color="auto" w:fill="D9D9D9" w:themeFill="background1" w:themeFillShade="D9"/>
          </w:tcPr>
          <w:p w14:paraId="7A24E33A" w14:textId="77777777" w:rsidR="00BC4B02" w:rsidRPr="00002BED" w:rsidRDefault="00BC4B02" w:rsidP="00BC4B02">
            <w:pPr>
              <w:jc w:val="both"/>
              <w:rPr>
                <w:b/>
                <w:sz w:val="20"/>
              </w:rPr>
            </w:pPr>
            <w:r>
              <w:rPr>
                <w:b/>
                <w:sz w:val="20"/>
              </w:rPr>
              <w:t>No units</w:t>
            </w:r>
          </w:p>
        </w:tc>
        <w:tc>
          <w:tcPr>
            <w:tcW w:w="1072" w:type="dxa"/>
            <w:tcBorders>
              <w:top w:val="double" w:sz="4" w:space="0" w:color="auto"/>
              <w:bottom w:val="double" w:sz="4" w:space="0" w:color="auto"/>
            </w:tcBorders>
            <w:shd w:val="clear" w:color="auto" w:fill="D9D9D9" w:themeFill="background1" w:themeFillShade="D9"/>
          </w:tcPr>
          <w:p w14:paraId="742E2CD7" w14:textId="77777777" w:rsidR="00BC4B02" w:rsidRPr="00002BED" w:rsidRDefault="00BC4B02" w:rsidP="00BC4B02">
            <w:pPr>
              <w:jc w:val="both"/>
              <w:rPr>
                <w:b/>
                <w:sz w:val="20"/>
              </w:rPr>
            </w:pPr>
            <w:r>
              <w:rPr>
                <w:b/>
                <w:sz w:val="20"/>
              </w:rPr>
              <w:t>Total cost</w:t>
            </w:r>
          </w:p>
        </w:tc>
        <w:tc>
          <w:tcPr>
            <w:tcW w:w="1260" w:type="dxa"/>
            <w:tcBorders>
              <w:top w:val="double" w:sz="4" w:space="0" w:color="auto"/>
              <w:bottom w:val="double" w:sz="4" w:space="0" w:color="auto"/>
            </w:tcBorders>
            <w:shd w:val="clear" w:color="auto" w:fill="D9D9D9" w:themeFill="background1" w:themeFillShade="D9"/>
          </w:tcPr>
          <w:p w14:paraId="2A7B2F37" w14:textId="77777777" w:rsidR="00BC4B02" w:rsidRPr="00002BED" w:rsidRDefault="00BC4B02" w:rsidP="00664A69">
            <w:pPr>
              <w:ind w:left="360"/>
              <w:rPr>
                <w:b/>
                <w:sz w:val="20"/>
              </w:rPr>
            </w:pPr>
            <w:r>
              <w:rPr>
                <w:b/>
                <w:sz w:val="20"/>
              </w:rPr>
              <w:t>Request from UNPRPD Fund</w:t>
            </w:r>
          </w:p>
        </w:tc>
        <w:tc>
          <w:tcPr>
            <w:tcW w:w="1350" w:type="dxa"/>
            <w:tcBorders>
              <w:top w:val="double" w:sz="4" w:space="0" w:color="auto"/>
              <w:bottom w:val="double" w:sz="4" w:space="0" w:color="auto"/>
            </w:tcBorders>
            <w:shd w:val="clear" w:color="auto" w:fill="D9D9D9" w:themeFill="background1" w:themeFillShade="D9"/>
          </w:tcPr>
          <w:p w14:paraId="52CF153D" w14:textId="77777777" w:rsidR="00BC4B02" w:rsidRPr="00002BED" w:rsidRDefault="00BC4B02" w:rsidP="00BC4B02">
            <w:pPr>
              <w:ind w:left="360"/>
              <w:jc w:val="both"/>
              <w:rPr>
                <w:b/>
                <w:sz w:val="20"/>
              </w:rPr>
            </w:pPr>
            <w:r>
              <w:rPr>
                <w:b/>
                <w:sz w:val="20"/>
              </w:rPr>
              <w:t>UNPRPD POs cost-sharing</w:t>
            </w:r>
          </w:p>
        </w:tc>
        <w:tc>
          <w:tcPr>
            <w:tcW w:w="1440" w:type="dxa"/>
            <w:tcBorders>
              <w:top w:val="double" w:sz="4" w:space="0" w:color="auto"/>
              <w:bottom w:val="double" w:sz="4" w:space="0" w:color="auto"/>
              <w:right w:val="double" w:sz="4" w:space="0" w:color="auto"/>
            </w:tcBorders>
            <w:shd w:val="clear" w:color="auto" w:fill="D9D9D9" w:themeFill="background1" w:themeFillShade="D9"/>
          </w:tcPr>
          <w:p w14:paraId="6D6EB134" w14:textId="77777777" w:rsidR="00BC4B02" w:rsidRPr="00002BED" w:rsidRDefault="00BC4B02" w:rsidP="00BC4B02">
            <w:pPr>
              <w:ind w:left="360"/>
              <w:jc w:val="both"/>
              <w:rPr>
                <w:b/>
                <w:sz w:val="20"/>
              </w:rPr>
            </w:pPr>
            <w:r>
              <w:rPr>
                <w:b/>
                <w:sz w:val="20"/>
              </w:rPr>
              <w:t>Other partners cost-sharing</w:t>
            </w:r>
          </w:p>
        </w:tc>
      </w:tr>
      <w:tr w:rsidR="00BC4B02" w:rsidRPr="00002BED" w14:paraId="1A4E1804" w14:textId="77777777" w:rsidTr="00664A69">
        <w:trPr>
          <w:trHeight w:val="492"/>
        </w:trPr>
        <w:tc>
          <w:tcPr>
            <w:tcW w:w="1384" w:type="dxa"/>
            <w:tcBorders>
              <w:top w:val="double" w:sz="4" w:space="0" w:color="auto"/>
              <w:left w:val="double" w:sz="4" w:space="0" w:color="auto"/>
              <w:bottom w:val="double" w:sz="4" w:space="0" w:color="FFFFFF" w:themeColor="background1"/>
            </w:tcBorders>
          </w:tcPr>
          <w:p w14:paraId="3AE8E761" w14:textId="77777777" w:rsidR="00BC4B02" w:rsidRPr="00002BED" w:rsidRDefault="00BC4B02" w:rsidP="00BC4B02">
            <w:pPr>
              <w:rPr>
                <w:b/>
                <w:sz w:val="20"/>
              </w:rPr>
            </w:pPr>
            <w:r>
              <w:rPr>
                <w:b/>
                <w:sz w:val="20"/>
              </w:rPr>
              <w:t>Staff and Personnel Costs</w:t>
            </w:r>
          </w:p>
        </w:tc>
        <w:tc>
          <w:tcPr>
            <w:tcW w:w="2263" w:type="dxa"/>
            <w:tcBorders>
              <w:top w:val="double" w:sz="4" w:space="0" w:color="auto"/>
              <w:bottom w:val="single" w:sz="4" w:space="0" w:color="auto"/>
              <w:right w:val="double" w:sz="4" w:space="0" w:color="auto"/>
            </w:tcBorders>
            <w:shd w:val="clear" w:color="auto" w:fill="auto"/>
          </w:tcPr>
          <w:p w14:paraId="128FF642" w14:textId="77777777" w:rsidR="00BC4B02" w:rsidRPr="0038149A" w:rsidRDefault="00BC4B02" w:rsidP="00E24B2C">
            <w:pPr>
              <w:rPr>
                <w:sz w:val="20"/>
                <w:szCs w:val="20"/>
              </w:rPr>
            </w:pPr>
          </w:p>
        </w:tc>
        <w:tc>
          <w:tcPr>
            <w:tcW w:w="939" w:type="dxa"/>
            <w:tcBorders>
              <w:top w:val="double" w:sz="4" w:space="0" w:color="auto"/>
              <w:bottom w:val="single" w:sz="4" w:space="0" w:color="auto"/>
              <w:right w:val="double" w:sz="4" w:space="0" w:color="auto"/>
            </w:tcBorders>
          </w:tcPr>
          <w:p w14:paraId="3323CC26" w14:textId="77777777" w:rsidR="00BC4B02" w:rsidRPr="00B600CB" w:rsidRDefault="00BC4B02" w:rsidP="00BC4B02">
            <w:pPr>
              <w:ind w:left="360"/>
              <w:rPr>
                <w:sz w:val="20"/>
              </w:rPr>
            </w:pPr>
          </w:p>
        </w:tc>
        <w:tc>
          <w:tcPr>
            <w:tcW w:w="717" w:type="dxa"/>
            <w:tcBorders>
              <w:top w:val="double" w:sz="4" w:space="0" w:color="auto"/>
              <w:bottom w:val="single" w:sz="4" w:space="0" w:color="auto"/>
              <w:right w:val="double" w:sz="4" w:space="0" w:color="auto"/>
            </w:tcBorders>
          </w:tcPr>
          <w:p w14:paraId="7F5B9F9F" w14:textId="59D6488F" w:rsidR="00BC4B02" w:rsidRPr="00B600CB" w:rsidRDefault="00BC4B02" w:rsidP="00BC4B02">
            <w:pPr>
              <w:rPr>
                <w:sz w:val="20"/>
              </w:rPr>
            </w:pPr>
          </w:p>
        </w:tc>
        <w:tc>
          <w:tcPr>
            <w:tcW w:w="1072" w:type="dxa"/>
            <w:tcBorders>
              <w:top w:val="double" w:sz="4" w:space="0" w:color="auto"/>
              <w:bottom w:val="single" w:sz="4" w:space="0" w:color="auto"/>
              <w:right w:val="double" w:sz="4" w:space="0" w:color="auto"/>
            </w:tcBorders>
          </w:tcPr>
          <w:p w14:paraId="7907A473" w14:textId="2498555C" w:rsidR="00BC4B02" w:rsidRPr="00B600CB" w:rsidRDefault="00BC4B02" w:rsidP="00BC4B02">
            <w:pPr>
              <w:rPr>
                <w:sz w:val="20"/>
              </w:rPr>
            </w:pPr>
          </w:p>
        </w:tc>
        <w:tc>
          <w:tcPr>
            <w:tcW w:w="1260" w:type="dxa"/>
            <w:tcBorders>
              <w:top w:val="double" w:sz="4" w:space="0" w:color="auto"/>
              <w:bottom w:val="single" w:sz="4" w:space="0" w:color="auto"/>
              <w:right w:val="double" w:sz="4" w:space="0" w:color="auto"/>
            </w:tcBorders>
          </w:tcPr>
          <w:p w14:paraId="353CBC33" w14:textId="2BD4FA70" w:rsidR="00BC4B02" w:rsidRPr="00B600CB" w:rsidRDefault="00BC4B02" w:rsidP="00BC4B02">
            <w:pPr>
              <w:rPr>
                <w:sz w:val="20"/>
              </w:rPr>
            </w:pPr>
          </w:p>
        </w:tc>
        <w:tc>
          <w:tcPr>
            <w:tcW w:w="1350" w:type="dxa"/>
            <w:tcBorders>
              <w:top w:val="double" w:sz="4" w:space="0" w:color="auto"/>
              <w:bottom w:val="single" w:sz="4" w:space="0" w:color="auto"/>
              <w:right w:val="double" w:sz="4" w:space="0" w:color="auto"/>
            </w:tcBorders>
          </w:tcPr>
          <w:p w14:paraId="760CC412" w14:textId="770D71DE" w:rsidR="00BC4B02" w:rsidRPr="00B600CB" w:rsidRDefault="00BC4B02" w:rsidP="00BC4B02">
            <w:pPr>
              <w:rPr>
                <w:sz w:val="20"/>
              </w:rPr>
            </w:pPr>
          </w:p>
        </w:tc>
        <w:tc>
          <w:tcPr>
            <w:tcW w:w="1440" w:type="dxa"/>
            <w:tcBorders>
              <w:top w:val="double" w:sz="4" w:space="0" w:color="auto"/>
              <w:bottom w:val="single" w:sz="4" w:space="0" w:color="auto"/>
              <w:right w:val="double" w:sz="4" w:space="0" w:color="auto"/>
            </w:tcBorders>
          </w:tcPr>
          <w:p w14:paraId="62CAD4AF" w14:textId="710F67C9" w:rsidR="00BC4B02" w:rsidRPr="00B600CB" w:rsidRDefault="00BC4B02" w:rsidP="00BC4B02">
            <w:pPr>
              <w:rPr>
                <w:sz w:val="20"/>
              </w:rPr>
            </w:pPr>
          </w:p>
        </w:tc>
      </w:tr>
      <w:tr w:rsidR="00BC4B02" w:rsidRPr="00002BED" w14:paraId="4DB3BE93" w14:textId="77777777" w:rsidTr="00664A69">
        <w:tc>
          <w:tcPr>
            <w:tcW w:w="1384" w:type="dxa"/>
            <w:tcBorders>
              <w:top w:val="double" w:sz="4" w:space="0" w:color="auto"/>
              <w:left w:val="double" w:sz="4" w:space="0" w:color="auto"/>
              <w:bottom w:val="single" w:sz="4" w:space="0" w:color="FFFFFF" w:themeColor="background1"/>
            </w:tcBorders>
          </w:tcPr>
          <w:p w14:paraId="3B18609C" w14:textId="77777777" w:rsidR="00BC4B02" w:rsidRPr="00002BED" w:rsidRDefault="00BC4B02" w:rsidP="00BC4B02">
            <w:pPr>
              <w:rPr>
                <w:b/>
                <w:sz w:val="20"/>
              </w:rPr>
            </w:pPr>
            <w:r>
              <w:rPr>
                <w:b/>
                <w:sz w:val="20"/>
              </w:rPr>
              <w:t>Supplies, commodities and materials</w:t>
            </w:r>
          </w:p>
        </w:tc>
        <w:tc>
          <w:tcPr>
            <w:tcW w:w="2263" w:type="dxa"/>
            <w:tcBorders>
              <w:top w:val="double" w:sz="4" w:space="0" w:color="auto"/>
            </w:tcBorders>
          </w:tcPr>
          <w:p w14:paraId="313F0B60" w14:textId="77AA1944" w:rsidR="00BC4B02" w:rsidRPr="0038149A" w:rsidRDefault="006D52AF" w:rsidP="00BC4B02">
            <w:pPr>
              <w:rPr>
                <w:sz w:val="20"/>
                <w:szCs w:val="20"/>
              </w:rPr>
            </w:pPr>
            <w:r>
              <w:rPr>
                <w:sz w:val="20"/>
                <w:szCs w:val="20"/>
              </w:rPr>
              <w:t xml:space="preserve">Designing and printing </w:t>
            </w:r>
            <w:r w:rsidR="005D5EA2">
              <w:rPr>
                <w:sz w:val="20"/>
                <w:szCs w:val="20"/>
              </w:rPr>
              <w:t xml:space="preserve">for communication material </w:t>
            </w:r>
          </w:p>
        </w:tc>
        <w:tc>
          <w:tcPr>
            <w:tcW w:w="939" w:type="dxa"/>
            <w:tcBorders>
              <w:top w:val="double" w:sz="4" w:space="0" w:color="auto"/>
            </w:tcBorders>
          </w:tcPr>
          <w:p w14:paraId="5AA43F62" w14:textId="05CAB58D" w:rsidR="00BC4B02" w:rsidRPr="00B600CB" w:rsidRDefault="00BC4B02" w:rsidP="00BC4B02">
            <w:pPr>
              <w:rPr>
                <w:sz w:val="20"/>
              </w:rPr>
            </w:pPr>
          </w:p>
        </w:tc>
        <w:tc>
          <w:tcPr>
            <w:tcW w:w="717" w:type="dxa"/>
            <w:tcBorders>
              <w:top w:val="double" w:sz="4" w:space="0" w:color="auto"/>
            </w:tcBorders>
          </w:tcPr>
          <w:p w14:paraId="6A2086D0" w14:textId="465A23DF" w:rsidR="00BC4B02" w:rsidRPr="00B600CB" w:rsidRDefault="00CA059C" w:rsidP="00BC4B02">
            <w:pPr>
              <w:rPr>
                <w:sz w:val="20"/>
              </w:rPr>
            </w:pPr>
            <w:r>
              <w:rPr>
                <w:sz w:val="20"/>
              </w:rPr>
              <w:t>15,000</w:t>
            </w:r>
          </w:p>
        </w:tc>
        <w:tc>
          <w:tcPr>
            <w:tcW w:w="1072" w:type="dxa"/>
            <w:tcBorders>
              <w:top w:val="double" w:sz="4" w:space="0" w:color="auto"/>
            </w:tcBorders>
          </w:tcPr>
          <w:p w14:paraId="7CE0CF32" w14:textId="5D2B941E" w:rsidR="00BC4B02" w:rsidRPr="00B600CB" w:rsidRDefault="00CA059C" w:rsidP="00BC4B02">
            <w:pPr>
              <w:rPr>
                <w:sz w:val="20"/>
              </w:rPr>
            </w:pPr>
            <w:r>
              <w:rPr>
                <w:sz w:val="20"/>
              </w:rPr>
              <w:t>15,000</w:t>
            </w:r>
          </w:p>
        </w:tc>
        <w:tc>
          <w:tcPr>
            <w:tcW w:w="1260" w:type="dxa"/>
            <w:tcBorders>
              <w:top w:val="double" w:sz="4" w:space="0" w:color="auto"/>
            </w:tcBorders>
          </w:tcPr>
          <w:p w14:paraId="3720BDC8" w14:textId="3FE7C644" w:rsidR="00BC4B02" w:rsidRDefault="00CA059C" w:rsidP="00BC4B02">
            <w:pPr>
              <w:rPr>
                <w:sz w:val="20"/>
              </w:rPr>
            </w:pPr>
            <w:r>
              <w:rPr>
                <w:sz w:val="20"/>
              </w:rPr>
              <w:t>15,000</w:t>
            </w:r>
          </w:p>
          <w:p w14:paraId="5779B81C" w14:textId="3613F813" w:rsidR="00633116" w:rsidRPr="00B600CB" w:rsidRDefault="00633116" w:rsidP="00BC4B02">
            <w:pPr>
              <w:rPr>
                <w:sz w:val="20"/>
              </w:rPr>
            </w:pPr>
          </w:p>
        </w:tc>
        <w:tc>
          <w:tcPr>
            <w:tcW w:w="1350" w:type="dxa"/>
            <w:tcBorders>
              <w:top w:val="double" w:sz="4" w:space="0" w:color="auto"/>
            </w:tcBorders>
          </w:tcPr>
          <w:p w14:paraId="7398E941" w14:textId="77777777" w:rsidR="00BC4B02" w:rsidRPr="00B600CB" w:rsidRDefault="00BC4B02" w:rsidP="00BC4B02">
            <w:pPr>
              <w:rPr>
                <w:sz w:val="20"/>
              </w:rPr>
            </w:pPr>
            <w:r w:rsidRPr="00B600CB">
              <w:rPr>
                <w:sz w:val="20"/>
              </w:rPr>
              <w:t>[…]</w:t>
            </w:r>
          </w:p>
        </w:tc>
        <w:tc>
          <w:tcPr>
            <w:tcW w:w="1440" w:type="dxa"/>
            <w:tcBorders>
              <w:top w:val="double" w:sz="4" w:space="0" w:color="auto"/>
              <w:right w:val="double" w:sz="4" w:space="0" w:color="auto"/>
            </w:tcBorders>
          </w:tcPr>
          <w:p w14:paraId="4C394FB5" w14:textId="77777777" w:rsidR="00BC4B02" w:rsidRPr="00B600CB" w:rsidRDefault="00BC4B02" w:rsidP="00BC4B02">
            <w:pPr>
              <w:rPr>
                <w:sz w:val="20"/>
              </w:rPr>
            </w:pPr>
            <w:r w:rsidRPr="00B600CB">
              <w:rPr>
                <w:sz w:val="20"/>
              </w:rPr>
              <w:t>[…]</w:t>
            </w:r>
          </w:p>
        </w:tc>
      </w:tr>
      <w:tr w:rsidR="00BC4B02" w:rsidRPr="00002BED" w14:paraId="31FE4645" w14:textId="77777777" w:rsidTr="00664A69">
        <w:tc>
          <w:tcPr>
            <w:tcW w:w="1384" w:type="dxa"/>
            <w:tcBorders>
              <w:top w:val="double" w:sz="4" w:space="0" w:color="auto"/>
              <w:left w:val="double" w:sz="4" w:space="0" w:color="auto"/>
              <w:bottom w:val="single" w:sz="4" w:space="0" w:color="FFFFFF" w:themeColor="background1"/>
            </w:tcBorders>
          </w:tcPr>
          <w:p w14:paraId="0EBD6778" w14:textId="77777777" w:rsidR="00BC4B02" w:rsidRPr="00002BED" w:rsidRDefault="00BC4B02" w:rsidP="00BC4B02">
            <w:pPr>
              <w:jc w:val="both"/>
              <w:rPr>
                <w:b/>
                <w:sz w:val="20"/>
              </w:rPr>
            </w:pPr>
            <w:r>
              <w:rPr>
                <w:b/>
                <w:sz w:val="20"/>
              </w:rPr>
              <w:t>Equipment vehicles, furniture depreciation</w:t>
            </w:r>
          </w:p>
        </w:tc>
        <w:tc>
          <w:tcPr>
            <w:tcW w:w="2263" w:type="dxa"/>
            <w:tcBorders>
              <w:top w:val="double" w:sz="4" w:space="0" w:color="auto"/>
            </w:tcBorders>
          </w:tcPr>
          <w:p w14:paraId="13371AAC" w14:textId="77777777" w:rsidR="00BC4B02" w:rsidRPr="0038149A" w:rsidRDefault="00BC4B02" w:rsidP="00BC4B02">
            <w:pPr>
              <w:rPr>
                <w:sz w:val="20"/>
                <w:szCs w:val="20"/>
              </w:rPr>
            </w:pPr>
            <w:r w:rsidRPr="0038149A">
              <w:rPr>
                <w:sz w:val="20"/>
                <w:szCs w:val="20"/>
              </w:rPr>
              <w:t>[…]</w:t>
            </w:r>
          </w:p>
        </w:tc>
        <w:tc>
          <w:tcPr>
            <w:tcW w:w="939" w:type="dxa"/>
            <w:tcBorders>
              <w:top w:val="double" w:sz="4" w:space="0" w:color="auto"/>
            </w:tcBorders>
          </w:tcPr>
          <w:p w14:paraId="4406F52D" w14:textId="77777777" w:rsidR="00BC4B02" w:rsidRPr="0038149A" w:rsidRDefault="00BC4B02" w:rsidP="00BC4B02">
            <w:pPr>
              <w:rPr>
                <w:sz w:val="20"/>
                <w:szCs w:val="20"/>
              </w:rPr>
            </w:pPr>
            <w:r w:rsidRPr="0038149A">
              <w:rPr>
                <w:sz w:val="20"/>
                <w:szCs w:val="20"/>
              </w:rPr>
              <w:t>[…]</w:t>
            </w:r>
          </w:p>
        </w:tc>
        <w:tc>
          <w:tcPr>
            <w:tcW w:w="717" w:type="dxa"/>
            <w:tcBorders>
              <w:top w:val="double" w:sz="4" w:space="0" w:color="auto"/>
            </w:tcBorders>
          </w:tcPr>
          <w:p w14:paraId="59F89E21" w14:textId="77777777" w:rsidR="00BC4B02" w:rsidRPr="0038149A" w:rsidRDefault="00BC4B02" w:rsidP="00BC4B02">
            <w:pPr>
              <w:rPr>
                <w:sz w:val="20"/>
                <w:szCs w:val="20"/>
              </w:rPr>
            </w:pPr>
            <w:r w:rsidRPr="0038149A">
              <w:rPr>
                <w:sz w:val="20"/>
                <w:szCs w:val="20"/>
              </w:rPr>
              <w:t>[…]</w:t>
            </w:r>
          </w:p>
        </w:tc>
        <w:tc>
          <w:tcPr>
            <w:tcW w:w="1072" w:type="dxa"/>
            <w:tcBorders>
              <w:top w:val="double" w:sz="4" w:space="0" w:color="auto"/>
            </w:tcBorders>
          </w:tcPr>
          <w:p w14:paraId="31D74F93" w14:textId="77777777" w:rsidR="00BC4B02" w:rsidRPr="0038149A" w:rsidRDefault="00BC4B02" w:rsidP="00BC4B02">
            <w:pPr>
              <w:rPr>
                <w:sz w:val="20"/>
                <w:szCs w:val="20"/>
              </w:rPr>
            </w:pPr>
            <w:r w:rsidRPr="0038149A">
              <w:rPr>
                <w:sz w:val="20"/>
                <w:szCs w:val="20"/>
              </w:rPr>
              <w:t>[…]</w:t>
            </w:r>
          </w:p>
        </w:tc>
        <w:tc>
          <w:tcPr>
            <w:tcW w:w="1260" w:type="dxa"/>
            <w:tcBorders>
              <w:top w:val="double" w:sz="4" w:space="0" w:color="auto"/>
            </w:tcBorders>
          </w:tcPr>
          <w:p w14:paraId="2C149059" w14:textId="77777777" w:rsidR="00BC4B02" w:rsidRPr="0038149A" w:rsidRDefault="00BC4B02" w:rsidP="00BC4B02">
            <w:pPr>
              <w:rPr>
                <w:sz w:val="20"/>
                <w:szCs w:val="20"/>
              </w:rPr>
            </w:pPr>
            <w:r w:rsidRPr="0038149A">
              <w:rPr>
                <w:sz w:val="20"/>
                <w:szCs w:val="20"/>
              </w:rPr>
              <w:t>[…]</w:t>
            </w:r>
          </w:p>
        </w:tc>
        <w:tc>
          <w:tcPr>
            <w:tcW w:w="1350" w:type="dxa"/>
            <w:tcBorders>
              <w:top w:val="double" w:sz="4" w:space="0" w:color="auto"/>
            </w:tcBorders>
          </w:tcPr>
          <w:p w14:paraId="2BF266EC" w14:textId="77777777" w:rsidR="00BC4B02" w:rsidRPr="0038149A" w:rsidRDefault="00BC4B02" w:rsidP="00BC4B02">
            <w:pPr>
              <w:rPr>
                <w:sz w:val="20"/>
                <w:szCs w:val="20"/>
              </w:rPr>
            </w:pPr>
            <w:r w:rsidRPr="0038149A">
              <w:rPr>
                <w:sz w:val="20"/>
                <w:szCs w:val="20"/>
              </w:rPr>
              <w:t>[…]</w:t>
            </w:r>
          </w:p>
        </w:tc>
        <w:tc>
          <w:tcPr>
            <w:tcW w:w="1440" w:type="dxa"/>
            <w:tcBorders>
              <w:top w:val="double" w:sz="4" w:space="0" w:color="auto"/>
              <w:right w:val="double" w:sz="4" w:space="0" w:color="auto"/>
            </w:tcBorders>
          </w:tcPr>
          <w:p w14:paraId="0D63353E" w14:textId="77777777" w:rsidR="00BC4B02" w:rsidRPr="0038149A" w:rsidRDefault="00BC4B02" w:rsidP="00BC4B02">
            <w:pPr>
              <w:rPr>
                <w:sz w:val="20"/>
                <w:szCs w:val="20"/>
              </w:rPr>
            </w:pPr>
            <w:r w:rsidRPr="0038149A">
              <w:rPr>
                <w:sz w:val="20"/>
                <w:szCs w:val="20"/>
              </w:rPr>
              <w:t>[…]</w:t>
            </w:r>
          </w:p>
        </w:tc>
      </w:tr>
      <w:tr w:rsidR="005D5EA2" w:rsidRPr="00002BED" w14:paraId="157583BE" w14:textId="77777777" w:rsidTr="00664A69">
        <w:tc>
          <w:tcPr>
            <w:tcW w:w="1384" w:type="dxa"/>
            <w:tcBorders>
              <w:top w:val="double" w:sz="4" w:space="0" w:color="auto"/>
              <w:left w:val="double" w:sz="4" w:space="0" w:color="auto"/>
              <w:bottom w:val="single" w:sz="4" w:space="0" w:color="FFFFFF" w:themeColor="background1"/>
            </w:tcBorders>
          </w:tcPr>
          <w:p w14:paraId="16AD621F" w14:textId="77777777" w:rsidR="00E24B2C" w:rsidRPr="00002BED" w:rsidRDefault="00E24B2C" w:rsidP="00E24B2C">
            <w:pPr>
              <w:rPr>
                <w:b/>
                <w:sz w:val="20"/>
              </w:rPr>
            </w:pPr>
            <w:r>
              <w:rPr>
                <w:b/>
                <w:sz w:val="20"/>
              </w:rPr>
              <w:t>Contractual Services</w:t>
            </w:r>
          </w:p>
        </w:tc>
        <w:tc>
          <w:tcPr>
            <w:tcW w:w="2263" w:type="dxa"/>
            <w:tcBorders>
              <w:top w:val="double" w:sz="4" w:space="0" w:color="auto"/>
            </w:tcBorders>
          </w:tcPr>
          <w:p w14:paraId="1499EC72" w14:textId="28790944" w:rsidR="00E24B2C" w:rsidRPr="0038149A" w:rsidRDefault="00E24B2C" w:rsidP="00E24B2C">
            <w:pPr>
              <w:rPr>
                <w:sz w:val="20"/>
                <w:szCs w:val="20"/>
              </w:rPr>
            </w:pPr>
            <w:r w:rsidRPr="00E24B2C">
              <w:rPr>
                <w:sz w:val="20"/>
                <w:szCs w:val="20"/>
              </w:rPr>
              <w:t xml:space="preserve">International Consultant to conduct desk review (90 days)  </w:t>
            </w:r>
          </w:p>
        </w:tc>
        <w:tc>
          <w:tcPr>
            <w:tcW w:w="939" w:type="dxa"/>
            <w:tcBorders>
              <w:top w:val="double" w:sz="4" w:space="0" w:color="auto"/>
            </w:tcBorders>
          </w:tcPr>
          <w:p w14:paraId="70109931" w14:textId="77777777" w:rsidR="00E24B2C" w:rsidRPr="0038149A" w:rsidRDefault="00E24B2C" w:rsidP="00E24B2C">
            <w:pPr>
              <w:rPr>
                <w:sz w:val="20"/>
                <w:szCs w:val="20"/>
              </w:rPr>
            </w:pPr>
            <w:r w:rsidRPr="0038149A">
              <w:rPr>
                <w:sz w:val="20"/>
                <w:szCs w:val="20"/>
              </w:rPr>
              <w:t>[…]</w:t>
            </w:r>
          </w:p>
        </w:tc>
        <w:tc>
          <w:tcPr>
            <w:tcW w:w="717" w:type="dxa"/>
            <w:tcBorders>
              <w:top w:val="double" w:sz="4" w:space="0" w:color="auto"/>
            </w:tcBorders>
          </w:tcPr>
          <w:p w14:paraId="47D1ED74" w14:textId="77777777" w:rsidR="00E24B2C" w:rsidRPr="0038149A" w:rsidRDefault="00E24B2C" w:rsidP="00E24B2C">
            <w:pPr>
              <w:rPr>
                <w:sz w:val="20"/>
                <w:szCs w:val="20"/>
              </w:rPr>
            </w:pPr>
            <w:r w:rsidRPr="0038149A">
              <w:rPr>
                <w:sz w:val="20"/>
                <w:szCs w:val="20"/>
              </w:rPr>
              <w:t>[…]</w:t>
            </w:r>
          </w:p>
        </w:tc>
        <w:tc>
          <w:tcPr>
            <w:tcW w:w="1072" w:type="dxa"/>
            <w:tcBorders>
              <w:top w:val="double" w:sz="4" w:space="0" w:color="auto"/>
            </w:tcBorders>
          </w:tcPr>
          <w:p w14:paraId="5B8F5055" w14:textId="2192DD48" w:rsidR="00E24B2C" w:rsidRPr="0038149A" w:rsidRDefault="00E24B2C" w:rsidP="00E24B2C">
            <w:pPr>
              <w:rPr>
                <w:sz w:val="20"/>
                <w:szCs w:val="20"/>
              </w:rPr>
            </w:pPr>
            <w:r>
              <w:rPr>
                <w:sz w:val="20"/>
              </w:rPr>
              <w:t xml:space="preserve">30,000 </w:t>
            </w:r>
          </w:p>
        </w:tc>
        <w:tc>
          <w:tcPr>
            <w:tcW w:w="1260" w:type="dxa"/>
            <w:tcBorders>
              <w:top w:val="double" w:sz="4" w:space="0" w:color="auto"/>
            </w:tcBorders>
          </w:tcPr>
          <w:p w14:paraId="2409BAE0" w14:textId="2BD3728E" w:rsidR="00E24B2C" w:rsidRPr="0038149A" w:rsidRDefault="00E24B2C" w:rsidP="00E24B2C">
            <w:pPr>
              <w:rPr>
                <w:sz w:val="20"/>
                <w:szCs w:val="20"/>
              </w:rPr>
            </w:pPr>
            <w:r>
              <w:rPr>
                <w:sz w:val="20"/>
              </w:rPr>
              <w:t xml:space="preserve">30,000 </w:t>
            </w:r>
          </w:p>
        </w:tc>
        <w:tc>
          <w:tcPr>
            <w:tcW w:w="1350" w:type="dxa"/>
            <w:tcBorders>
              <w:top w:val="double" w:sz="4" w:space="0" w:color="auto"/>
            </w:tcBorders>
          </w:tcPr>
          <w:p w14:paraId="2452EFBB" w14:textId="77777777" w:rsidR="00E24B2C" w:rsidRPr="0038149A" w:rsidRDefault="00E24B2C" w:rsidP="00E24B2C">
            <w:pPr>
              <w:rPr>
                <w:sz w:val="20"/>
                <w:szCs w:val="20"/>
              </w:rPr>
            </w:pPr>
            <w:r w:rsidRPr="0038149A">
              <w:rPr>
                <w:sz w:val="20"/>
                <w:szCs w:val="20"/>
              </w:rPr>
              <w:t>[…]</w:t>
            </w:r>
          </w:p>
        </w:tc>
        <w:tc>
          <w:tcPr>
            <w:tcW w:w="1440" w:type="dxa"/>
            <w:tcBorders>
              <w:top w:val="double" w:sz="4" w:space="0" w:color="auto"/>
              <w:right w:val="double" w:sz="4" w:space="0" w:color="auto"/>
            </w:tcBorders>
          </w:tcPr>
          <w:p w14:paraId="1CC38FEF" w14:textId="77777777" w:rsidR="00E24B2C" w:rsidRPr="0038149A" w:rsidRDefault="00E24B2C" w:rsidP="00E24B2C">
            <w:pPr>
              <w:rPr>
                <w:sz w:val="20"/>
                <w:szCs w:val="20"/>
              </w:rPr>
            </w:pPr>
            <w:r w:rsidRPr="0038149A">
              <w:rPr>
                <w:sz w:val="20"/>
                <w:szCs w:val="20"/>
              </w:rPr>
              <w:t>[…]</w:t>
            </w:r>
          </w:p>
        </w:tc>
      </w:tr>
      <w:tr w:rsidR="005D5EA2" w:rsidRPr="00002BED" w14:paraId="69F113F0" w14:textId="77777777" w:rsidTr="00664A69">
        <w:tc>
          <w:tcPr>
            <w:tcW w:w="1384" w:type="dxa"/>
            <w:tcBorders>
              <w:top w:val="double" w:sz="4" w:space="0" w:color="auto"/>
              <w:left w:val="double" w:sz="4" w:space="0" w:color="auto"/>
              <w:bottom w:val="single" w:sz="4" w:space="0" w:color="FFFFFF" w:themeColor="background1"/>
            </w:tcBorders>
          </w:tcPr>
          <w:p w14:paraId="532DBE5D" w14:textId="77777777" w:rsidR="00E24B2C" w:rsidRPr="00002BED" w:rsidRDefault="00E24B2C" w:rsidP="00E24B2C">
            <w:pPr>
              <w:rPr>
                <w:b/>
                <w:sz w:val="20"/>
              </w:rPr>
            </w:pPr>
            <w:r>
              <w:rPr>
                <w:b/>
                <w:sz w:val="20"/>
              </w:rPr>
              <w:t>Travel</w:t>
            </w:r>
          </w:p>
        </w:tc>
        <w:tc>
          <w:tcPr>
            <w:tcW w:w="2263" w:type="dxa"/>
            <w:tcBorders>
              <w:top w:val="double" w:sz="4" w:space="0" w:color="auto"/>
            </w:tcBorders>
          </w:tcPr>
          <w:p w14:paraId="1CECE355" w14:textId="2FC31EE4" w:rsidR="00E24B2C" w:rsidRPr="0038149A" w:rsidRDefault="00466621" w:rsidP="00E24B2C">
            <w:pPr>
              <w:rPr>
                <w:sz w:val="20"/>
                <w:szCs w:val="20"/>
              </w:rPr>
            </w:pPr>
            <w:r>
              <w:rPr>
                <w:sz w:val="20"/>
                <w:szCs w:val="20"/>
              </w:rPr>
              <w:t>Travel for consultations/validations</w:t>
            </w:r>
          </w:p>
        </w:tc>
        <w:tc>
          <w:tcPr>
            <w:tcW w:w="939" w:type="dxa"/>
            <w:tcBorders>
              <w:top w:val="double" w:sz="4" w:space="0" w:color="auto"/>
            </w:tcBorders>
          </w:tcPr>
          <w:p w14:paraId="46DA0840" w14:textId="77777777" w:rsidR="00E24B2C" w:rsidRPr="0038149A" w:rsidRDefault="00E24B2C" w:rsidP="00E24B2C">
            <w:pPr>
              <w:rPr>
                <w:sz w:val="20"/>
                <w:szCs w:val="20"/>
              </w:rPr>
            </w:pPr>
            <w:r w:rsidRPr="0038149A">
              <w:rPr>
                <w:sz w:val="20"/>
                <w:szCs w:val="20"/>
              </w:rPr>
              <w:t>[…]</w:t>
            </w:r>
          </w:p>
        </w:tc>
        <w:tc>
          <w:tcPr>
            <w:tcW w:w="717" w:type="dxa"/>
            <w:tcBorders>
              <w:top w:val="double" w:sz="4" w:space="0" w:color="auto"/>
            </w:tcBorders>
          </w:tcPr>
          <w:p w14:paraId="357B46F5" w14:textId="77777777" w:rsidR="00E24B2C" w:rsidRPr="0038149A" w:rsidRDefault="00E24B2C" w:rsidP="00E24B2C">
            <w:pPr>
              <w:rPr>
                <w:sz w:val="20"/>
                <w:szCs w:val="20"/>
              </w:rPr>
            </w:pPr>
            <w:r w:rsidRPr="0038149A">
              <w:rPr>
                <w:sz w:val="20"/>
                <w:szCs w:val="20"/>
              </w:rPr>
              <w:t>[…]</w:t>
            </w:r>
          </w:p>
        </w:tc>
        <w:tc>
          <w:tcPr>
            <w:tcW w:w="1072" w:type="dxa"/>
            <w:tcBorders>
              <w:top w:val="double" w:sz="4" w:space="0" w:color="auto"/>
            </w:tcBorders>
          </w:tcPr>
          <w:p w14:paraId="555DF853" w14:textId="014FD05A" w:rsidR="00E24B2C" w:rsidRPr="0038149A" w:rsidRDefault="00466621" w:rsidP="00E24B2C">
            <w:pPr>
              <w:rPr>
                <w:sz w:val="20"/>
                <w:szCs w:val="20"/>
              </w:rPr>
            </w:pPr>
            <w:r>
              <w:rPr>
                <w:sz w:val="20"/>
                <w:szCs w:val="20"/>
              </w:rPr>
              <w:t xml:space="preserve">15,000 </w:t>
            </w:r>
          </w:p>
        </w:tc>
        <w:tc>
          <w:tcPr>
            <w:tcW w:w="1260" w:type="dxa"/>
            <w:tcBorders>
              <w:top w:val="double" w:sz="4" w:space="0" w:color="auto"/>
            </w:tcBorders>
          </w:tcPr>
          <w:p w14:paraId="110C6165" w14:textId="77777777" w:rsidR="00E24B2C" w:rsidRPr="0038149A" w:rsidRDefault="00E24B2C" w:rsidP="00E24B2C">
            <w:pPr>
              <w:rPr>
                <w:sz w:val="20"/>
                <w:szCs w:val="20"/>
              </w:rPr>
            </w:pPr>
            <w:r w:rsidRPr="0038149A">
              <w:rPr>
                <w:sz w:val="20"/>
                <w:szCs w:val="20"/>
              </w:rPr>
              <w:t>[…]</w:t>
            </w:r>
          </w:p>
        </w:tc>
        <w:tc>
          <w:tcPr>
            <w:tcW w:w="1350" w:type="dxa"/>
            <w:tcBorders>
              <w:top w:val="double" w:sz="4" w:space="0" w:color="auto"/>
            </w:tcBorders>
          </w:tcPr>
          <w:p w14:paraId="23011FFB" w14:textId="77777777" w:rsidR="00E24B2C" w:rsidRPr="0038149A" w:rsidRDefault="00E24B2C" w:rsidP="00E24B2C">
            <w:pPr>
              <w:rPr>
                <w:sz w:val="20"/>
                <w:szCs w:val="20"/>
              </w:rPr>
            </w:pPr>
            <w:r w:rsidRPr="0038149A">
              <w:rPr>
                <w:sz w:val="20"/>
                <w:szCs w:val="20"/>
              </w:rPr>
              <w:t>[…]</w:t>
            </w:r>
          </w:p>
        </w:tc>
        <w:tc>
          <w:tcPr>
            <w:tcW w:w="1440" w:type="dxa"/>
            <w:tcBorders>
              <w:top w:val="double" w:sz="4" w:space="0" w:color="auto"/>
              <w:right w:val="double" w:sz="4" w:space="0" w:color="auto"/>
            </w:tcBorders>
          </w:tcPr>
          <w:p w14:paraId="7D34B42D" w14:textId="77777777" w:rsidR="00E24B2C" w:rsidRPr="0038149A" w:rsidRDefault="00E24B2C" w:rsidP="00E24B2C">
            <w:pPr>
              <w:rPr>
                <w:sz w:val="20"/>
                <w:szCs w:val="20"/>
              </w:rPr>
            </w:pPr>
            <w:r w:rsidRPr="0038149A">
              <w:rPr>
                <w:sz w:val="20"/>
                <w:szCs w:val="20"/>
              </w:rPr>
              <w:t>[…]</w:t>
            </w:r>
          </w:p>
        </w:tc>
      </w:tr>
      <w:tr w:rsidR="005D5EA2" w:rsidRPr="00002BED" w14:paraId="37B4EC5D" w14:textId="77777777" w:rsidTr="00664A69">
        <w:tc>
          <w:tcPr>
            <w:tcW w:w="1384" w:type="dxa"/>
            <w:tcBorders>
              <w:top w:val="double" w:sz="4" w:space="0" w:color="auto"/>
              <w:left w:val="double" w:sz="4" w:space="0" w:color="auto"/>
              <w:bottom w:val="single" w:sz="4" w:space="0" w:color="FFFFFF" w:themeColor="background1"/>
            </w:tcBorders>
          </w:tcPr>
          <w:p w14:paraId="714AE69E" w14:textId="77777777" w:rsidR="00E24B2C" w:rsidRPr="00002BED" w:rsidRDefault="00E24B2C" w:rsidP="00E24B2C">
            <w:pPr>
              <w:rPr>
                <w:b/>
                <w:sz w:val="20"/>
              </w:rPr>
            </w:pPr>
            <w:r>
              <w:rPr>
                <w:b/>
                <w:sz w:val="20"/>
              </w:rPr>
              <w:t>Transfers and grants</w:t>
            </w:r>
          </w:p>
        </w:tc>
        <w:tc>
          <w:tcPr>
            <w:tcW w:w="2263" w:type="dxa"/>
            <w:tcBorders>
              <w:top w:val="double" w:sz="4" w:space="0" w:color="auto"/>
            </w:tcBorders>
          </w:tcPr>
          <w:p w14:paraId="617E34B5" w14:textId="77777777" w:rsidR="00E24B2C" w:rsidRPr="0038149A" w:rsidRDefault="00E24B2C" w:rsidP="00E24B2C">
            <w:pPr>
              <w:rPr>
                <w:sz w:val="20"/>
                <w:szCs w:val="20"/>
              </w:rPr>
            </w:pPr>
            <w:r w:rsidRPr="0038149A">
              <w:rPr>
                <w:sz w:val="20"/>
                <w:szCs w:val="20"/>
              </w:rPr>
              <w:t>[…]</w:t>
            </w:r>
          </w:p>
        </w:tc>
        <w:tc>
          <w:tcPr>
            <w:tcW w:w="939" w:type="dxa"/>
            <w:tcBorders>
              <w:top w:val="double" w:sz="4" w:space="0" w:color="auto"/>
            </w:tcBorders>
          </w:tcPr>
          <w:p w14:paraId="41B8E097" w14:textId="77777777" w:rsidR="00E24B2C" w:rsidRPr="0038149A" w:rsidRDefault="00E24B2C" w:rsidP="00E24B2C">
            <w:pPr>
              <w:rPr>
                <w:sz w:val="20"/>
                <w:szCs w:val="20"/>
              </w:rPr>
            </w:pPr>
            <w:r w:rsidRPr="0038149A">
              <w:rPr>
                <w:sz w:val="20"/>
                <w:szCs w:val="20"/>
              </w:rPr>
              <w:t>[…]</w:t>
            </w:r>
          </w:p>
        </w:tc>
        <w:tc>
          <w:tcPr>
            <w:tcW w:w="717" w:type="dxa"/>
            <w:tcBorders>
              <w:top w:val="double" w:sz="4" w:space="0" w:color="auto"/>
            </w:tcBorders>
          </w:tcPr>
          <w:p w14:paraId="6C8CDCB7" w14:textId="77777777" w:rsidR="00E24B2C" w:rsidRPr="0038149A" w:rsidRDefault="00E24B2C" w:rsidP="00E24B2C">
            <w:pPr>
              <w:rPr>
                <w:sz w:val="20"/>
                <w:szCs w:val="20"/>
              </w:rPr>
            </w:pPr>
            <w:r w:rsidRPr="0038149A">
              <w:rPr>
                <w:sz w:val="20"/>
                <w:szCs w:val="20"/>
              </w:rPr>
              <w:t>[…]</w:t>
            </w:r>
          </w:p>
        </w:tc>
        <w:tc>
          <w:tcPr>
            <w:tcW w:w="1072" w:type="dxa"/>
            <w:tcBorders>
              <w:top w:val="double" w:sz="4" w:space="0" w:color="auto"/>
            </w:tcBorders>
          </w:tcPr>
          <w:p w14:paraId="72FC4CD7" w14:textId="77777777" w:rsidR="00E24B2C" w:rsidRPr="0038149A" w:rsidRDefault="00E24B2C" w:rsidP="00E24B2C">
            <w:pPr>
              <w:rPr>
                <w:sz w:val="20"/>
                <w:szCs w:val="20"/>
              </w:rPr>
            </w:pPr>
            <w:r w:rsidRPr="0038149A">
              <w:rPr>
                <w:sz w:val="20"/>
                <w:szCs w:val="20"/>
              </w:rPr>
              <w:t>[…]</w:t>
            </w:r>
          </w:p>
        </w:tc>
        <w:tc>
          <w:tcPr>
            <w:tcW w:w="1260" w:type="dxa"/>
            <w:tcBorders>
              <w:top w:val="double" w:sz="4" w:space="0" w:color="auto"/>
            </w:tcBorders>
          </w:tcPr>
          <w:p w14:paraId="541CD7C1" w14:textId="77777777" w:rsidR="00E24B2C" w:rsidRPr="0038149A" w:rsidRDefault="00E24B2C" w:rsidP="00E24B2C">
            <w:pPr>
              <w:rPr>
                <w:sz w:val="20"/>
                <w:szCs w:val="20"/>
              </w:rPr>
            </w:pPr>
            <w:r w:rsidRPr="0038149A">
              <w:rPr>
                <w:sz w:val="20"/>
                <w:szCs w:val="20"/>
              </w:rPr>
              <w:t>[…]</w:t>
            </w:r>
          </w:p>
        </w:tc>
        <w:tc>
          <w:tcPr>
            <w:tcW w:w="1350" w:type="dxa"/>
            <w:tcBorders>
              <w:top w:val="double" w:sz="4" w:space="0" w:color="auto"/>
            </w:tcBorders>
          </w:tcPr>
          <w:p w14:paraId="718DE67F" w14:textId="77777777" w:rsidR="00E24B2C" w:rsidRPr="0038149A" w:rsidRDefault="00E24B2C" w:rsidP="00E24B2C">
            <w:pPr>
              <w:rPr>
                <w:sz w:val="20"/>
                <w:szCs w:val="20"/>
              </w:rPr>
            </w:pPr>
            <w:r w:rsidRPr="0038149A">
              <w:rPr>
                <w:sz w:val="20"/>
                <w:szCs w:val="20"/>
              </w:rPr>
              <w:t>[…]</w:t>
            </w:r>
          </w:p>
        </w:tc>
        <w:tc>
          <w:tcPr>
            <w:tcW w:w="1440" w:type="dxa"/>
            <w:tcBorders>
              <w:top w:val="double" w:sz="4" w:space="0" w:color="auto"/>
              <w:right w:val="double" w:sz="4" w:space="0" w:color="auto"/>
            </w:tcBorders>
          </w:tcPr>
          <w:p w14:paraId="6BD078BD" w14:textId="77777777" w:rsidR="00E24B2C" w:rsidRPr="0038149A" w:rsidRDefault="00E24B2C" w:rsidP="00E24B2C">
            <w:pPr>
              <w:rPr>
                <w:sz w:val="20"/>
                <w:szCs w:val="20"/>
              </w:rPr>
            </w:pPr>
            <w:r w:rsidRPr="0038149A">
              <w:rPr>
                <w:sz w:val="20"/>
                <w:szCs w:val="20"/>
              </w:rPr>
              <w:t>[…]</w:t>
            </w:r>
          </w:p>
        </w:tc>
      </w:tr>
      <w:tr w:rsidR="005D5EA2" w:rsidRPr="00002BED" w14:paraId="486D024F" w14:textId="77777777" w:rsidTr="00664A69">
        <w:tc>
          <w:tcPr>
            <w:tcW w:w="1384" w:type="dxa"/>
            <w:tcBorders>
              <w:top w:val="double" w:sz="4" w:space="0" w:color="auto"/>
              <w:left w:val="double" w:sz="4" w:space="0" w:color="auto"/>
              <w:bottom w:val="single" w:sz="4" w:space="0" w:color="FFFFFF" w:themeColor="background1"/>
            </w:tcBorders>
          </w:tcPr>
          <w:p w14:paraId="6E8ABE76" w14:textId="77777777" w:rsidR="00E24B2C" w:rsidRPr="00002BED" w:rsidRDefault="00E24B2C" w:rsidP="00E24B2C">
            <w:pPr>
              <w:rPr>
                <w:b/>
                <w:sz w:val="20"/>
              </w:rPr>
            </w:pPr>
            <w:r>
              <w:rPr>
                <w:b/>
                <w:sz w:val="20"/>
              </w:rPr>
              <w:t xml:space="preserve">General Operating expenses </w:t>
            </w:r>
          </w:p>
        </w:tc>
        <w:tc>
          <w:tcPr>
            <w:tcW w:w="2263" w:type="dxa"/>
            <w:tcBorders>
              <w:top w:val="double" w:sz="4" w:space="0" w:color="auto"/>
            </w:tcBorders>
          </w:tcPr>
          <w:p w14:paraId="5BB9A3FC" w14:textId="699853C8" w:rsidR="005D5EA2" w:rsidRPr="0038149A" w:rsidRDefault="005D5EA2" w:rsidP="00E24B2C">
            <w:pPr>
              <w:rPr>
                <w:sz w:val="20"/>
                <w:szCs w:val="20"/>
              </w:rPr>
            </w:pPr>
            <w:r>
              <w:rPr>
                <w:sz w:val="20"/>
                <w:szCs w:val="20"/>
              </w:rPr>
              <w:t xml:space="preserve">Reasonable accommodation </w:t>
            </w:r>
          </w:p>
        </w:tc>
        <w:tc>
          <w:tcPr>
            <w:tcW w:w="939" w:type="dxa"/>
            <w:tcBorders>
              <w:top w:val="double" w:sz="4" w:space="0" w:color="auto"/>
            </w:tcBorders>
          </w:tcPr>
          <w:p w14:paraId="7BD4E2C5" w14:textId="77777777" w:rsidR="00E24B2C" w:rsidRPr="0038149A" w:rsidRDefault="00E24B2C" w:rsidP="00E24B2C">
            <w:pPr>
              <w:rPr>
                <w:sz w:val="20"/>
                <w:szCs w:val="20"/>
              </w:rPr>
            </w:pPr>
            <w:r w:rsidRPr="0038149A">
              <w:rPr>
                <w:sz w:val="20"/>
                <w:szCs w:val="20"/>
              </w:rPr>
              <w:t>[…]</w:t>
            </w:r>
          </w:p>
        </w:tc>
        <w:tc>
          <w:tcPr>
            <w:tcW w:w="717" w:type="dxa"/>
            <w:tcBorders>
              <w:top w:val="double" w:sz="4" w:space="0" w:color="auto"/>
            </w:tcBorders>
          </w:tcPr>
          <w:p w14:paraId="310C92CF" w14:textId="77777777" w:rsidR="00E24B2C" w:rsidRPr="0038149A" w:rsidRDefault="00E24B2C" w:rsidP="00E24B2C">
            <w:pPr>
              <w:rPr>
                <w:sz w:val="20"/>
                <w:szCs w:val="20"/>
              </w:rPr>
            </w:pPr>
            <w:r w:rsidRPr="0038149A">
              <w:rPr>
                <w:sz w:val="20"/>
                <w:szCs w:val="20"/>
              </w:rPr>
              <w:t>[…]</w:t>
            </w:r>
          </w:p>
        </w:tc>
        <w:tc>
          <w:tcPr>
            <w:tcW w:w="1072" w:type="dxa"/>
            <w:tcBorders>
              <w:top w:val="double" w:sz="4" w:space="0" w:color="auto"/>
            </w:tcBorders>
          </w:tcPr>
          <w:p w14:paraId="4A68D0C3" w14:textId="44ECF0E6" w:rsidR="00E24B2C" w:rsidRPr="0038149A" w:rsidRDefault="002B71F3" w:rsidP="00E24B2C">
            <w:pPr>
              <w:rPr>
                <w:sz w:val="20"/>
                <w:szCs w:val="20"/>
              </w:rPr>
            </w:pPr>
            <w:r>
              <w:rPr>
                <w:sz w:val="20"/>
                <w:szCs w:val="20"/>
              </w:rPr>
              <w:t>8</w:t>
            </w:r>
            <w:r w:rsidR="005D5EA2">
              <w:rPr>
                <w:sz w:val="20"/>
                <w:szCs w:val="20"/>
              </w:rPr>
              <w:t xml:space="preserve">,000  </w:t>
            </w:r>
          </w:p>
        </w:tc>
        <w:tc>
          <w:tcPr>
            <w:tcW w:w="1260" w:type="dxa"/>
            <w:tcBorders>
              <w:top w:val="double" w:sz="4" w:space="0" w:color="auto"/>
            </w:tcBorders>
          </w:tcPr>
          <w:p w14:paraId="321DA035" w14:textId="384CAF83" w:rsidR="00E24B2C" w:rsidRPr="0038149A" w:rsidRDefault="002B71F3" w:rsidP="00E24B2C">
            <w:pPr>
              <w:rPr>
                <w:sz w:val="20"/>
                <w:szCs w:val="20"/>
              </w:rPr>
            </w:pPr>
            <w:r>
              <w:rPr>
                <w:sz w:val="20"/>
                <w:szCs w:val="20"/>
              </w:rPr>
              <w:t>8</w:t>
            </w:r>
            <w:r w:rsidR="005D5EA2">
              <w:rPr>
                <w:sz w:val="20"/>
                <w:szCs w:val="20"/>
              </w:rPr>
              <w:t xml:space="preserve">,000 </w:t>
            </w:r>
          </w:p>
        </w:tc>
        <w:tc>
          <w:tcPr>
            <w:tcW w:w="1350" w:type="dxa"/>
            <w:tcBorders>
              <w:top w:val="double" w:sz="4" w:space="0" w:color="auto"/>
            </w:tcBorders>
          </w:tcPr>
          <w:p w14:paraId="3597E327" w14:textId="77777777" w:rsidR="00E24B2C" w:rsidRPr="0038149A" w:rsidRDefault="00E24B2C" w:rsidP="00E24B2C">
            <w:pPr>
              <w:rPr>
                <w:sz w:val="20"/>
                <w:szCs w:val="20"/>
              </w:rPr>
            </w:pPr>
            <w:r w:rsidRPr="0038149A">
              <w:rPr>
                <w:sz w:val="20"/>
                <w:szCs w:val="20"/>
              </w:rPr>
              <w:t>[…]</w:t>
            </w:r>
          </w:p>
        </w:tc>
        <w:tc>
          <w:tcPr>
            <w:tcW w:w="1440" w:type="dxa"/>
            <w:tcBorders>
              <w:top w:val="double" w:sz="4" w:space="0" w:color="auto"/>
              <w:right w:val="double" w:sz="4" w:space="0" w:color="auto"/>
            </w:tcBorders>
          </w:tcPr>
          <w:p w14:paraId="1EF2171A" w14:textId="77777777" w:rsidR="00E24B2C" w:rsidRPr="0038149A" w:rsidRDefault="00E24B2C" w:rsidP="00E24B2C">
            <w:pPr>
              <w:rPr>
                <w:sz w:val="20"/>
                <w:szCs w:val="20"/>
              </w:rPr>
            </w:pPr>
            <w:r w:rsidRPr="0038149A">
              <w:rPr>
                <w:sz w:val="20"/>
                <w:szCs w:val="20"/>
              </w:rPr>
              <w:t>[…]</w:t>
            </w:r>
          </w:p>
        </w:tc>
      </w:tr>
      <w:tr w:rsidR="005D5EA2" w:rsidRPr="00002BED" w14:paraId="7C509556" w14:textId="77777777" w:rsidTr="00664A69">
        <w:tc>
          <w:tcPr>
            <w:tcW w:w="1384" w:type="dxa"/>
            <w:tcBorders>
              <w:top w:val="single" w:sz="4" w:space="0" w:color="FFFFFF" w:themeColor="background1"/>
              <w:left w:val="double" w:sz="4" w:space="0" w:color="auto"/>
              <w:bottom w:val="single" w:sz="4" w:space="0" w:color="FFFFFF" w:themeColor="background1"/>
            </w:tcBorders>
          </w:tcPr>
          <w:p w14:paraId="18FE5D94" w14:textId="77777777" w:rsidR="00E24B2C" w:rsidRPr="00002BED" w:rsidRDefault="00E24B2C" w:rsidP="00E24B2C">
            <w:pPr>
              <w:ind w:left="360"/>
              <w:rPr>
                <w:b/>
                <w:sz w:val="20"/>
              </w:rPr>
            </w:pPr>
          </w:p>
        </w:tc>
        <w:tc>
          <w:tcPr>
            <w:tcW w:w="2263" w:type="dxa"/>
          </w:tcPr>
          <w:p w14:paraId="7158B82D" w14:textId="326113E0" w:rsidR="00E24B2C" w:rsidRPr="0038149A" w:rsidRDefault="00F27888" w:rsidP="00E24B2C">
            <w:pPr>
              <w:rPr>
                <w:sz w:val="20"/>
                <w:szCs w:val="20"/>
              </w:rPr>
            </w:pPr>
            <w:r>
              <w:rPr>
                <w:sz w:val="20"/>
                <w:szCs w:val="20"/>
              </w:rPr>
              <w:t>M</w:t>
            </w:r>
            <w:r w:rsidRPr="00A60093">
              <w:rPr>
                <w:sz w:val="20"/>
                <w:szCs w:val="20"/>
              </w:rPr>
              <w:t>iscellaneous</w:t>
            </w:r>
          </w:p>
        </w:tc>
        <w:tc>
          <w:tcPr>
            <w:tcW w:w="939" w:type="dxa"/>
          </w:tcPr>
          <w:p w14:paraId="739E8623" w14:textId="77777777" w:rsidR="00E24B2C" w:rsidRPr="0038149A" w:rsidRDefault="00E24B2C" w:rsidP="00E24B2C">
            <w:pPr>
              <w:rPr>
                <w:sz w:val="20"/>
                <w:szCs w:val="20"/>
              </w:rPr>
            </w:pPr>
            <w:r w:rsidRPr="0038149A">
              <w:rPr>
                <w:sz w:val="20"/>
                <w:szCs w:val="20"/>
              </w:rPr>
              <w:t>[…]</w:t>
            </w:r>
          </w:p>
        </w:tc>
        <w:tc>
          <w:tcPr>
            <w:tcW w:w="717" w:type="dxa"/>
          </w:tcPr>
          <w:p w14:paraId="238CED38" w14:textId="77777777" w:rsidR="00E24B2C" w:rsidRPr="0038149A" w:rsidRDefault="00E24B2C" w:rsidP="00E24B2C">
            <w:pPr>
              <w:rPr>
                <w:sz w:val="20"/>
                <w:szCs w:val="20"/>
              </w:rPr>
            </w:pPr>
            <w:r w:rsidRPr="0038149A">
              <w:rPr>
                <w:sz w:val="20"/>
                <w:szCs w:val="20"/>
              </w:rPr>
              <w:t>[…]</w:t>
            </w:r>
          </w:p>
        </w:tc>
        <w:tc>
          <w:tcPr>
            <w:tcW w:w="1072" w:type="dxa"/>
          </w:tcPr>
          <w:p w14:paraId="70754499" w14:textId="2A9288D7" w:rsidR="00E24B2C" w:rsidRPr="0038149A" w:rsidRDefault="00F27888" w:rsidP="00E24B2C">
            <w:pPr>
              <w:rPr>
                <w:sz w:val="20"/>
                <w:szCs w:val="20"/>
              </w:rPr>
            </w:pPr>
            <w:r>
              <w:rPr>
                <w:sz w:val="20"/>
                <w:szCs w:val="20"/>
              </w:rPr>
              <w:t xml:space="preserve">2,000 </w:t>
            </w:r>
          </w:p>
        </w:tc>
        <w:tc>
          <w:tcPr>
            <w:tcW w:w="1260" w:type="dxa"/>
          </w:tcPr>
          <w:p w14:paraId="5DD597D1" w14:textId="3A3A8631" w:rsidR="00E24B2C" w:rsidRPr="0038149A" w:rsidRDefault="00F27888" w:rsidP="00E24B2C">
            <w:pPr>
              <w:rPr>
                <w:sz w:val="20"/>
                <w:szCs w:val="20"/>
              </w:rPr>
            </w:pPr>
            <w:r>
              <w:rPr>
                <w:sz w:val="20"/>
                <w:szCs w:val="20"/>
              </w:rPr>
              <w:t xml:space="preserve">2,000 </w:t>
            </w:r>
          </w:p>
        </w:tc>
        <w:tc>
          <w:tcPr>
            <w:tcW w:w="1350" w:type="dxa"/>
          </w:tcPr>
          <w:p w14:paraId="662E1F0A" w14:textId="77777777" w:rsidR="00E24B2C" w:rsidRPr="0038149A" w:rsidRDefault="00E24B2C" w:rsidP="00E24B2C">
            <w:pPr>
              <w:rPr>
                <w:sz w:val="20"/>
                <w:szCs w:val="20"/>
              </w:rPr>
            </w:pPr>
            <w:r w:rsidRPr="0038149A">
              <w:rPr>
                <w:sz w:val="20"/>
                <w:szCs w:val="20"/>
              </w:rPr>
              <w:t>[…]</w:t>
            </w:r>
          </w:p>
        </w:tc>
        <w:tc>
          <w:tcPr>
            <w:tcW w:w="1440" w:type="dxa"/>
            <w:tcBorders>
              <w:right w:val="double" w:sz="4" w:space="0" w:color="auto"/>
            </w:tcBorders>
          </w:tcPr>
          <w:p w14:paraId="1269B4FA" w14:textId="77777777" w:rsidR="00E24B2C" w:rsidRPr="0038149A" w:rsidRDefault="00E24B2C" w:rsidP="00E24B2C">
            <w:pPr>
              <w:rPr>
                <w:sz w:val="20"/>
                <w:szCs w:val="20"/>
              </w:rPr>
            </w:pPr>
            <w:r w:rsidRPr="0038149A">
              <w:rPr>
                <w:sz w:val="20"/>
                <w:szCs w:val="20"/>
              </w:rPr>
              <w:t>[…]</w:t>
            </w:r>
          </w:p>
        </w:tc>
      </w:tr>
      <w:tr w:rsidR="005D5EA2" w:rsidRPr="00002BED" w14:paraId="22EFC438" w14:textId="77777777" w:rsidTr="00664A69">
        <w:tc>
          <w:tcPr>
            <w:tcW w:w="1384" w:type="dxa"/>
            <w:tcBorders>
              <w:top w:val="single" w:sz="4" w:space="0" w:color="FFFFFF" w:themeColor="background1"/>
              <w:left w:val="double" w:sz="4" w:space="0" w:color="auto"/>
              <w:bottom w:val="single" w:sz="4" w:space="0" w:color="FFFFFF" w:themeColor="background1"/>
            </w:tcBorders>
          </w:tcPr>
          <w:p w14:paraId="3A7DFF20" w14:textId="77777777" w:rsidR="00E24B2C" w:rsidRPr="00002BED" w:rsidRDefault="00E24B2C" w:rsidP="00E24B2C">
            <w:pPr>
              <w:ind w:left="360"/>
              <w:rPr>
                <w:b/>
                <w:sz w:val="20"/>
              </w:rPr>
            </w:pPr>
          </w:p>
        </w:tc>
        <w:tc>
          <w:tcPr>
            <w:tcW w:w="2263" w:type="dxa"/>
          </w:tcPr>
          <w:p w14:paraId="0EB14445" w14:textId="00B1DF23" w:rsidR="00E24B2C" w:rsidRPr="0038149A" w:rsidRDefault="00F27888" w:rsidP="00E24B2C">
            <w:pPr>
              <w:rPr>
                <w:sz w:val="20"/>
                <w:szCs w:val="20"/>
              </w:rPr>
            </w:pPr>
            <w:r>
              <w:rPr>
                <w:sz w:val="20"/>
                <w:szCs w:val="20"/>
              </w:rPr>
              <w:t>Venues, food</w:t>
            </w:r>
            <w:r w:rsidR="007E7209">
              <w:rPr>
                <w:sz w:val="20"/>
                <w:szCs w:val="20"/>
              </w:rPr>
              <w:t xml:space="preserve">, for consultations/validation exercises/dissemination events </w:t>
            </w:r>
          </w:p>
        </w:tc>
        <w:tc>
          <w:tcPr>
            <w:tcW w:w="939" w:type="dxa"/>
          </w:tcPr>
          <w:p w14:paraId="4194D625" w14:textId="77777777" w:rsidR="00E24B2C" w:rsidRPr="0038149A" w:rsidRDefault="00E24B2C" w:rsidP="00E24B2C">
            <w:pPr>
              <w:rPr>
                <w:sz w:val="20"/>
                <w:szCs w:val="20"/>
              </w:rPr>
            </w:pPr>
            <w:r w:rsidRPr="0038149A">
              <w:rPr>
                <w:sz w:val="20"/>
                <w:szCs w:val="20"/>
              </w:rPr>
              <w:t>[…]</w:t>
            </w:r>
          </w:p>
        </w:tc>
        <w:tc>
          <w:tcPr>
            <w:tcW w:w="717" w:type="dxa"/>
          </w:tcPr>
          <w:p w14:paraId="05E8236F" w14:textId="77777777" w:rsidR="00E24B2C" w:rsidRPr="0038149A" w:rsidRDefault="00E24B2C" w:rsidP="00E24B2C">
            <w:pPr>
              <w:rPr>
                <w:sz w:val="20"/>
                <w:szCs w:val="20"/>
              </w:rPr>
            </w:pPr>
            <w:r w:rsidRPr="0038149A">
              <w:rPr>
                <w:sz w:val="20"/>
                <w:szCs w:val="20"/>
              </w:rPr>
              <w:t>[…]</w:t>
            </w:r>
          </w:p>
        </w:tc>
        <w:tc>
          <w:tcPr>
            <w:tcW w:w="1072" w:type="dxa"/>
          </w:tcPr>
          <w:p w14:paraId="35A41292" w14:textId="4CCB689B" w:rsidR="00E24B2C" w:rsidRPr="0038149A" w:rsidRDefault="00377A02" w:rsidP="00E24B2C">
            <w:pPr>
              <w:rPr>
                <w:sz w:val="20"/>
                <w:szCs w:val="20"/>
              </w:rPr>
            </w:pPr>
            <w:r>
              <w:rPr>
                <w:sz w:val="20"/>
                <w:szCs w:val="20"/>
              </w:rPr>
              <w:t>23,000</w:t>
            </w:r>
          </w:p>
        </w:tc>
        <w:tc>
          <w:tcPr>
            <w:tcW w:w="1260" w:type="dxa"/>
          </w:tcPr>
          <w:p w14:paraId="51F553DE" w14:textId="20D5329E" w:rsidR="00E24B2C" w:rsidRDefault="00377A02" w:rsidP="00E24B2C">
            <w:pPr>
              <w:rPr>
                <w:sz w:val="20"/>
                <w:szCs w:val="20"/>
              </w:rPr>
            </w:pPr>
            <w:r>
              <w:rPr>
                <w:sz w:val="20"/>
                <w:szCs w:val="20"/>
              </w:rPr>
              <w:t>23,000</w:t>
            </w:r>
          </w:p>
          <w:p w14:paraId="72693C2F" w14:textId="50B885E4" w:rsidR="00633116" w:rsidRPr="0038149A" w:rsidRDefault="00633116" w:rsidP="00E24B2C">
            <w:pPr>
              <w:rPr>
                <w:sz w:val="20"/>
                <w:szCs w:val="20"/>
              </w:rPr>
            </w:pPr>
          </w:p>
        </w:tc>
        <w:tc>
          <w:tcPr>
            <w:tcW w:w="1350" w:type="dxa"/>
          </w:tcPr>
          <w:p w14:paraId="4A36CC69" w14:textId="77777777" w:rsidR="00E24B2C" w:rsidRPr="0038149A" w:rsidRDefault="00E24B2C" w:rsidP="00E24B2C">
            <w:pPr>
              <w:rPr>
                <w:sz w:val="20"/>
                <w:szCs w:val="20"/>
              </w:rPr>
            </w:pPr>
            <w:r w:rsidRPr="0038149A">
              <w:rPr>
                <w:sz w:val="20"/>
                <w:szCs w:val="20"/>
              </w:rPr>
              <w:t>[…]</w:t>
            </w:r>
          </w:p>
        </w:tc>
        <w:tc>
          <w:tcPr>
            <w:tcW w:w="1440" w:type="dxa"/>
            <w:tcBorders>
              <w:bottom w:val="double" w:sz="4" w:space="0" w:color="auto"/>
              <w:right w:val="double" w:sz="4" w:space="0" w:color="auto"/>
            </w:tcBorders>
          </w:tcPr>
          <w:p w14:paraId="334CC35E" w14:textId="77777777" w:rsidR="00E24B2C" w:rsidRPr="0038149A" w:rsidRDefault="00E24B2C" w:rsidP="00E24B2C">
            <w:pPr>
              <w:rPr>
                <w:sz w:val="20"/>
                <w:szCs w:val="20"/>
              </w:rPr>
            </w:pPr>
            <w:r w:rsidRPr="0038149A">
              <w:rPr>
                <w:sz w:val="20"/>
                <w:szCs w:val="20"/>
              </w:rPr>
              <w:t>[…]</w:t>
            </w:r>
          </w:p>
        </w:tc>
      </w:tr>
      <w:tr w:rsidR="00664A69" w:rsidRPr="00002BED" w14:paraId="0C3328A0" w14:textId="77777777" w:rsidTr="00664A69">
        <w:tc>
          <w:tcPr>
            <w:tcW w:w="1384" w:type="dxa"/>
            <w:tcBorders>
              <w:top w:val="double" w:sz="4" w:space="0" w:color="auto"/>
              <w:left w:val="double" w:sz="4" w:space="0" w:color="auto"/>
              <w:bottom w:val="double" w:sz="4" w:space="0" w:color="auto"/>
            </w:tcBorders>
            <w:shd w:val="clear" w:color="auto" w:fill="D9D9D9" w:themeFill="background1" w:themeFillShade="D9"/>
          </w:tcPr>
          <w:p w14:paraId="63474E5D" w14:textId="77777777" w:rsidR="00E24B2C" w:rsidRPr="00002BED" w:rsidRDefault="00E24B2C" w:rsidP="00E24B2C">
            <w:pPr>
              <w:rPr>
                <w:b/>
                <w:sz w:val="20"/>
              </w:rPr>
            </w:pPr>
            <w:r>
              <w:rPr>
                <w:b/>
                <w:sz w:val="20"/>
              </w:rPr>
              <w:lastRenderedPageBreak/>
              <w:t>Subtotal</w:t>
            </w:r>
          </w:p>
        </w:tc>
        <w:tc>
          <w:tcPr>
            <w:tcW w:w="2263" w:type="dxa"/>
            <w:tcBorders>
              <w:top w:val="double" w:sz="4" w:space="0" w:color="auto"/>
              <w:bottom w:val="double" w:sz="4" w:space="0" w:color="auto"/>
            </w:tcBorders>
            <w:shd w:val="clear" w:color="auto" w:fill="D9D9D9" w:themeFill="background1" w:themeFillShade="D9"/>
          </w:tcPr>
          <w:p w14:paraId="41964490" w14:textId="77777777" w:rsidR="00E24B2C" w:rsidRPr="0038149A" w:rsidRDefault="00E24B2C" w:rsidP="00E24B2C">
            <w:pPr>
              <w:ind w:left="360"/>
              <w:rPr>
                <w:sz w:val="20"/>
                <w:szCs w:val="20"/>
              </w:rPr>
            </w:pPr>
          </w:p>
        </w:tc>
        <w:tc>
          <w:tcPr>
            <w:tcW w:w="939" w:type="dxa"/>
            <w:tcBorders>
              <w:top w:val="double" w:sz="4" w:space="0" w:color="auto"/>
              <w:bottom w:val="double" w:sz="4" w:space="0" w:color="auto"/>
            </w:tcBorders>
            <w:shd w:val="clear" w:color="auto" w:fill="D9D9D9" w:themeFill="background1" w:themeFillShade="D9"/>
          </w:tcPr>
          <w:p w14:paraId="3CD12F0A" w14:textId="77777777" w:rsidR="00E24B2C" w:rsidRPr="0038149A" w:rsidRDefault="00E24B2C" w:rsidP="00E24B2C">
            <w:pPr>
              <w:ind w:left="360"/>
              <w:rPr>
                <w:sz w:val="20"/>
                <w:szCs w:val="20"/>
              </w:rPr>
            </w:pPr>
          </w:p>
        </w:tc>
        <w:tc>
          <w:tcPr>
            <w:tcW w:w="717" w:type="dxa"/>
            <w:tcBorders>
              <w:top w:val="double" w:sz="4" w:space="0" w:color="auto"/>
              <w:bottom w:val="double" w:sz="4" w:space="0" w:color="auto"/>
            </w:tcBorders>
            <w:shd w:val="clear" w:color="auto" w:fill="D9D9D9" w:themeFill="background1" w:themeFillShade="D9"/>
          </w:tcPr>
          <w:p w14:paraId="40066D99" w14:textId="77777777" w:rsidR="00E24B2C" w:rsidRPr="0038149A" w:rsidRDefault="00E24B2C" w:rsidP="00E24B2C">
            <w:pPr>
              <w:ind w:left="360"/>
              <w:rPr>
                <w:sz w:val="20"/>
                <w:szCs w:val="20"/>
              </w:rPr>
            </w:pPr>
          </w:p>
        </w:tc>
        <w:tc>
          <w:tcPr>
            <w:tcW w:w="1072" w:type="dxa"/>
            <w:tcBorders>
              <w:top w:val="double" w:sz="4" w:space="0" w:color="auto"/>
              <w:bottom w:val="double" w:sz="4" w:space="0" w:color="auto"/>
            </w:tcBorders>
            <w:shd w:val="clear" w:color="auto" w:fill="D9D9D9" w:themeFill="background1" w:themeFillShade="D9"/>
          </w:tcPr>
          <w:p w14:paraId="51A74DB0" w14:textId="2C10B56F" w:rsidR="00E24B2C" w:rsidRPr="0038149A" w:rsidRDefault="00294A95" w:rsidP="00E24B2C">
            <w:pPr>
              <w:ind w:left="360"/>
              <w:rPr>
                <w:sz w:val="20"/>
                <w:szCs w:val="20"/>
              </w:rPr>
            </w:pPr>
            <w:r>
              <w:rPr>
                <w:sz w:val="20"/>
                <w:szCs w:val="20"/>
              </w:rPr>
              <w:t>93,000</w:t>
            </w:r>
            <w:r w:rsidR="002531FC">
              <w:rPr>
                <w:sz w:val="20"/>
                <w:szCs w:val="20"/>
              </w:rPr>
              <w:t xml:space="preserve"> </w:t>
            </w:r>
          </w:p>
        </w:tc>
        <w:tc>
          <w:tcPr>
            <w:tcW w:w="1260" w:type="dxa"/>
            <w:tcBorders>
              <w:top w:val="double" w:sz="4" w:space="0" w:color="auto"/>
              <w:bottom w:val="double" w:sz="4" w:space="0" w:color="auto"/>
            </w:tcBorders>
            <w:shd w:val="clear" w:color="auto" w:fill="D9D9D9" w:themeFill="background1" w:themeFillShade="D9"/>
          </w:tcPr>
          <w:p w14:paraId="1A5C413E" w14:textId="180D2471" w:rsidR="00E24B2C" w:rsidRPr="0038149A" w:rsidRDefault="002531FC" w:rsidP="00E24B2C">
            <w:pPr>
              <w:ind w:left="360"/>
              <w:rPr>
                <w:sz w:val="20"/>
                <w:szCs w:val="20"/>
              </w:rPr>
            </w:pPr>
            <w:r>
              <w:rPr>
                <w:sz w:val="20"/>
                <w:szCs w:val="20"/>
              </w:rPr>
              <w:t xml:space="preserve">93,000 </w:t>
            </w:r>
          </w:p>
        </w:tc>
        <w:tc>
          <w:tcPr>
            <w:tcW w:w="1350" w:type="dxa"/>
            <w:tcBorders>
              <w:top w:val="double" w:sz="4" w:space="0" w:color="auto"/>
              <w:bottom w:val="double" w:sz="4" w:space="0" w:color="auto"/>
            </w:tcBorders>
            <w:shd w:val="clear" w:color="auto" w:fill="D9D9D9" w:themeFill="background1" w:themeFillShade="D9"/>
          </w:tcPr>
          <w:p w14:paraId="603F9501" w14:textId="77777777" w:rsidR="00E24B2C" w:rsidRPr="0038149A" w:rsidRDefault="00E24B2C" w:rsidP="00E24B2C">
            <w:pPr>
              <w:rPr>
                <w:sz w:val="20"/>
                <w:szCs w:val="20"/>
              </w:rPr>
            </w:pPr>
          </w:p>
        </w:tc>
        <w:tc>
          <w:tcPr>
            <w:tcW w:w="1440" w:type="dxa"/>
            <w:tcBorders>
              <w:top w:val="double" w:sz="4" w:space="0" w:color="auto"/>
              <w:bottom w:val="double" w:sz="4" w:space="0" w:color="auto"/>
              <w:right w:val="double" w:sz="4" w:space="0" w:color="auto"/>
            </w:tcBorders>
            <w:shd w:val="clear" w:color="auto" w:fill="D9D9D9" w:themeFill="background1" w:themeFillShade="D9"/>
          </w:tcPr>
          <w:p w14:paraId="02442B06" w14:textId="77777777" w:rsidR="00E24B2C" w:rsidRPr="0038149A" w:rsidRDefault="00E24B2C" w:rsidP="00E24B2C">
            <w:pPr>
              <w:ind w:left="360"/>
              <w:rPr>
                <w:sz w:val="20"/>
                <w:szCs w:val="20"/>
              </w:rPr>
            </w:pPr>
          </w:p>
        </w:tc>
      </w:tr>
      <w:tr w:rsidR="005D5EA2" w:rsidRPr="00002BED" w14:paraId="6B3803F8" w14:textId="77777777" w:rsidTr="00664A69">
        <w:tc>
          <w:tcPr>
            <w:tcW w:w="1384" w:type="dxa"/>
            <w:tcBorders>
              <w:top w:val="double" w:sz="4" w:space="0" w:color="auto"/>
              <w:left w:val="double" w:sz="4" w:space="0" w:color="auto"/>
              <w:bottom w:val="double" w:sz="4" w:space="0" w:color="auto"/>
            </w:tcBorders>
          </w:tcPr>
          <w:p w14:paraId="21AA3262" w14:textId="77777777" w:rsidR="00E24B2C" w:rsidRPr="00002BED" w:rsidRDefault="00E24B2C" w:rsidP="00E24B2C">
            <w:pPr>
              <w:rPr>
                <w:b/>
                <w:sz w:val="20"/>
              </w:rPr>
            </w:pPr>
            <w:r>
              <w:rPr>
                <w:b/>
                <w:sz w:val="20"/>
              </w:rPr>
              <w:t>Indirect costs (7%)</w:t>
            </w:r>
          </w:p>
        </w:tc>
        <w:tc>
          <w:tcPr>
            <w:tcW w:w="2263" w:type="dxa"/>
            <w:tcBorders>
              <w:top w:val="double" w:sz="4" w:space="0" w:color="auto"/>
              <w:bottom w:val="double" w:sz="4" w:space="0" w:color="auto"/>
            </w:tcBorders>
          </w:tcPr>
          <w:p w14:paraId="195BA32D" w14:textId="6025C42F" w:rsidR="00E24B2C" w:rsidRPr="0038149A" w:rsidRDefault="00A60093" w:rsidP="00E24B2C">
            <w:pPr>
              <w:rPr>
                <w:sz w:val="20"/>
                <w:szCs w:val="20"/>
              </w:rPr>
            </w:pPr>
            <w:r>
              <w:rPr>
                <w:sz w:val="20"/>
                <w:szCs w:val="20"/>
              </w:rPr>
              <w:t>M</w:t>
            </w:r>
            <w:r w:rsidRPr="00A60093">
              <w:rPr>
                <w:sz w:val="20"/>
                <w:szCs w:val="20"/>
              </w:rPr>
              <w:t>iscellaneous</w:t>
            </w:r>
          </w:p>
        </w:tc>
        <w:tc>
          <w:tcPr>
            <w:tcW w:w="939" w:type="dxa"/>
            <w:tcBorders>
              <w:top w:val="double" w:sz="4" w:space="0" w:color="auto"/>
              <w:bottom w:val="double" w:sz="4" w:space="0" w:color="auto"/>
            </w:tcBorders>
          </w:tcPr>
          <w:p w14:paraId="6B8FA7CF" w14:textId="77777777" w:rsidR="00E24B2C" w:rsidRPr="0038149A" w:rsidRDefault="00E24B2C" w:rsidP="00E24B2C">
            <w:pPr>
              <w:rPr>
                <w:sz w:val="20"/>
                <w:szCs w:val="20"/>
              </w:rPr>
            </w:pPr>
            <w:r w:rsidRPr="0038149A">
              <w:rPr>
                <w:sz w:val="20"/>
                <w:szCs w:val="20"/>
              </w:rPr>
              <w:t>[…]</w:t>
            </w:r>
          </w:p>
        </w:tc>
        <w:tc>
          <w:tcPr>
            <w:tcW w:w="717" w:type="dxa"/>
            <w:tcBorders>
              <w:top w:val="double" w:sz="4" w:space="0" w:color="auto"/>
              <w:bottom w:val="double" w:sz="4" w:space="0" w:color="auto"/>
            </w:tcBorders>
          </w:tcPr>
          <w:p w14:paraId="0125AA13" w14:textId="77777777" w:rsidR="00E24B2C" w:rsidRPr="0038149A" w:rsidRDefault="00E24B2C" w:rsidP="00E24B2C">
            <w:pPr>
              <w:rPr>
                <w:sz w:val="20"/>
                <w:szCs w:val="20"/>
              </w:rPr>
            </w:pPr>
            <w:r w:rsidRPr="0038149A">
              <w:rPr>
                <w:sz w:val="20"/>
                <w:szCs w:val="20"/>
              </w:rPr>
              <w:t>[…]</w:t>
            </w:r>
          </w:p>
        </w:tc>
        <w:tc>
          <w:tcPr>
            <w:tcW w:w="1072" w:type="dxa"/>
            <w:tcBorders>
              <w:top w:val="double" w:sz="4" w:space="0" w:color="auto"/>
              <w:bottom w:val="double" w:sz="4" w:space="0" w:color="auto"/>
            </w:tcBorders>
          </w:tcPr>
          <w:p w14:paraId="1CFA4C22" w14:textId="56FBB57D" w:rsidR="00E24B2C" w:rsidRPr="0038149A" w:rsidRDefault="002531FC" w:rsidP="00E24B2C">
            <w:pPr>
              <w:rPr>
                <w:sz w:val="20"/>
                <w:szCs w:val="20"/>
              </w:rPr>
            </w:pPr>
            <w:r>
              <w:rPr>
                <w:sz w:val="20"/>
                <w:szCs w:val="20"/>
              </w:rPr>
              <w:t>6,5</w:t>
            </w:r>
            <w:r w:rsidR="00882F7F">
              <w:rPr>
                <w:sz w:val="20"/>
                <w:szCs w:val="20"/>
              </w:rPr>
              <w:t xml:space="preserve">10 </w:t>
            </w:r>
            <w:r w:rsidR="00270332">
              <w:rPr>
                <w:sz w:val="20"/>
                <w:szCs w:val="20"/>
              </w:rPr>
              <w:t xml:space="preserve"> </w:t>
            </w:r>
          </w:p>
        </w:tc>
        <w:tc>
          <w:tcPr>
            <w:tcW w:w="1260" w:type="dxa"/>
            <w:tcBorders>
              <w:top w:val="double" w:sz="4" w:space="0" w:color="auto"/>
              <w:bottom w:val="double" w:sz="4" w:space="0" w:color="auto"/>
            </w:tcBorders>
          </w:tcPr>
          <w:p w14:paraId="494774CA" w14:textId="098386C3" w:rsidR="00E24B2C" w:rsidRPr="0038149A" w:rsidRDefault="00882F7F" w:rsidP="00E24B2C">
            <w:pPr>
              <w:rPr>
                <w:sz w:val="20"/>
                <w:szCs w:val="20"/>
              </w:rPr>
            </w:pPr>
            <w:r>
              <w:rPr>
                <w:sz w:val="20"/>
                <w:szCs w:val="20"/>
              </w:rPr>
              <w:t xml:space="preserve">6,510 </w:t>
            </w:r>
            <w:r w:rsidR="00270332">
              <w:rPr>
                <w:sz w:val="20"/>
                <w:szCs w:val="20"/>
              </w:rPr>
              <w:t xml:space="preserve"> </w:t>
            </w:r>
          </w:p>
        </w:tc>
        <w:tc>
          <w:tcPr>
            <w:tcW w:w="1350" w:type="dxa"/>
            <w:tcBorders>
              <w:top w:val="double" w:sz="4" w:space="0" w:color="auto"/>
              <w:bottom w:val="double" w:sz="4" w:space="0" w:color="auto"/>
            </w:tcBorders>
          </w:tcPr>
          <w:p w14:paraId="555856D1" w14:textId="77777777" w:rsidR="00E24B2C" w:rsidRPr="0038149A" w:rsidRDefault="00E24B2C" w:rsidP="00E24B2C">
            <w:pPr>
              <w:rPr>
                <w:sz w:val="20"/>
                <w:szCs w:val="20"/>
              </w:rPr>
            </w:pPr>
            <w:r w:rsidRPr="0038149A">
              <w:rPr>
                <w:sz w:val="20"/>
                <w:szCs w:val="20"/>
              </w:rPr>
              <w:t>[…]</w:t>
            </w:r>
          </w:p>
        </w:tc>
        <w:tc>
          <w:tcPr>
            <w:tcW w:w="1440" w:type="dxa"/>
            <w:tcBorders>
              <w:top w:val="double" w:sz="4" w:space="0" w:color="auto"/>
              <w:bottom w:val="double" w:sz="4" w:space="0" w:color="auto"/>
              <w:right w:val="double" w:sz="4" w:space="0" w:color="auto"/>
            </w:tcBorders>
          </w:tcPr>
          <w:p w14:paraId="39076199" w14:textId="77777777" w:rsidR="00E24B2C" w:rsidRPr="0038149A" w:rsidRDefault="00E24B2C" w:rsidP="00E24B2C">
            <w:pPr>
              <w:rPr>
                <w:sz w:val="20"/>
                <w:szCs w:val="20"/>
              </w:rPr>
            </w:pPr>
            <w:r w:rsidRPr="0038149A">
              <w:rPr>
                <w:sz w:val="20"/>
                <w:szCs w:val="20"/>
              </w:rPr>
              <w:t>[…]</w:t>
            </w:r>
          </w:p>
        </w:tc>
      </w:tr>
      <w:tr w:rsidR="00664A69" w:rsidRPr="00002BED" w14:paraId="6FDC3C72" w14:textId="77777777" w:rsidTr="00664A69">
        <w:tc>
          <w:tcPr>
            <w:tcW w:w="1384" w:type="dxa"/>
            <w:tcBorders>
              <w:top w:val="double" w:sz="4" w:space="0" w:color="auto"/>
              <w:left w:val="double" w:sz="4" w:space="0" w:color="auto"/>
              <w:bottom w:val="double" w:sz="4" w:space="0" w:color="auto"/>
            </w:tcBorders>
            <w:shd w:val="clear" w:color="auto" w:fill="D9D9D9" w:themeFill="background1" w:themeFillShade="D9"/>
          </w:tcPr>
          <w:p w14:paraId="5EFD35AE" w14:textId="77777777" w:rsidR="00E24B2C" w:rsidRPr="00002BED" w:rsidRDefault="00E24B2C" w:rsidP="00E24B2C">
            <w:pPr>
              <w:rPr>
                <w:b/>
                <w:sz w:val="20"/>
              </w:rPr>
            </w:pPr>
            <w:r>
              <w:rPr>
                <w:b/>
                <w:sz w:val="20"/>
              </w:rPr>
              <w:t>Total</w:t>
            </w:r>
          </w:p>
        </w:tc>
        <w:tc>
          <w:tcPr>
            <w:tcW w:w="2263" w:type="dxa"/>
            <w:tcBorders>
              <w:top w:val="double" w:sz="4" w:space="0" w:color="auto"/>
              <w:bottom w:val="double" w:sz="4" w:space="0" w:color="auto"/>
            </w:tcBorders>
            <w:shd w:val="clear" w:color="auto" w:fill="D9D9D9" w:themeFill="background1" w:themeFillShade="D9"/>
          </w:tcPr>
          <w:p w14:paraId="33014654" w14:textId="77777777" w:rsidR="00E24B2C" w:rsidRPr="0038149A" w:rsidRDefault="00E24B2C" w:rsidP="00E24B2C">
            <w:pPr>
              <w:rPr>
                <w:sz w:val="20"/>
                <w:szCs w:val="20"/>
              </w:rPr>
            </w:pPr>
            <w:r w:rsidRPr="0038149A">
              <w:rPr>
                <w:sz w:val="20"/>
                <w:szCs w:val="20"/>
              </w:rPr>
              <w:t>[…]</w:t>
            </w:r>
          </w:p>
        </w:tc>
        <w:tc>
          <w:tcPr>
            <w:tcW w:w="939" w:type="dxa"/>
            <w:tcBorders>
              <w:top w:val="double" w:sz="4" w:space="0" w:color="auto"/>
              <w:bottom w:val="double" w:sz="4" w:space="0" w:color="auto"/>
            </w:tcBorders>
            <w:shd w:val="clear" w:color="auto" w:fill="D9D9D9" w:themeFill="background1" w:themeFillShade="D9"/>
          </w:tcPr>
          <w:p w14:paraId="52F3D07E" w14:textId="77777777" w:rsidR="00E24B2C" w:rsidRPr="0038149A" w:rsidRDefault="00E24B2C" w:rsidP="00E24B2C">
            <w:pPr>
              <w:rPr>
                <w:sz w:val="20"/>
                <w:szCs w:val="20"/>
              </w:rPr>
            </w:pPr>
            <w:r w:rsidRPr="0038149A">
              <w:rPr>
                <w:sz w:val="20"/>
                <w:szCs w:val="20"/>
              </w:rPr>
              <w:t>[…]</w:t>
            </w:r>
          </w:p>
        </w:tc>
        <w:tc>
          <w:tcPr>
            <w:tcW w:w="717" w:type="dxa"/>
            <w:tcBorders>
              <w:top w:val="double" w:sz="4" w:space="0" w:color="auto"/>
              <w:bottom w:val="double" w:sz="4" w:space="0" w:color="auto"/>
            </w:tcBorders>
            <w:shd w:val="clear" w:color="auto" w:fill="D9D9D9" w:themeFill="background1" w:themeFillShade="D9"/>
          </w:tcPr>
          <w:p w14:paraId="6E9252A7" w14:textId="77777777" w:rsidR="00E24B2C" w:rsidRPr="0038149A" w:rsidRDefault="00E24B2C" w:rsidP="00E24B2C">
            <w:pPr>
              <w:rPr>
                <w:sz w:val="20"/>
                <w:szCs w:val="20"/>
              </w:rPr>
            </w:pPr>
            <w:r w:rsidRPr="0038149A">
              <w:rPr>
                <w:sz w:val="20"/>
                <w:szCs w:val="20"/>
              </w:rPr>
              <w:t>[…]</w:t>
            </w:r>
          </w:p>
        </w:tc>
        <w:tc>
          <w:tcPr>
            <w:tcW w:w="1072" w:type="dxa"/>
            <w:tcBorders>
              <w:top w:val="double" w:sz="4" w:space="0" w:color="auto"/>
              <w:bottom w:val="double" w:sz="4" w:space="0" w:color="auto"/>
            </w:tcBorders>
            <w:shd w:val="clear" w:color="auto" w:fill="D9D9D9" w:themeFill="background1" w:themeFillShade="D9"/>
          </w:tcPr>
          <w:p w14:paraId="7E79CB8C" w14:textId="3F966DE0" w:rsidR="00E24B2C" w:rsidRPr="0049652B" w:rsidRDefault="006A73FC" w:rsidP="00E24B2C">
            <w:pPr>
              <w:rPr>
                <w:b/>
                <w:bCs/>
                <w:sz w:val="20"/>
                <w:szCs w:val="20"/>
              </w:rPr>
            </w:pPr>
            <w:r w:rsidRPr="0049652B">
              <w:rPr>
                <w:b/>
                <w:bCs/>
                <w:sz w:val="20"/>
                <w:szCs w:val="20"/>
              </w:rPr>
              <w:t>99,510</w:t>
            </w:r>
          </w:p>
        </w:tc>
        <w:tc>
          <w:tcPr>
            <w:tcW w:w="1260" w:type="dxa"/>
            <w:tcBorders>
              <w:top w:val="double" w:sz="4" w:space="0" w:color="auto"/>
              <w:bottom w:val="double" w:sz="4" w:space="0" w:color="auto"/>
            </w:tcBorders>
            <w:shd w:val="clear" w:color="auto" w:fill="D9D9D9" w:themeFill="background1" w:themeFillShade="D9"/>
          </w:tcPr>
          <w:p w14:paraId="2182B5DE" w14:textId="79590B5F" w:rsidR="00E24B2C" w:rsidRPr="0049652B" w:rsidRDefault="006A73FC" w:rsidP="00E24B2C">
            <w:pPr>
              <w:rPr>
                <w:b/>
                <w:bCs/>
                <w:sz w:val="20"/>
                <w:szCs w:val="20"/>
              </w:rPr>
            </w:pPr>
            <w:r w:rsidRPr="0049652B">
              <w:rPr>
                <w:b/>
                <w:bCs/>
                <w:sz w:val="20"/>
                <w:szCs w:val="20"/>
              </w:rPr>
              <w:t>99,510</w:t>
            </w:r>
          </w:p>
        </w:tc>
        <w:tc>
          <w:tcPr>
            <w:tcW w:w="1350" w:type="dxa"/>
            <w:tcBorders>
              <w:top w:val="double" w:sz="4" w:space="0" w:color="auto"/>
              <w:bottom w:val="double" w:sz="4" w:space="0" w:color="auto"/>
            </w:tcBorders>
            <w:shd w:val="clear" w:color="auto" w:fill="D9D9D9" w:themeFill="background1" w:themeFillShade="D9"/>
          </w:tcPr>
          <w:p w14:paraId="2E87D0CE" w14:textId="77777777" w:rsidR="00E24B2C" w:rsidRPr="0038149A" w:rsidRDefault="00E24B2C" w:rsidP="00E24B2C">
            <w:pPr>
              <w:rPr>
                <w:sz w:val="20"/>
                <w:szCs w:val="20"/>
              </w:rPr>
            </w:pPr>
            <w:r w:rsidRPr="0038149A">
              <w:rPr>
                <w:sz w:val="20"/>
                <w:szCs w:val="20"/>
              </w:rPr>
              <w:t>[…]</w:t>
            </w:r>
          </w:p>
        </w:tc>
        <w:tc>
          <w:tcPr>
            <w:tcW w:w="1440" w:type="dxa"/>
            <w:tcBorders>
              <w:top w:val="double" w:sz="4" w:space="0" w:color="auto"/>
              <w:bottom w:val="double" w:sz="4" w:space="0" w:color="auto"/>
              <w:right w:val="double" w:sz="4" w:space="0" w:color="auto"/>
            </w:tcBorders>
            <w:shd w:val="clear" w:color="auto" w:fill="D9D9D9" w:themeFill="background1" w:themeFillShade="D9"/>
          </w:tcPr>
          <w:p w14:paraId="2B62296E" w14:textId="77777777" w:rsidR="00E24B2C" w:rsidRPr="0038149A" w:rsidRDefault="00E24B2C" w:rsidP="00E24B2C">
            <w:pPr>
              <w:rPr>
                <w:sz w:val="20"/>
                <w:szCs w:val="20"/>
              </w:rPr>
            </w:pPr>
            <w:r w:rsidRPr="0038149A">
              <w:rPr>
                <w:sz w:val="20"/>
                <w:szCs w:val="20"/>
              </w:rPr>
              <w:t>[…]</w:t>
            </w:r>
          </w:p>
        </w:tc>
      </w:tr>
    </w:tbl>
    <w:p w14:paraId="6F07D94C" w14:textId="77777777" w:rsidR="00BC4B02" w:rsidRDefault="00BC4B02" w:rsidP="00DD43A1">
      <w:pPr>
        <w:rPr>
          <w:sz w:val="20"/>
        </w:rPr>
      </w:pPr>
    </w:p>
    <w:sectPr w:rsidR="00BC4B02" w:rsidSect="00AE57F6">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2BEA2" w14:textId="77777777" w:rsidR="00EE4CF9" w:rsidRDefault="00EE4CF9" w:rsidP="00BC4B02">
      <w:pPr>
        <w:spacing w:after="0" w:line="240" w:lineRule="auto"/>
      </w:pPr>
      <w:r>
        <w:separator/>
      </w:r>
    </w:p>
  </w:endnote>
  <w:endnote w:type="continuationSeparator" w:id="0">
    <w:p w14:paraId="6F71B2E7" w14:textId="77777777" w:rsidR="00EE4CF9" w:rsidRDefault="00EE4CF9" w:rsidP="00BC4B02">
      <w:pPr>
        <w:spacing w:after="0" w:line="240" w:lineRule="auto"/>
      </w:pPr>
      <w:r>
        <w:continuationSeparator/>
      </w:r>
    </w:p>
  </w:endnote>
  <w:endnote w:type="continuationNotice" w:id="1">
    <w:p w14:paraId="49F3F0DB" w14:textId="77777777" w:rsidR="00EE4CF9" w:rsidRDefault="00EE4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09DD" w14:textId="77777777" w:rsidR="00E16A2A" w:rsidRDefault="00E16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60623" w14:textId="77777777" w:rsidR="00EE4CF9" w:rsidRDefault="00EE4CF9" w:rsidP="00BC4B02">
      <w:pPr>
        <w:spacing w:after="0" w:line="240" w:lineRule="auto"/>
      </w:pPr>
      <w:r>
        <w:separator/>
      </w:r>
    </w:p>
  </w:footnote>
  <w:footnote w:type="continuationSeparator" w:id="0">
    <w:p w14:paraId="3139A87B" w14:textId="77777777" w:rsidR="00EE4CF9" w:rsidRDefault="00EE4CF9" w:rsidP="00BC4B02">
      <w:pPr>
        <w:spacing w:after="0" w:line="240" w:lineRule="auto"/>
      </w:pPr>
      <w:r>
        <w:continuationSeparator/>
      </w:r>
    </w:p>
  </w:footnote>
  <w:footnote w:type="continuationNotice" w:id="1">
    <w:p w14:paraId="262833A3" w14:textId="77777777" w:rsidR="00EE4CF9" w:rsidRDefault="00EE4CF9">
      <w:pPr>
        <w:spacing w:after="0" w:line="240" w:lineRule="auto"/>
      </w:pPr>
    </w:p>
  </w:footnote>
  <w:footnote w:id="2">
    <w:p w14:paraId="576966FB" w14:textId="77777777" w:rsidR="00DD461B" w:rsidRDefault="00DD461B" w:rsidP="005E58F6">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World Health Organization (WHO). 2011. </w:t>
      </w:r>
      <w:r>
        <w:rPr>
          <w:i/>
          <w:color w:val="000000"/>
          <w:sz w:val="18"/>
          <w:szCs w:val="18"/>
        </w:rPr>
        <w:t>World Report on Disability.</w:t>
      </w:r>
    </w:p>
  </w:footnote>
  <w:footnote w:id="3">
    <w:p w14:paraId="4A5F2875" w14:textId="77777777" w:rsidR="00DD461B" w:rsidRDefault="00DD461B" w:rsidP="00D663CF">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United Nations 2018 flagship report on disability and development: realization of the Sustainable Development Goals by, for and with persons with disabilities Note by the Secretariat, A/73/220, August 2018, paragraph 42.</w:t>
      </w:r>
    </w:p>
  </w:footnote>
  <w:footnote w:id="4">
    <w:p w14:paraId="775807D5" w14:textId="77777777" w:rsidR="00DD461B" w:rsidRDefault="00DD461B" w:rsidP="00D663CF">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United Nations 2018 flagship report on disability and development: realization of the Sustainable Development Goals by, for and with persons with disabilities Note by the Secretariat, A/73/220, August 2018, paragraph 47.</w:t>
      </w:r>
    </w:p>
  </w:footnote>
  <w:footnote w:id="5">
    <w:p w14:paraId="1DBD8D3F" w14:textId="18B829AF" w:rsidR="0073713C" w:rsidRDefault="0073713C">
      <w:pPr>
        <w:pStyle w:val="FootnoteText"/>
      </w:pPr>
      <w:r>
        <w:rPr>
          <w:rStyle w:val="FootnoteReference"/>
        </w:rPr>
        <w:footnoteRef/>
      </w:r>
      <w:r>
        <w:t xml:space="preserve"> </w:t>
      </w:r>
      <w:r w:rsidRPr="0075592A">
        <w:rPr>
          <w:color w:val="000000"/>
          <w:sz w:val="18"/>
          <w:szCs w:val="18"/>
        </w:rPr>
        <w:t>CRPD/C/IND/CO/1; para</w:t>
      </w:r>
      <w:r w:rsidR="00FD0425" w:rsidRPr="0075592A">
        <w:rPr>
          <w:color w:val="000000"/>
          <w:sz w:val="18"/>
          <w:szCs w:val="18"/>
        </w:rPr>
        <w:t xml:space="preserve"> 45-46</w:t>
      </w:r>
      <w:r w:rsidR="00FD0425" w:rsidRPr="0075592A">
        <w:rPr>
          <w:sz w:val="18"/>
          <w:szCs w:val="18"/>
        </w:rPr>
        <w:t xml:space="preserve"> </w:t>
      </w:r>
    </w:p>
  </w:footnote>
  <w:footnote w:id="6">
    <w:p w14:paraId="07317277" w14:textId="77777777" w:rsidR="00DD461B" w:rsidRDefault="00DD461B" w:rsidP="00D663CF">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United Nations 2018 flagship report on disability and development: realization of the Sustainable Development Goals by, for and with persons with disabilities Note by the Secretariat, A/73/220, August 2018, paragraph 17.</w:t>
      </w:r>
    </w:p>
  </w:footnote>
  <w:footnote w:id="7">
    <w:p w14:paraId="6CAD3493" w14:textId="67DE4524" w:rsidR="00D63901" w:rsidRDefault="00D63901" w:rsidP="00D63901">
      <w:pPr>
        <w:pStyle w:val="FootnoteText"/>
      </w:pPr>
      <w:r>
        <w:rPr>
          <w:rStyle w:val="FootnoteReference"/>
        </w:rPr>
        <w:footnoteRef/>
      </w:r>
      <w:r>
        <w:t xml:space="preserve"> </w:t>
      </w:r>
      <w:r w:rsidR="001708F4">
        <w:t xml:space="preserve">CBM, IDA, WEI, WRC, CREA, </w:t>
      </w:r>
      <w:proofErr w:type="spellStart"/>
      <w:r w:rsidR="001708F4">
        <w:t>Sightsavers</w:t>
      </w:r>
      <w:proofErr w:type="spellEnd"/>
      <w:r w:rsidR="001708F4">
        <w:t xml:space="preserve">, and WaterAid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7309E" w14:textId="77777777" w:rsidR="00E16A2A" w:rsidRDefault="00E1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C78E5"/>
    <w:multiLevelType w:val="hybridMultilevel"/>
    <w:tmpl w:val="9AE00022"/>
    <w:lvl w:ilvl="0" w:tplc="92FEAE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615E9"/>
    <w:multiLevelType w:val="hybridMultilevel"/>
    <w:tmpl w:val="548A9588"/>
    <w:lvl w:ilvl="0" w:tplc="D5DA8C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96892"/>
    <w:multiLevelType w:val="multilevel"/>
    <w:tmpl w:val="D464A4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804140A"/>
    <w:multiLevelType w:val="multilevel"/>
    <w:tmpl w:val="FCF26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C784457"/>
    <w:multiLevelType w:val="multilevel"/>
    <w:tmpl w:val="F2E02C20"/>
    <w:lvl w:ilvl="0">
      <w:start w:val="91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3"/>
  </w:num>
  <w:num w:numId="4">
    <w:abstractNumId w:val="0"/>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B02"/>
    <w:rsid w:val="00005DD9"/>
    <w:rsid w:val="00016325"/>
    <w:rsid w:val="00017187"/>
    <w:rsid w:val="000200D5"/>
    <w:rsid w:val="000218C2"/>
    <w:rsid w:val="00025A91"/>
    <w:rsid w:val="000340D0"/>
    <w:rsid w:val="00034480"/>
    <w:rsid w:val="000346AB"/>
    <w:rsid w:val="000401F6"/>
    <w:rsid w:val="00041CDE"/>
    <w:rsid w:val="00044A93"/>
    <w:rsid w:val="00044FDE"/>
    <w:rsid w:val="00052D76"/>
    <w:rsid w:val="00052FEC"/>
    <w:rsid w:val="00053355"/>
    <w:rsid w:val="0005654B"/>
    <w:rsid w:val="000566AB"/>
    <w:rsid w:val="00056FB7"/>
    <w:rsid w:val="00060E82"/>
    <w:rsid w:val="00072A14"/>
    <w:rsid w:val="000753B5"/>
    <w:rsid w:val="000769A7"/>
    <w:rsid w:val="00081DE7"/>
    <w:rsid w:val="000828F4"/>
    <w:rsid w:val="00083D15"/>
    <w:rsid w:val="00085E2A"/>
    <w:rsid w:val="00091E82"/>
    <w:rsid w:val="00095988"/>
    <w:rsid w:val="00095AF5"/>
    <w:rsid w:val="000A26F9"/>
    <w:rsid w:val="000B2840"/>
    <w:rsid w:val="000B4D7D"/>
    <w:rsid w:val="000B5A27"/>
    <w:rsid w:val="000C39AD"/>
    <w:rsid w:val="000C50DE"/>
    <w:rsid w:val="000D49D8"/>
    <w:rsid w:val="000D75F0"/>
    <w:rsid w:val="000E6E6C"/>
    <w:rsid w:val="000F19A3"/>
    <w:rsid w:val="000F3B20"/>
    <w:rsid w:val="00104BC3"/>
    <w:rsid w:val="00105279"/>
    <w:rsid w:val="00110FA5"/>
    <w:rsid w:val="001137A1"/>
    <w:rsid w:val="001178EC"/>
    <w:rsid w:val="00122C6B"/>
    <w:rsid w:val="00124475"/>
    <w:rsid w:val="00124909"/>
    <w:rsid w:val="001276E4"/>
    <w:rsid w:val="00127918"/>
    <w:rsid w:val="00133169"/>
    <w:rsid w:val="0013612B"/>
    <w:rsid w:val="00136BC3"/>
    <w:rsid w:val="001423F4"/>
    <w:rsid w:val="00144D7F"/>
    <w:rsid w:val="00145215"/>
    <w:rsid w:val="00146A91"/>
    <w:rsid w:val="00147F1D"/>
    <w:rsid w:val="00151F0C"/>
    <w:rsid w:val="0015759B"/>
    <w:rsid w:val="0016123F"/>
    <w:rsid w:val="001653F3"/>
    <w:rsid w:val="001708F4"/>
    <w:rsid w:val="00173E0E"/>
    <w:rsid w:val="00193FCB"/>
    <w:rsid w:val="00194B7F"/>
    <w:rsid w:val="00194E2D"/>
    <w:rsid w:val="00196872"/>
    <w:rsid w:val="001B3723"/>
    <w:rsid w:val="001B4D1D"/>
    <w:rsid w:val="001C3EF1"/>
    <w:rsid w:val="001D0862"/>
    <w:rsid w:val="001D0E33"/>
    <w:rsid w:val="001D275A"/>
    <w:rsid w:val="001D3BC9"/>
    <w:rsid w:val="001D564C"/>
    <w:rsid w:val="001E07ED"/>
    <w:rsid w:val="001E2EF2"/>
    <w:rsid w:val="001E72FC"/>
    <w:rsid w:val="001E7F26"/>
    <w:rsid w:val="001F35A5"/>
    <w:rsid w:val="001F3A6F"/>
    <w:rsid w:val="001F740D"/>
    <w:rsid w:val="00205F28"/>
    <w:rsid w:val="002073F8"/>
    <w:rsid w:val="002078DC"/>
    <w:rsid w:val="00211126"/>
    <w:rsid w:val="002155B0"/>
    <w:rsid w:val="0021583E"/>
    <w:rsid w:val="002222B9"/>
    <w:rsid w:val="0022274C"/>
    <w:rsid w:val="00226B58"/>
    <w:rsid w:val="00233385"/>
    <w:rsid w:val="0023714E"/>
    <w:rsid w:val="0025110A"/>
    <w:rsid w:val="002521BA"/>
    <w:rsid w:val="002531FC"/>
    <w:rsid w:val="00256438"/>
    <w:rsid w:val="00263243"/>
    <w:rsid w:val="00270332"/>
    <w:rsid w:val="00272142"/>
    <w:rsid w:val="002764B8"/>
    <w:rsid w:val="00281809"/>
    <w:rsid w:val="00283B03"/>
    <w:rsid w:val="00283DC1"/>
    <w:rsid w:val="00285A35"/>
    <w:rsid w:val="002928AE"/>
    <w:rsid w:val="00293AA0"/>
    <w:rsid w:val="00294A95"/>
    <w:rsid w:val="002A1561"/>
    <w:rsid w:val="002A1D72"/>
    <w:rsid w:val="002A68BC"/>
    <w:rsid w:val="002A75AF"/>
    <w:rsid w:val="002B1229"/>
    <w:rsid w:val="002B71F3"/>
    <w:rsid w:val="002C119C"/>
    <w:rsid w:val="002C360B"/>
    <w:rsid w:val="002C3744"/>
    <w:rsid w:val="002C4D9F"/>
    <w:rsid w:val="002C7586"/>
    <w:rsid w:val="002D0248"/>
    <w:rsid w:val="002D0888"/>
    <w:rsid w:val="002D596D"/>
    <w:rsid w:val="002E096C"/>
    <w:rsid w:val="002E2FEF"/>
    <w:rsid w:val="002E6062"/>
    <w:rsid w:val="002F0B64"/>
    <w:rsid w:val="002F2770"/>
    <w:rsid w:val="002F3211"/>
    <w:rsid w:val="003016E1"/>
    <w:rsid w:val="00304BDB"/>
    <w:rsid w:val="00317346"/>
    <w:rsid w:val="003176C2"/>
    <w:rsid w:val="00327191"/>
    <w:rsid w:val="003309A3"/>
    <w:rsid w:val="003311C0"/>
    <w:rsid w:val="0034054C"/>
    <w:rsid w:val="00340C8C"/>
    <w:rsid w:val="003439FE"/>
    <w:rsid w:val="0034602C"/>
    <w:rsid w:val="0035045C"/>
    <w:rsid w:val="00350DCE"/>
    <w:rsid w:val="00351BD5"/>
    <w:rsid w:val="00354732"/>
    <w:rsid w:val="003562FF"/>
    <w:rsid w:val="00356369"/>
    <w:rsid w:val="00360B46"/>
    <w:rsid w:val="00363C09"/>
    <w:rsid w:val="00364E2C"/>
    <w:rsid w:val="00366CFB"/>
    <w:rsid w:val="00370157"/>
    <w:rsid w:val="00375E00"/>
    <w:rsid w:val="003767C7"/>
    <w:rsid w:val="00377A02"/>
    <w:rsid w:val="003806B7"/>
    <w:rsid w:val="00382CFE"/>
    <w:rsid w:val="00383440"/>
    <w:rsid w:val="00383F69"/>
    <w:rsid w:val="00394B1E"/>
    <w:rsid w:val="003A1A58"/>
    <w:rsid w:val="003B40E1"/>
    <w:rsid w:val="003B709E"/>
    <w:rsid w:val="003C18E5"/>
    <w:rsid w:val="003C1D5B"/>
    <w:rsid w:val="003C293D"/>
    <w:rsid w:val="003C2B34"/>
    <w:rsid w:val="003C57B3"/>
    <w:rsid w:val="003D76A5"/>
    <w:rsid w:val="003D76C3"/>
    <w:rsid w:val="003E4B5C"/>
    <w:rsid w:val="003E7A83"/>
    <w:rsid w:val="003F15DB"/>
    <w:rsid w:val="003F42C3"/>
    <w:rsid w:val="003F4867"/>
    <w:rsid w:val="003F4E56"/>
    <w:rsid w:val="003F6589"/>
    <w:rsid w:val="003F7023"/>
    <w:rsid w:val="003F7230"/>
    <w:rsid w:val="004007E7"/>
    <w:rsid w:val="004008EE"/>
    <w:rsid w:val="004018EB"/>
    <w:rsid w:val="00414AE5"/>
    <w:rsid w:val="004155F4"/>
    <w:rsid w:val="00426871"/>
    <w:rsid w:val="0043062D"/>
    <w:rsid w:val="00435192"/>
    <w:rsid w:val="00442326"/>
    <w:rsid w:val="004436E6"/>
    <w:rsid w:val="0044385E"/>
    <w:rsid w:val="00444320"/>
    <w:rsid w:val="0045161B"/>
    <w:rsid w:val="00455EE9"/>
    <w:rsid w:val="004606A3"/>
    <w:rsid w:val="00460E8C"/>
    <w:rsid w:val="00461AE0"/>
    <w:rsid w:val="00462C5F"/>
    <w:rsid w:val="00466621"/>
    <w:rsid w:val="00471547"/>
    <w:rsid w:val="00474784"/>
    <w:rsid w:val="00477F5F"/>
    <w:rsid w:val="00483705"/>
    <w:rsid w:val="00490D07"/>
    <w:rsid w:val="004913F1"/>
    <w:rsid w:val="004922F3"/>
    <w:rsid w:val="00493BF0"/>
    <w:rsid w:val="0049652B"/>
    <w:rsid w:val="004A316C"/>
    <w:rsid w:val="004A53EE"/>
    <w:rsid w:val="004A5824"/>
    <w:rsid w:val="004A5E9B"/>
    <w:rsid w:val="004A60B0"/>
    <w:rsid w:val="004B0092"/>
    <w:rsid w:val="004B04A4"/>
    <w:rsid w:val="004B069F"/>
    <w:rsid w:val="004B5BCF"/>
    <w:rsid w:val="004B6D3A"/>
    <w:rsid w:val="004C1A84"/>
    <w:rsid w:val="004D114F"/>
    <w:rsid w:val="004D2477"/>
    <w:rsid w:val="004D3182"/>
    <w:rsid w:val="004D7D03"/>
    <w:rsid w:val="0050608A"/>
    <w:rsid w:val="005078EE"/>
    <w:rsid w:val="00515AA3"/>
    <w:rsid w:val="00515F4C"/>
    <w:rsid w:val="005244CE"/>
    <w:rsid w:val="0052492D"/>
    <w:rsid w:val="00530C2A"/>
    <w:rsid w:val="00530DAB"/>
    <w:rsid w:val="00537690"/>
    <w:rsid w:val="00543B38"/>
    <w:rsid w:val="00551ADA"/>
    <w:rsid w:val="00554692"/>
    <w:rsid w:val="00556B81"/>
    <w:rsid w:val="00556FE1"/>
    <w:rsid w:val="00557CD4"/>
    <w:rsid w:val="0056685E"/>
    <w:rsid w:val="0057405F"/>
    <w:rsid w:val="0058015D"/>
    <w:rsid w:val="00584635"/>
    <w:rsid w:val="00584F2B"/>
    <w:rsid w:val="00585ABA"/>
    <w:rsid w:val="00586511"/>
    <w:rsid w:val="005912D1"/>
    <w:rsid w:val="00592D0D"/>
    <w:rsid w:val="005942C2"/>
    <w:rsid w:val="005A67C4"/>
    <w:rsid w:val="005A7085"/>
    <w:rsid w:val="005B1267"/>
    <w:rsid w:val="005B2B2F"/>
    <w:rsid w:val="005C0459"/>
    <w:rsid w:val="005C0490"/>
    <w:rsid w:val="005C22F7"/>
    <w:rsid w:val="005C4092"/>
    <w:rsid w:val="005C4E3B"/>
    <w:rsid w:val="005D127A"/>
    <w:rsid w:val="005D33F3"/>
    <w:rsid w:val="005D5B30"/>
    <w:rsid w:val="005D5EA2"/>
    <w:rsid w:val="005D7254"/>
    <w:rsid w:val="005E0187"/>
    <w:rsid w:val="005E09C6"/>
    <w:rsid w:val="005E1B75"/>
    <w:rsid w:val="005E58F6"/>
    <w:rsid w:val="005F0EC3"/>
    <w:rsid w:val="005F1B96"/>
    <w:rsid w:val="005F3C07"/>
    <w:rsid w:val="005F4903"/>
    <w:rsid w:val="00601404"/>
    <w:rsid w:val="006034A7"/>
    <w:rsid w:val="006105C6"/>
    <w:rsid w:val="00614A7A"/>
    <w:rsid w:val="00620EEC"/>
    <w:rsid w:val="006320CE"/>
    <w:rsid w:val="00633116"/>
    <w:rsid w:val="006400BF"/>
    <w:rsid w:val="00640808"/>
    <w:rsid w:val="00661E31"/>
    <w:rsid w:val="00661FF8"/>
    <w:rsid w:val="00664A69"/>
    <w:rsid w:val="006669AB"/>
    <w:rsid w:val="00675032"/>
    <w:rsid w:val="00683C36"/>
    <w:rsid w:val="00686C51"/>
    <w:rsid w:val="00690B1F"/>
    <w:rsid w:val="00692DF2"/>
    <w:rsid w:val="00692EBD"/>
    <w:rsid w:val="0069520F"/>
    <w:rsid w:val="006966EF"/>
    <w:rsid w:val="0069788B"/>
    <w:rsid w:val="00697DC6"/>
    <w:rsid w:val="006A28BC"/>
    <w:rsid w:val="006A73FC"/>
    <w:rsid w:val="006A7B57"/>
    <w:rsid w:val="006B0474"/>
    <w:rsid w:val="006B7B73"/>
    <w:rsid w:val="006B7E90"/>
    <w:rsid w:val="006C2182"/>
    <w:rsid w:val="006C28CF"/>
    <w:rsid w:val="006C34B3"/>
    <w:rsid w:val="006C43B9"/>
    <w:rsid w:val="006C4AFB"/>
    <w:rsid w:val="006C5686"/>
    <w:rsid w:val="006D52AF"/>
    <w:rsid w:val="006E2887"/>
    <w:rsid w:val="006E4215"/>
    <w:rsid w:val="006E4411"/>
    <w:rsid w:val="006F2553"/>
    <w:rsid w:val="006F5C59"/>
    <w:rsid w:val="006F729E"/>
    <w:rsid w:val="00702C50"/>
    <w:rsid w:val="0070582B"/>
    <w:rsid w:val="007067F0"/>
    <w:rsid w:val="00717924"/>
    <w:rsid w:val="00722369"/>
    <w:rsid w:val="007268E1"/>
    <w:rsid w:val="00730D2C"/>
    <w:rsid w:val="007318FB"/>
    <w:rsid w:val="00734589"/>
    <w:rsid w:val="0073713C"/>
    <w:rsid w:val="0074706A"/>
    <w:rsid w:val="00747DE6"/>
    <w:rsid w:val="00751F05"/>
    <w:rsid w:val="007522A7"/>
    <w:rsid w:val="00752B69"/>
    <w:rsid w:val="00754408"/>
    <w:rsid w:val="00754E48"/>
    <w:rsid w:val="0075592A"/>
    <w:rsid w:val="00755C5F"/>
    <w:rsid w:val="00757655"/>
    <w:rsid w:val="00772B8F"/>
    <w:rsid w:val="0077329F"/>
    <w:rsid w:val="007739F2"/>
    <w:rsid w:val="00780CC9"/>
    <w:rsid w:val="00780F2A"/>
    <w:rsid w:val="007835AF"/>
    <w:rsid w:val="00783A6D"/>
    <w:rsid w:val="00783FA8"/>
    <w:rsid w:val="00786D74"/>
    <w:rsid w:val="00791903"/>
    <w:rsid w:val="007938F1"/>
    <w:rsid w:val="00793D2E"/>
    <w:rsid w:val="007A07BE"/>
    <w:rsid w:val="007A4C8C"/>
    <w:rsid w:val="007A702F"/>
    <w:rsid w:val="007B5820"/>
    <w:rsid w:val="007B69F7"/>
    <w:rsid w:val="007C0020"/>
    <w:rsid w:val="007C0AF6"/>
    <w:rsid w:val="007C2F0F"/>
    <w:rsid w:val="007C7649"/>
    <w:rsid w:val="007D5BAB"/>
    <w:rsid w:val="007E020D"/>
    <w:rsid w:val="007E4568"/>
    <w:rsid w:val="007E7209"/>
    <w:rsid w:val="007F16D6"/>
    <w:rsid w:val="007F1EE7"/>
    <w:rsid w:val="007F4E37"/>
    <w:rsid w:val="007F74F5"/>
    <w:rsid w:val="007F755F"/>
    <w:rsid w:val="008013AD"/>
    <w:rsid w:val="008062FA"/>
    <w:rsid w:val="0081006D"/>
    <w:rsid w:val="00815260"/>
    <w:rsid w:val="00815BDF"/>
    <w:rsid w:val="00816667"/>
    <w:rsid w:val="00822C91"/>
    <w:rsid w:val="00826473"/>
    <w:rsid w:val="00830399"/>
    <w:rsid w:val="00834F16"/>
    <w:rsid w:val="00843A26"/>
    <w:rsid w:val="0084625B"/>
    <w:rsid w:val="00854302"/>
    <w:rsid w:val="00854613"/>
    <w:rsid w:val="00854D41"/>
    <w:rsid w:val="00854FB0"/>
    <w:rsid w:val="00856CC2"/>
    <w:rsid w:val="0086035D"/>
    <w:rsid w:val="008605CA"/>
    <w:rsid w:val="00861810"/>
    <w:rsid w:val="008677E9"/>
    <w:rsid w:val="008719CA"/>
    <w:rsid w:val="00871A43"/>
    <w:rsid w:val="00872996"/>
    <w:rsid w:val="00875816"/>
    <w:rsid w:val="0087586B"/>
    <w:rsid w:val="008815F7"/>
    <w:rsid w:val="00882F7F"/>
    <w:rsid w:val="00884CE1"/>
    <w:rsid w:val="008875DC"/>
    <w:rsid w:val="00892544"/>
    <w:rsid w:val="008925C4"/>
    <w:rsid w:val="00897E5B"/>
    <w:rsid w:val="008A0169"/>
    <w:rsid w:val="008A55ED"/>
    <w:rsid w:val="008A7C3E"/>
    <w:rsid w:val="008B1071"/>
    <w:rsid w:val="008C1488"/>
    <w:rsid w:val="008C5A15"/>
    <w:rsid w:val="008D003C"/>
    <w:rsid w:val="008D4FCD"/>
    <w:rsid w:val="008D53F5"/>
    <w:rsid w:val="008D6F89"/>
    <w:rsid w:val="008E1999"/>
    <w:rsid w:val="008F28BF"/>
    <w:rsid w:val="008F4D1B"/>
    <w:rsid w:val="008F658E"/>
    <w:rsid w:val="008F706F"/>
    <w:rsid w:val="00901657"/>
    <w:rsid w:val="00904EF0"/>
    <w:rsid w:val="00905070"/>
    <w:rsid w:val="00906F1A"/>
    <w:rsid w:val="0091000B"/>
    <w:rsid w:val="00914483"/>
    <w:rsid w:val="00916A69"/>
    <w:rsid w:val="00922381"/>
    <w:rsid w:val="00925546"/>
    <w:rsid w:val="00933F70"/>
    <w:rsid w:val="00934854"/>
    <w:rsid w:val="00934999"/>
    <w:rsid w:val="00934C75"/>
    <w:rsid w:val="009362DB"/>
    <w:rsid w:val="00946A04"/>
    <w:rsid w:val="0095584F"/>
    <w:rsid w:val="009611D5"/>
    <w:rsid w:val="009753E2"/>
    <w:rsid w:val="00982C47"/>
    <w:rsid w:val="00985D1D"/>
    <w:rsid w:val="0098728D"/>
    <w:rsid w:val="009A0EE9"/>
    <w:rsid w:val="009A1552"/>
    <w:rsid w:val="009A26D7"/>
    <w:rsid w:val="009A3D90"/>
    <w:rsid w:val="009B112D"/>
    <w:rsid w:val="009C6EFD"/>
    <w:rsid w:val="009C7F15"/>
    <w:rsid w:val="009D168A"/>
    <w:rsid w:val="009F659D"/>
    <w:rsid w:val="009F72CC"/>
    <w:rsid w:val="00A015BB"/>
    <w:rsid w:val="00A01F33"/>
    <w:rsid w:val="00A02496"/>
    <w:rsid w:val="00A03057"/>
    <w:rsid w:val="00A03387"/>
    <w:rsid w:val="00A03B8A"/>
    <w:rsid w:val="00A04772"/>
    <w:rsid w:val="00A067D9"/>
    <w:rsid w:val="00A10B2A"/>
    <w:rsid w:val="00A112CD"/>
    <w:rsid w:val="00A14103"/>
    <w:rsid w:val="00A160C0"/>
    <w:rsid w:val="00A20F3D"/>
    <w:rsid w:val="00A25B90"/>
    <w:rsid w:val="00A34742"/>
    <w:rsid w:val="00A355C4"/>
    <w:rsid w:val="00A35C00"/>
    <w:rsid w:val="00A41294"/>
    <w:rsid w:val="00A4508A"/>
    <w:rsid w:val="00A50AE7"/>
    <w:rsid w:val="00A570D6"/>
    <w:rsid w:val="00A57859"/>
    <w:rsid w:val="00A60093"/>
    <w:rsid w:val="00A612B1"/>
    <w:rsid w:val="00A633CE"/>
    <w:rsid w:val="00A767FA"/>
    <w:rsid w:val="00A83D4A"/>
    <w:rsid w:val="00A85399"/>
    <w:rsid w:val="00A85A92"/>
    <w:rsid w:val="00A869A2"/>
    <w:rsid w:val="00A87B2C"/>
    <w:rsid w:val="00A92E2E"/>
    <w:rsid w:val="00A92ECB"/>
    <w:rsid w:val="00AA3A77"/>
    <w:rsid w:val="00AA46F9"/>
    <w:rsid w:val="00AA70C0"/>
    <w:rsid w:val="00AA7607"/>
    <w:rsid w:val="00AA7C80"/>
    <w:rsid w:val="00AB3183"/>
    <w:rsid w:val="00AC6DEC"/>
    <w:rsid w:val="00AD2A64"/>
    <w:rsid w:val="00AE06A9"/>
    <w:rsid w:val="00AE1521"/>
    <w:rsid w:val="00AE41AD"/>
    <w:rsid w:val="00AE57F6"/>
    <w:rsid w:val="00AE5EC0"/>
    <w:rsid w:val="00AF08D2"/>
    <w:rsid w:val="00AF0D5D"/>
    <w:rsid w:val="00AF226A"/>
    <w:rsid w:val="00AF3B92"/>
    <w:rsid w:val="00B02FA7"/>
    <w:rsid w:val="00B077AC"/>
    <w:rsid w:val="00B10106"/>
    <w:rsid w:val="00B22DCB"/>
    <w:rsid w:val="00B24801"/>
    <w:rsid w:val="00B30094"/>
    <w:rsid w:val="00B37849"/>
    <w:rsid w:val="00B41C00"/>
    <w:rsid w:val="00B56768"/>
    <w:rsid w:val="00B60191"/>
    <w:rsid w:val="00B610D4"/>
    <w:rsid w:val="00B74861"/>
    <w:rsid w:val="00B75EAE"/>
    <w:rsid w:val="00B76542"/>
    <w:rsid w:val="00B8456A"/>
    <w:rsid w:val="00B92D48"/>
    <w:rsid w:val="00B95025"/>
    <w:rsid w:val="00B9768F"/>
    <w:rsid w:val="00BA3878"/>
    <w:rsid w:val="00BA478E"/>
    <w:rsid w:val="00BA6010"/>
    <w:rsid w:val="00BB3CDC"/>
    <w:rsid w:val="00BB5478"/>
    <w:rsid w:val="00BB6013"/>
    <w:rsid w:val="00BC43E2"/>
    <w:rsid w:val="00BC4B02"/>
    <w:rsid w:val="00BD4DF7"/>
    <w:rsid w:val="00BE06AC"/>
    <w:rsid w:val="00BE1AEF"/>
    <w:rsid w:val="00BE3150"/>
    <w:rsid w:val="00BF2413"/>
    <w:rsid w:val="00BF4D7A"/>
    <w:rsid w:val="00BF7B20"/>
    <w:rsid w:val="00C01442"/>
    <w:rsid w:val="00C03012"/>
    <w:rsid w:val="00C03AA5"/>
    <w:rsid w:val="00C03C06"/>
    <w:rsid w:val="00C07DB1"/>
    <w:rsid w:val="00C11F6E"/>
    <w:rsid w:val="00C155A6"/>
    <w:rsid w:val="00C2198C"/>
    <w:rsid w:val="00C2722E"/>
    <w:rsid w:val="00C31BAC"/>
    <w:rsid w:val="00C31E62"/>
    <w:rsid w:val="00C43913"/>
    <w:rsid w:val="00C43B63"/>
    <w:rsid w:val="00C44A70"/>
    <w:rsid w:val="00C44C4B"/>
    <w:rsid w:val="00C46120"/>
    <w:rsid w:val="00C47304"/>
    <w:rsid w:val="00C63E72"/>
    <w:rsid w:val="00C71E9A"/>
    <w:rsid w:val="00C724FB"/>
    <w:rsid w:val="00C77829"/>
    <w:rsid w:val="00C77C7C"/>
    <w:rsid w:val="00C844C8"/>
    <w:rsid w:val="00C952ED"/>
    <w:rsid w:val="00CA059C"/>
    <w:rsid w:val="00CA3459"/>
    <w:rsid w:val="00CA7195"/>
    <w:rsid w:val="00CB3402"/>
    <w:rsid w:val="00CB6E7F"/>
    <w:rsid w:val="00CB7A3A"/>
    <w:rsid w:val="00CC335E"/>
    <w:rsid w:val="00CD10A2"/>
    <w:rsid w:val="00CD1196"/>
    <w:rsid w:val="00CD1C90"/>
    <w:rsid w:val="00CD409C"/>
    <w:rsid w:val="00CD5BFA"/>
    <w:rsid w:val="00CD6489"/>
    <w:rsid w:val="00CE2283"/>
    <w:rsid w:val="00CE2D3B"/>
    <w:rsid w:val="00CE32D7"/>
    <w:rsid w:val="00CE383A"/>
    <w:rsid w:val="00CE4D68"/>
    <w:rsid w:val="00CE72D8"/>
    <w:rsid w:val="00CF1546"/>
    <w:rsid w:val="00CF25EB"/>
    <w:rsid w:val="00CF2CC1"/>
    <w:rsid w:val="00CF35EC"/>
    <w:rsid w:val="00CF479B"/>
    <w:rsid w:val="00D055F2"/>
    <w:rsid w:val="00D14446"/>
    <w:rsid w:val="00D20236"/>
    <w:rsid w:val="00D230BA"/>
    <w:rsid w:val="00D23104"/>
    <w:rsid w:val="00D26E0C"/>
    <w:rsid w:val="00D30166"/>
    <w:rsid w:val="00D3192C"/>
    <w:rsid w:val="00D41005"/>
    <w:rsid w:val="00D4463B"/>
    <w:rsid w:val="00D46EC2"/>
    <w:rsid w:val="00D55B45"/>
    <w:rsid w:val="00D5624F"/>
    <w:rsid w:val="00D62C11"/>
    <w:rsid w:val="00D63901"/>
    <w:rsid w:val="00D658CD"/>
    <w:rsid w:val="00D658EF"/>
    <w:rsid w:val="00D663CF"/>
    <w:rsid w:val="00D72D48"/>
    <w:rsid w:val="00D755F8"/>
    <w:rsid w:val="00D82A40"/>
    <w:rsid w:val="00D8320C"/>
    <w:rsid w:val="00D83467"/>
    <w:rsid w:val="00D85385"/>
    <w:rsid w:val="00D85879"/>
    <w:rsid w:val="00D90B65"/>
    <w:rsid w:val="00D96095"/>
    <w:rsid w:val="00DA478F"/>
    <w:rsid w:val="00DA7D92"/>
    <w:rsid w:val="00DB29FC"/>
    <w:rsid w:val="00DB37F3"/>
    <w:rsid w:val="00DB479E"/>
    <w:rsid w:val="00DB6EB0"/>
    <w:rsid w:val="00DB7058"/>
    <w:rsid w:val="00DC15A3"/>
    <w:rsid w:val="00DC33C6"/>
    <w:rsid w:val="00DC7DFE"/>
    <w:rsid w:val="00DD35A5"/>
    <w:rsid w:val="00DD43A1"/>
    <w:rsid w:val="00DD461B"/>
    <w:rsid w:val="00DD58ED"/>
    <w:rsid w:val="00DD6174"/>
    <w:rsid w:val="00DE37DD"/>
    <w:rsid w:val="00DE4E19"/>
    <w:rsid w:val="00DF1D4F"/>
    <w:rsid w:val="00DF4061"/>
    <w:rsid w:val="00DF4DA5"/>
    <w:rsid w:val="00DF6651"/>
    <w:rsid w:val="00DF6706"/>
    <w:rsid w:val="00E034C1"/>
    <w:rsid w:val="00E0373B"/>
    <w:rsid w:val="00E03B21"/>
    <w:rsid w:val="00E10869"/>
    <w:rsid w:val="00E12261"/>
    <w:rsid w:val="00E1539B"/>
    <w:rsid w:val="00E16A2A"/>
    <w:rsid w:val="00E227A5"/>
    <w:rsid w:val="00E2361C"/>
    <w:rsid w:val="00E24B2C"/>
    <w:rsid w:val="00E3591E"/>
    <w:rsid w:val="00E372AF"/>
    <w:rsid w:val="00E37B5E"/>
    <w:rsid w:val="00E401B8"/>
    <w:rsid w:val="00E41343"/>
    <w:rsid w:val="00E455AE"/>
    <w:rsid w:val="00E528A9"/>
    <w:rsid w:val="00E52C39"/>
    <w:rsid w:val="00E53BAD"/>
    <w:rsid w:val="00E5495E"/>
    <w:rsid w:val="00E62D40"/>
    <w:rsid w:val="00E64B71"/>
    <w:rsid w:val="00E71E47"/>
    <w:rsid w:val="00E73F92"/>
    <w:rsid w:val="00E76321"/>
    <w:rsid w:val="00E77A49"/>
    <w:rsid w:val="00E83326"/>
    <w:rsid w:val="00E83C1B"/>
    <w:rsid w:val="00E84C3B"/>
    <w:rsid w:val="00E874AD"/>
    <w:rsid w:val="00E91B0A"/>
    <w:rsid w:val="00E9326D"/>
    <w:rsid w:val="00EA29F4"/>
    <w:rsid w:val="00EA4A6C"/>
    <w:rsid w:val="00EA7F86"/>
    <w:rsid w:val="00EB3F2E"/>
    <w:rsid w:val="00EB3F46"/>
    <w:rsid w:val="00EB7900"/>
    <w:rsid w:val="00EC1214"/>
    <w:rsid w:val="00EC4002"/>
    <w:rsid w:val="00EC754D"/>
    <w:rsid w:val="00ED116F"/>
    <w:rsid w:val="00ED5DCF"/>
    <w:rsid w:val="00ED704D"/>
    <w:rsid w:val="00EE06B6"/>
    <w:rsid w:val="00EE14AD"/>
    <w:rsid w:val="00EE4CF9"/>
    <w:rsid w:val="00EF40C5"/>
    <w:rsid w:val="00F00368"/>
    <w:rsid w:val="00F004D0"/>
    <w:rsid w:val="00F012FD"/>
    <w:rsid w:val="00F01A97"/>
    <w:rsid w:val="00F02095"/>
    <w:rsid w:val="00F02A84"/>
    <w:rsid w:val="00F06AD2"/>
    <w:rsid w:val="00F06BE2"/>
    <w:rsid w:val="00F213A7"/>
    <w:rsid w:val="00F214CB"/>
    <w:rsid w:val="00F21AFC"/>
    <w:rsid w:val="00F21D93"/>
    <w:rsid w:val="00F27888"/>
    <w:rsid w:val="00F31637"/>
    <w:rsid w:val="00F335EE"/>
    <w:rsid w:val="00F344E3"/>
    <w:rsid w:val="00F35B0D"/>
    <w:rsid w:val="00F375C5"/>
    <w:rsid w:val="00F44573"/>
    <w:rsid w:val="00F62C81"/>
    <w:rsid w:val="00F6422D"/>
    <w:rsid w:val="00F65B39"/>
    <w:rsid w:val="00F66104"/>
    <w:rsid w:val="00F66AC2"/>
    <w:rsid w:val="00F6732E"/>
    <w:rsid w:val="00F67E7B"/>
    <w:rsid w:val="00F71911"/>
    <w:rsid w:val="00F752B9"/>
    <w:rsid w:val="00F8008C"/>
    <w:rsid w:val="00F84F1D"/>
    <w:rsid w:val="00F86118"/>
    <w:rsid w:val="00F92294"/>
    <w:rsid w:val="00F97B4F"/>
    <w:rsid w:val="00FA5BCA"/>
    <w:rsid w:val="00FA6BEE"/>
    <w:rsid w:val="00FA7583"/>
    <w:rsid w:val="00FB40C6"/>
    <w:rsid w:val="00FB5065"/>
    <w:rsid w:val="00FC42A2"/>
    <w:rsid w:val="00FC42C5"/>
    <w:rsid w:val="00FC616B"/>
    <w:rsid w:val="00FC6DE0"/>
    <w:rsid w:val="00FD0425"/>
    <w:rsid w:val="00FD64B7"/>
    <w:rsid w:val="00FD7193"/>
    <w:rsid w:val="00FD7DDE"/>
    <w:rsid w:val="00FE68EF"/>
    <w:rsid w:val="00FF232B"/>
    <w:rsid w:val="00FF2FC9"/>
    <w:rsid w:val="00FF3944"/>
    <w:rsid w:val="00FF7D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799148"/>
  <w15:docId w15:val="{F87030CC-7603-4E62-9F11-C44EF8B7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B02"/>
    <w:pPr>
      <w:spacing w:after="200" w:line="276" w:lineRule="auto"/>
    </w:pPr>
    <w:rPr>
      <w:lang w:val="en-US"/>
    </w:rPr>
  </w:style>
  <w:style w:type="paragraph" w:styleId="Heading1">
    <w:name w:val="heading 1"/>
    <w:basedOn w:val="Normal"/>
    <w:next w:val="Normal"/>
    <w:link w:val="Heading1Char"/>
    <w:uiPriority w:val="9"/>
    <w:qFormat/>
    <w:rsid w:val="006C28CF"/>
    <w:pPr>
      <w:keepNext/>
      <w:keepLines/>
      <w:spacing w:before="240" w:after="0"/>
      <w:outlineLvl w:val="0"/>
    </w:pPr>
    <w:rPr>
      <w:rFonts w:ascii="Calibri" w:eastAsiaTheme="majorEastAsia" w:hAnsi="Calibri"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6C28CF"/>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6C28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8CF"/>
    <w:rPr>
      <w:rFonts w:ascii="Calibri" w:eastAsiaTheme="majorEastAsia" w:hAnsi="Calibri" w:cstheme="majorBidi"/>
      <w:b/>
      <w:color w:val="2E74B5" w:themeColor="accent1" w:themeShade="BF"/>
      <w:sz w:val="24"/>
      <w:szCs w:val="32"/>
      <w:lang w:val="en-US"/>
    </w:rPr>
  </w:style>
  <w:style w:type="character" w:customStyle="1" w:styleId="BalloonTextChar">
    <w:name w:val="Balloon Text Char"/>
    <w:basedOn w:val="DefaultParagraphFont"/>
    <w:link w:val="BalloonText"/>
    <w:uiPriority w:val="99"/>
    <w:semiHidden/>
    <w:rsid w:val="00BC4B02"/>
    <w:rPr>
      <w:rFonts w:ascii="Tahoma" w:hAnsi="Tahoma" w:cs="Tahoma"/>
      <w:sz w:val="16"/>
      <w:szCs w:val="16"/>
      <w:lang w:val="en-US"/>
    </w:rPr>
  </w:style>
  <w:style w:type="paragraph" w:styleId="BalloonText">
    <w:name w:val="Balloon Text"/>
    <w:basedOn w:val="Normal"/>
    <w:link w:val="BalloonTextChar"/>
    <w:uiPriority w:val="99"/>
    <w:semiHidden/>
    <w:unhideWhenUsed/>
    <w:rsid w:val="00BC4B02"/>
    <w:pPr>
      <w:spacing w:after="0" w:line="240" w:lineRule="auto"/>
    </w:pPr>
    <w:rPr>
      <w:rFonts w:ascii="Tahoma" w:hAnsi="Tahoma" w:cs="Tahoma"/>
      <w:sz w:val="16"/>
      <w:szCs w:val="16"/>
    </w:rPr>
  </w:style>
  <w:style w:type="paragraph" w:styleId="ListParagraph">
    <w:name w:val="List Paragraph"/>
    <w:basedOn w:val="Normal"/>
    <w:link w:val="ListParagraphChar"/>
    <w:uiPriority w:val="99"/>
    <w:qFormat/>
    <w:rsid w:val="00BC4B02"/>
    <w:pPr>
      <w:ind w:left="720"/>
      <w:contextualSpacing/>
    </w:pPr>
  </w:style>
  <w:style w:type="character" w:customStyle="1" w:styleId="ListParagraphChar">
    <w:name w:val="List Paragraph Char"/>
    <w:link w:val="ListParagraph"/>
    <w:uiPriority w:val="99"/>
    <w:locked/>
    <w:rsid w:val="00BC4B02"/>
    <w:rPr>
      <w:lang w:val="en-US"/>
    </w:rPr>
  </w:style>
  <w:style w:type="character" w:customStyle="1" w:styleId="EndnoteTextChar">
    <w:name w:val="Endnote Text Char"/>
    <w:basedOn w:val="DefaultParagraphFont"/>
    <w:link w:val="EndnoteText"/>
    <w:uiPriority w:val="99"/>
    <w:semiHidden/>
    <w:rsid w:val="00BC4B02"/>
    <w:rPr>
      <w:sz w:val="20"/>
      <w:szCs w:val="20"/>
      <w:lang w:val="en-US"/>
    </w:rPr>
  </w:style>
  <w:style w:type="paragraph" w:styleId="EndnoteText">
    <w:name w:val="endnote text"/>
    <w:basedOn w:val="Normal"/>
    <w:link w:val="EndnoteTextChar"/>
    <w:uiPriority w:val="99"/>
    <w:semiHidden/>
    <w:unhideWhenUsed/>
    <w:rsid w:val="00BC4B02"/>
    <w:pPr>
      <w:spacing w:after="0" w:line="240" w:lineRule="auto"/>
    </w:pPr>
    <w:rPr>
      <w:sz w:val="20"/>
      <w:szCs w:val="20"/>
    </w:rPr>
  </w:style>
  <w:style w:type="character" w:styleId="EndnoteReference">
    <w:name w:val="endnote reference"/>
    <w:basedOn w:val="DefaultParagraphFont"/>
    <w:uiPriority w:val="99"/>
    <w:semiHidden/>
    <w:unhideWhenUsed/>
    <w:rsid w:val="00BC4B02"/>
    <w:rPr>
      <w:vertAlign w:val="superscript"/>
    </w:rPr>
  </w:style>
  <w:style w:type="paragraph" w:styleId="FootnoteText">
    <w:name w:val="footnote text"/>
    <w:basedOn w:val="Normal"/>
    <w:link w:val="FootnoteTextChar"/>
    <w:uiPriority w:val="99"/>
    <w:unhideWhenUsed/>
    <w:rsid w:val="00BC4B02"/>
    <w:pPr>
      <w:spacing w:after="0" w:line="240" w:lineRule="auto"/>
    </w:pPr>
    <w:rPr>
      <w:sz w:val="20"/>
      <w:szCs w:val="20"/>
    </w:rPr>
  </w:style>
  <w:style w:type="character" w:customStyle="1" w:styleId="FootnoteTextChar">
    <w:name w:val="Footnote Text Char"/>
    <w:basedOn w:val="DefaultParagraphFont"/>
    <w:link w:val="FootnoteText"/>
    <w:uiPriority w:val="99"/>
    <w:rsid w:val="00BC4B02"/>
    <w:rPr>
      <w:sz w:val="20"/>
      <w:szCs w:val="20"/>
      <w:lang w:val="en-US"/>
    </w:rPr>
  </w:style>
  <w:style w:type="character" w:styleId="FootnoteReference">
    <w:name w:val="footnote reference"/>
    <w:basedOn w:val="DefaultParagraphFont"/>
    <w:uiPriority w:val="99"/>
    <w:semiHidden/>
    <w:unhideWhenUsed/>
    <w:rsid w:val="00BC4B02"/>
    <w:rPr>
      <w:vertAlign w:val="superscript"/>
    </w:rPr>
  </w:style>
  <w:style w:type="character" w:customStyle="1" w:styleId="CommentTextChar">
    <w:name w:val="Comment Text Char"/>
    <w:basedOn w:val="DefaultParagraphFont"/>
    <w:link w:val="CommentText"/>
    <w:uiPriority w:val="99"/>
    <w:semiHidden/>
    <w:rsid w:val="00BC4B02"/>
    <w:rPr>
      <w:sz w:val="20"/>
      <w:szCs w:val="20"/>
      <w:lang w:val="en-US"/>
    </w:rPr>
  </w:style>
  <w:style w:type="paragraph" w:styleId="CommentText">
    <w:name w:val="annotation text"/>
    <w:basedOn w:val="Normal"/>
    <w:link w:val="CommentTextChar"/>
    <w:uiPriority w:val="99"/>
    <w:semiHidden/>
    <w:unhideWhenUsed/>
    <w:rsid w:val="00BC4B02"/>
    <w:pPr>
      <w:spacing w:line="240" w:lineRule="auto"/>
    </w:pPr>
    <w:rPr>
      <w:sz w:val="20"/>
      <w:szCs w:val="20"/>
    </w:rPr>
  </w:style>
  <w:style w:type="character" w:customStyle="1" w:styleId="CommentSubjectChar">
    <w:name w:val="Comment Subject Char"/>
    <w:basedOn w:val="CommentTextChar"/>
    <w:link w:val="CommentSubject"/>
    <w:uiPriority w:val="99"/>
    <w:semiHidden/>
    <w:rsid w:val="00BC4B02"/>
    <w:rPr>
      <w:b/>
      <w:bCs/>
      <w:sz w:val="20"/>
      <w:szCs w:val="20"/>
      <w:lang w:val="en-US"/>
    </w:rPr>
  </w:style>
  <w:style w:type="paragraph" w:styleId="CommentSubject">
    <w:name w:val="annotation subject"/>
    <w:basedOn w:val="CommentText"/>
    <w:next w:val="CommentText"/>
    <w:link w:val="CommentSubjectChar"/>
    <w:uiPriority w:val="99"/>
    <w:semiHidden/>
    <w:unhideWhenUsed/>
    <w:rsid w:val="00BC4B02"/>
    <w:rPr>
      <w:b/>
      <w:bCs/>
    </w:rPr>
  </w:style>
  <w:style w:type="table" w:styleId="TableGrid">
    <w:name w:val="Table Grid"/>
    <w:basedOn w:val="TableNormal"/>
    <w:uiPriority w:val="59"/>
    <w:rsid w:val="00BC4B0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B02"/>
    <w:rPr>
      <w:lang w:val="en-US"/>
    </w:rPr>
  </w:style>
  <w:style w:type="paragraph" w:styleId="Footer">
    <w:name w:val="footer"/>
    <w:basedOn w:val="Normal"/>
    <w:link w:val="FooterChar"/>
    <w:uiPriority w:val="99"/>
    <w:unhideWhenUsed/>
    <w:rsid w:val="00BC4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B02"/>
    <w:rPr>
      <w:lang w:val="en-US"/>
    </w:rPr>
  </w:style>
  <w:style w:type="paragraph" w:styleId="Title">
    <w:name w:val="Title"/>
    <w:basedOn w:val="Normal"/>
    <w:next w:val="Normal"/>
    <w:link w:val="TitleChar"/>
    <w:uiPriority w:val="10"/>
    <w:qFormat/>
    <w:rsid w:val="00256438"/>
    <w:pPr>
      <w:spacing w:after="0" w:line="240" w:lineRule="auto"/>
      <w:contextualSpacing/>
    </w:pPr>
    <w:rPr>
      <w:rFonts w:ascii="Calibri" w:eastAsiaTheme="majorEastAsia" w:hAnsi="Calibri" w:cstheme="majorBidi"/>
      <w:b/>
      <w:spacing w:val="-10"/>
      <w:kern w:val="28"/>
      <w:sz w:val="28"/>
      <w:szCs w:val="56"/>
    </w:rPr>
  </w:style>
  <w:style w:type="character" w:customStyle="1" w:styleId="TitleChar">
    <w:name w:val="Title Char"/>
    <w:basedOn w:val="DefaultParagraphFont"/>
    <w:link w:val="Title"/>
    <w:uiPriority w:val="10"/>
    <w:rsid w:val="00256438"/>
    <w:rPr>
      <w:rFonts w:ascii="Calibri" w:eastAsiaTheme="majorEastAsia" w:hAnsi="Calibri" w:cstheme="majorBidi"/>
      <w:b/>
      <w:spacing w:val="-10"/>
      <w:kern w:val="28"/>
      <w:sz w:val="28"/>
      <w:szCs w:val="56"/>
      <w:lang w:val="en-US"/>
    </w:rPr>
  </w:style>
  <w:style w:type="character" w:customStyle="1" w:styleId="Heading2Char">
    <w:name w:val="Heading 2 Char"/>
    <w:basedOn w:val="DefaultParagraphFont"/>
    <w:link w:val="Heading2"/>
    <w:uiPriority w:val="9"/>
    <w:rsid w:val="006C28CF"/>
    <w:rPr>
      <w:rFonts w:ascii="Calibri" w:eastAsiaTheme="majorEastAsia" w:hAnsi="Calibri" w:cstheme="majorBidi"/>
      <w:b/>
      <w:szCs w:val="26"/>
      <w:lang w:val="en-US"/>
    </w:rPr>
  </w:style>
  <w:style w:type="character" w:customStyle="1" w:styleId="Heading3Char">
    <w:name w:val="Heading 3 Char"/>
    <w:basedOn w:val="DefaultParagraphFont"/>
    <w:link w:val="Heading3"/>
    <w:uiPriority w:val="9"/>
    <w:rsid w:val="006C28CF"/>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unhideWhenUsed/>
    <w:rsid w:val="00EC4002"/>
    <w:rPr>
      <w:color w:val="0563C1" w:themeColor="hyperlink"/>
      <w:u w:val="single"/>
    </w:rPr>
  </w:style>
  <w:style w:type="character" w:styleId="CommentReference">
    <w:name w:val="annotation reference"/>
    <w:basedOn w:val="DefaultParagraphFont"/>
    <w:uiPriority w:val="99"/>
    <w:semiHidden/>
    <w:unhideWhenUsed/>
    <w:rsid w:val="00AA3A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60069">
      <w:bodyDiv w:val="1"/>
      <w:marLeft w:val="0"/>
      <w:marRight w:val="0"/>
      <w:marTop w:val="0"/>
      <w:marBottom w:val="0"/>
      <w:divBdr>
        <w:top w:val="none" w:sz="0" w:space="0" w:color="auto"/>
        <w:left w:val="none" w:sz="0" w:space="0" w:color="auto"/>
        <w:bottom w:val="none" w:sz="0" w:space="0" w:color="auto"/>
        <w:right w:val="none" w:sz="0" w:space="0" w:color="auto"/>
      </w:divBdr>
    </w:div>
    <w:div w:id="144396859">
      <w:bodyDiv w:val="1"/>
      <w:marLeft w:val="0"/>
      <w:marRight w:val="0"/>
      <w:marTop w:val="0"/>
      <w:marBottom w:val="0"/>
      <w:divBdr>
        <w:top w:val="none" w:sz="0" w:space="0" w:color="auto"/>
        <w:left w:val="none" w:sz="0" w:space="0" w:color="auto"/>
        <w:bottom w:val="none" w:sz="0" w:space="0" w:color="auto"/>
        <w:right w:val="none" w:sz="0" w:space="0" w:color="auto"/>
      </w:divBdr>
    </w:div>
    <w:div w:id="282200389">
      <w:bodyDiv w:val="1"/>
      <w:marLeft w:val="0"/>
      <w:marRight w:val="0"/>
      <w:marTop w:val="0"/>
      <w:marBottom w:val="0"/>
      <w:divBdr>
        <w:top w:val="none" w:sz="0" w:space="0" w:color="auto"/>
        <w:left w:val="none" w:sz="0" w:space="0" w:color="auto"/>
        <w:bottom w:val="none" w:sz="0" w:space="0" w:color="auto"/>
        <w:right w:val="none" w:sz="0" w:space="0" w:color="auto"/>
      </w:divBdr>
    </w:div>
    <w:div w:id="796678194">
      <w:bodyDiv w:val="1"/>
      <w:marLeft w:val="0"/>
      <w:marRight w:val="0"/>
      <w:marTop w:val="0"/>
      <w:marBottom w:val="0"/>
      <w:divBdr>
        <w:top w:val="none" w:sz="0" w:space="0" w:color="auto"/>
        <w:left w:val="none" w:sz="0" w:space="0" w:color="auto"/>
        <w:bottom w:val="none" w:sz="0" w:space="0" w:color="auto"/>
        <w:right w:val="none" w:sz="0" w:space="0" w:color="auto"/>
      </w:divBdr>
    </w:div>
    <w:div w:id="92021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m01.safelinks.protection.outlook.com/?url=http%3A%2F%2Fmptf.undp.org%2Ffactsheet%2Ffund%2FRPD00&amp;data=02%7C01%7C%7Cd8e2408231b74d0d591d08d7146c5b7e%7C2bcd07449e18487d85c3c9a325220be8%7C0%7C0%7C637000327930349842&amp;sdata=LBQjcj8b1d1PAYJkx0DlNrpnLsC1rA50hYHi63yCUx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58297296087479F98BB9BAB1B9409" ma:contentTypeVersion="12" ma:contentTypeDescription="Crée un document." ma:contentTypeScope="" ma:versionID="eaf52fc42258ce91dde28bf86e98f8d7">
  <xsd:schema xmlns:xsd="http://www.w3.org/2001/XMLSchema" xmlns:xs="http://www.w3.org/2001/XMLSchema" xmlns:p="http://schemas.microsoft.com/office/2006/metadata/properties" xmlns:ns3="79cc764b-c4b1-4551-89f4-8a7b5770dfd1" xmlns:ns4="9b5ccece-85dd-4d79-8dd4-70306f880e97" targetNamespace="http://schemas.microsoft.com/office/2006/metadata/properties" ma:root="true" ma:fieldsID="16b283c91dc28f4fd53cd1c195a61796" ns3:_="" ns4:_="">
    <xsd:import namespace="79cc764b-c4b1-4551-89f4-8a7b5770dfd1"/>
    <xsd:import namespace="9b5ccece-85dd-4d79-8dd4-70306f880e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c764b-c4b1-4551-89f4-8a7b5770d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ccece-85dd-4d79-8dd4-70306f880e9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MPTF_00068_00050</ProjectId>
    <FundCode xmlns="f9695bc1-6109-4dcd-a27a-f8a0370b00e2">MPTF_00068</FundCode>
    <Comments xmlns="f9695bc1-6109-4dcd-a27a-f8a0370b00e2" xsi:nil="true"/>
    <Active xmlns="f9695bc1-6109-4dcd-a27a-f8a0370b00e2">Yes</Active>
    <DocumentDate xmlns="b1528a4b-5ccb-40f7-a09e-43427183cd95">2020-04-29T07:00:00+00:00</DocumentDate>
    <Featured xmlns="b1528a4b-5ccb-40f7-a09e-43427183cd95">1</Featured>
    <FormTypeCode xmlns="b1528a4b-5ccb-40f7-a09e-43427183cd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48726498DFDEE4D83767BA39677065C" ma:contentTypeVersion="13" ma:contentTypeDescription="Create a new document." ma:contentTypeScope="" ma:versionID="dd3236cf926822d5adc69077dddc9eed">
  <xsd:schema xmlns:xsd="http://www.w3.org/2001/XMLSchema" xmlns:xs="http://www.w3.org/2001/XMLSchema" xmlns:p="http://schemas.microsoft.com/office/2006/metadata/properties" xmlns:ns3="414feba0-8347-43bc-a26a-d6734f694089" xmlns:ns4="56abeac2-1d6f-4117-9145-ef3714e38422" targetNamespace="http://schemas.microsoft.com/office/2006/metadata/properties" ma:root="true" ma:fieldsID="a01a22b6f9fc733fef397dd65a7c3503" ns3:_="" ns4:_="">
    <xsd:import namespace="414feba0-8347-43bc-a26a-d6734f694089"/>
    <xsd:import namespace="56abeac2-1d6f-4117-9145-ef3714e384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feba0-8347-43bc-a26a-d6734f694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abeac2-1d6f-4117-9145-ef3714e384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1ED40-C600-40C0-987D-3E057C66E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c764b-c4b1-4551-89f4-8a7b5770dfd1"/>
    <ds:schemaRef ds:uri="9b5ccece-85dd-4d79-8dd4-70306f880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EDBA2-6CA8-4A36-AA92-3D45830EB2DD}">
  <ds:schemaRefs>
    <ds:schemaRef ds:uri="http://schemas.microsoft.com/sharepoint/v3/contenttype/forms"/>
  </ds:schemaRefs>
</ds:datastoreItem>
</file>

<file path=customXml/itemProps3.xml><?xml version="1.0" encoding="utf-8"?>
<ds:datastoreItem xmlns:ds="http://schemas.openxmlformats.org/officeDocument/2006/customXml" ds:itemID="{78038E96-0752-4C00-BC1D-C8C824DE2C5A}">
  <ds:schemaRefs>
    <ds:schemaRef ds:uri="http://schemas.microsoft.com/office/2006/metadata/properties"/>
    <ds:schemaRef ds:uri="http://schemas.microsoft.com/office/infopath/2007/PartnerControls"/>
    <ds:schemaRef ds:uri="9b5ccece-85dd-4d79-8dd4-70306f880e97"/>
  </ds:schemaRefs>
</ds:datastoreItem>
</file>

<file path=customXml/itemProps4.xml><?xml version="1.0" encoding="utf-8"?>
<ds:datastoreItem xmlns:ds="http://schemas.openxmlformats.org/officeDocument/2006/customXml" ds:itemID="{9EB9C198-DD18-4F72-82B0-28C1176DE56A}"/>
</file>

<file path=customXml/itemProps5.xml><?xml version="1.0" encoding="utf-8"?>
<ds:datastoreItem xmlns:ds="http://schemas.openxmlformats.org/officeDocument/2006/customXml" ds:itemID="{52606DDE-7452-41C7-B2B1-9FF116E57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feba0-8347-43bc-a26a-d6734f694089"/>
    <ds:schemaRef ds:uri="56abeac2-1d6f-4117-9145-ef3714e38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13D718-345A-41F3-97A2-86A164F0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3596</Words>
  <Characters>20500</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HANDICAP INTERNATIONAL</Company>
  <LinksUpToDate>false</LinksUpToDate>
  <CharactersWithSpaces>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ProDoc_200429.docx</dc:title>
  <dc:creator>Sreerupa</dc:creator>
  <cp:lastModifiedBy>Priyanka Narahari</cp:lastModifiedBy>
  <cp:revision>4</cp:revision>
  <dcterms:created xsi:type="dcterms:W3CDTF">2020-04-24T20:40:00Z</dcterms:created>
  <dcterms:modified xsi:type="dcterms:W3CDTF">2020-04-27T16:36:00Z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SharedWithUsers">
    <vt:lpwstr>70;#Ruby Holmes;#71;#Alessandra Aresu</vt:lpwstr>
  </property>
  <property fmtid="{D5CDD505-2E9C-101B-9397-08002B2CF9AE}" pid="4" name="Order">
    <vt:r8>3084600</vt:r8>
  </property>
</Properties>
</file>