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E7FA" w14:textId="77777777" w:rsidR="00A45397" w:rsidRPr="000D4C6A" w:rsidRDefault="00986A15" w:rsidP="000D4C6A">
      <w:pPr>
        <w:pStyle w:val="Normal1"/>
        <w:spacing w:before="100" w:after="280"/>
        <w:jc w:val="both"/>
      </w:pPr>
      <w:r w:rsidRPr="000D4C6A">
        <w:rPr>
          <w:noProof/>
        </w:rPr>
        <w:drawing>
          <wp:inline distT="0" distB="0" distL="0" distR="0" wp14:anchorId="02A41F9B" wp14:editId="6D5D3042">
            <wp:extent cx="4789549" cy="695035"/>
            <wp:effectExtent l="0" t="0" r="0" b="0"/>
            <wp:docPr id="2" name="image4.jpg" descr="The United Nations symbol on the left side. Then  text includes: the UN Partnership on the Rights of Persons with Disabilities. Below are  nine acronyms of the UN Participating Organizations."/>
            <wp:cNvGraphicFramePr/>
            <a:graphic xmlns:a="http://schemas.openxmlformats.org/drawingml/2006/main">
              <a:graphicData uri="http://schemas.openxmlformats.org/drawingml/2006/picture">
                <pic:pic xmlns:pic="http://schemas.openxmlformats.org/drawingml/2006/picture">
                  <pic:nvPicPr>
                    <pic:cNvPr id="0" name="image4.jpg" descr="The United Nations symbol on the left side. Then  text includes: the UN Partnership on the Rights of Persons with Disabilities. Below are  nine acronyms of the UN Participating Organizations."/>
                    <pic:cNvPicPr preferRelativeResize="0"/>
                  </pic:nvPicPr>
                  <pic:blipFill>
                    <a:blip r:embed="rId7"/>
                    <a:srcRect/>
                    <a:stretch>
                      <a:fillRect/>
                    </a:stretch>
                  </pic:blipFill>
                  <pic:spPr>
                    <a:xfrm>
                      <a:off x="0" y="0"/>
                      <a:ext cx="4789549" cy="695035"/>
                    </a:xfrm>
                    <a:prstGeom prst="rect">
                      <a:avLst/>
                    </a:prstGeom>
                    <a:ln/>
                  </pic:spPr>
                </pic:pic>
              </a:graphicData>
            </a:graphic>
          </wp:inline>
        </w:drawing>
      </w:r>
    </w:p>
    <w:p w14:paraId="644F5535" w14:textId="77777777" w:rsidR="00A45397" w:rsidRPr="000D4C6A" w:rsidRDefault="00A45397" w:rsidP="000D4C6A">
      <w:pPr>
        <w:pStyle w:val="Normal1"/>
        <w:spacing w:after="60"/>
        <w:jc w:val="both"/>
        <w:rPr>
          <w:b/>
        </w:rPr>
      </w:pPr>
    </w:p>
    <w:tbl>
      <w:tblPr>
        <w:tblStyle w:val="a"/>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20" w:firstRow="1" w:lastRow="0" w:firstColumn="0" w:lastColumn="0" w:noHBand="0" w:noVBand="1"/>
      </w:tblPr>
      <w:tblGrid>
        <w:gridCol w:w="9870"/>
      </w:tblGrid>
      <w:tr w:rsidR="000D4C6A" w:rsidRPr="000D4C6A" w14:paraId="4AF83648" w14:textId="77777777" w:rsidTr="00561177">
        <w:tc>
          <w:tcPr>
            <w:tcW w:w="9870" w:type="dxa"/>
          </w:tcPr>
          <w:p w14:paraId="5284C7F7" w14:textId="77777777" w:rsidR="00A45397" w:rsidRPr="000D4C6A" w:rsidRDefault="00986A15" w:rsidP="000D4C6A">
            <w:pPr>
              <w:pStyle w:val="Normal1"/>
              <w:jc w:val="both"/>
            </w:pPr>
            <w:r w:rsidRPr="000D4C6A">
              <w:rPr>
                <w:b/>
              </w:rPr>
              <w:t>Title:</w:t>
            </w:r>
            <w:r w:rsidRPr="000D4C6A">
              <w:t xml:space="preserve"> Building national capacities for achieving social inclusion of persons with disabilities in the areas of education, employment and participation in the Dominican Republic.</w:t>
            </w:r>
            <w:r w:rsidR="00B367D0" w:rsidRPr="000D4C6A">
              <w:rPr>
                <w:i/>
              </w:rPr>
              <w:t xml:space="preserve"> </w:t>
            </w:r>
          </w:p>
        </w:tc>
      </w:tr>
      <w:tr w:rsidR="000D4C6A" w:rsidRPr="000D4C6A" w14:paraId="5BE3E37F" w14:textId="77777777" w:rsidTr="00561177">
        <w:tc>
          <w:tcPr>
            <w:tcW w:w="9870" w:type="dxa"/>
          </w:tcPr>
          <w:p w14:paraId="2F47430C" w14:textId="77777777" w:rsidR="00A45397" w:rsidRPr="000D4C6A" w:rsidRDefault="00986A15" w:rsidP="000D4C6A">
            <w:pPr>
              <w:pStyle w:val="Normal1"/>
              <w:jc w:val="both"/>
              <w:rPr>
                <w:b/>
              </w:rPr>
            </w:pPr>
            <w:r w:rsidRPr="000D4C6A">
              <w:rPr>
                <w:b/>
              </w:rPr>
              <w:t>Country:</w:t>
            </w:r>
            <w:r w:rsidRPr="000D4C6A">
              <w:t xml:space="preserve"> Dominican Republic</w:t>
            </w:r>
          </w:p>
        </w:tc>
      </w:tr>
      <w:tr w:rsidR="000D4C6A" w:rsidRPr="000D4C6A" w14:paraId="757A206B" w14:textId="77777777" w:rsidTr="00561177">
        <w:tc>
          <w:tcPr>
            <w:tcW w:w="9870" w:type="dxa"/>
          </w:tcPr>
          <w:p w14:paraId="509B6B8F" w14:textId="77777777" w:rsidR="00A45397" w:rsidRPr="000D4C6A" w:rsidRDefault="00986A15" w:rsidP="000D4C6A">
            <w:pPr>
              <w:pStyle w:val="Normal1"/>
              <w:jc w:val="both"/>
              <w:rPr>
                <w:b/>
              </w:rPr>
            </w:pPr>
            <w:r w:rsidRPr="000D4C6A">
              <w:rPr>
                <w:b/>
              </w:rPr>
              <w:t xml:space="preserve">Duration (max. 36 months): </w:t>
            </w:r>
            <w:r w:rsidRPr="000D4C6A">
              <w:t>2 years</w:t>
            </w:r>
          </w:p>
        </w:tc>
      </w:tr>
      <w:tr w:rsidR="000D4C6A" w:rsidRPr="000D4C6A" w14:paraId="06B4FAD9" w14:textId="77777777" w:rsidTr="00561177">
        <w:tc>
          <w:tcPr>
            <w:tcW w:w="9870" w:type="dxa"/>
          </w:tcPr>
          <w:p w14:paraId="693A900C" w14:textId="77777777" w:rsidR="00A45397" w:rsidRPr="000D4C6A" w:rsidRDefault="00986A15" w:rsidP="000D4C6A">
            <w:pPr>
              <w:pStyle w:val="Normal1"/>
              <w:jc w:val="both"/>
              <w:rPr>
                <w:b/>
              </w:rPr>
            </w:pPr>
            <w:r w:rsidRPr="000D4C6A">
              <w:rPr>
                <w:b/>
              </w:rPr>
              <w:t xml:space="preserve">Total Budget: </w:t>
            </w:r>
            <w:r w:rsidRPr="000D4C6A">
              <w:t xml:space="preserve">Total programme cost: 442,315 USD; Total requested from UNPRPD Fund: </w:t>
            </w:r>
            <w:bookmarkStart w:id="0" w:name="OLE_LINK1"/>
            <w:r w:rsidRPr="000D4C6A">
              <w:t xml:space="preserve">390,021 </w:t>
            </w:r>
            <w:bookmarkEnd w:id="0"/>
            <w:r w:rsidRPr="000D4C6A">
              <w:t>USD</w:t>
            </w:r>
          </w:p>
        </w:tc>
      </w:tr>
      <w:tr w:rsidR="00A45397" w:rsidRPr="000D4C6A" w14:paraId="17C82724" w14:textId="77777777" w:rsidTr="00561177">
        <w:tc>
          <w:tcPr>
            <w:tcW w:w="9870" w:type="dxa"/>
          </w:tcPr>
          <w:p w14:paraId="68080C2E" w14:textId="77777777" w:rsidR="00A45397" w:rsidRPr="000D4C6A" w:rsidRDefault="00986A15" w:rsidP="000D4C6A">
            <w:pPr>
              <w:pStyle w:val="Normal1"/>
              <w:jc w:val="both"/>
              <w:rPr>
                <w:b/>
              </w:rPr>
            </w:pPr>
            <w:r w:rsidRPr="000D4C6A">
              <w:rPr>
                <w:b/>
              </w:rPr>
              <w:t xml:space="preserve">Participating UN Organizations: </w:t>
            </w:r>
            <w:r w:rsidRPr="000D4C6A">
              <w:t>UNICEF, PAHO/WHO, UNDP</w:t>
            </w:r>
          </w:p>
        </w:tc>
      </w:tr>
    </w:tbl>
    <w:p w14:paraId="74924F2A" w14:textId="77777777" w:rsidR="00A45397" w:rsidRPr="000D4C6A" w:rsidRDefault="00A45397" w:rsidP="000D4C6A">
      <w:pPr>
        <w:pStyle w:val="Normal1"/>
        <w:jc w:val="both"/>
        <w:rPr>
          <w:b/>
        </w:rPr>
      </w:pPr>
    </w:p>
    <w:p w14:paraId="2BF3FC37" w14:textId="77777777" w:rsidR="00A45397" w:rsidRPr="00A40D9F" w:rsidRDefault="00986A15" w:rsidP="000D4C6A">
      <w:pPr>
        <w:pStyle w:val="Heading1"/>
        <w:jc w:val="both"/>
        <w:rPr>
          <w:rFonts w:ascii="Times New Roman" w:hAnsi="Times New Roman" w:cs="Times New Roman"/>
          <w:b/>
          <w:color w:val="4F81BD" w:themeColor="accent1"/>
        </w:rPr>
      </w:pPr>
      <w:r w:rsidRPr="00A40D9F">
        <w:rPr>
          <w:rFonts w:ascii="Times New Roman" w:hAnsi="Times New Roman" w:cs="Times New Roman"/>
          <w:b/>
          <w:color w:val="4F81BD" w:themeColor="accent1"/>
        </w:rPr>
        <w:t>Executive summary</w:t>
      </w:r>
    </w:p>
    <w:p w14:paraId="4A1F8A7E" w14:textId="77777777" w:rsidR="00A45397" w:rsidRPr="000D4C6A" w:rsidRDefault="00A45397" w:rsidP="000D4C6A">
      <w:pPr>
        <w:pStyle w:val="Normal1"/>
        <w:jc w:val="both"/>
      </w:pPr>
    </w:p>
    <w:p w14:paraId="3710ECAD" w14:textId="77777777" w:rsidR="00A45397" w:rsidRPr="000D4C6A" w:rsidRDefault="00201FFA" w:rsidP="000D4C6A">
      <w:pPr>
        <w:pStyle w:val="Normal1"/>
        <w:jc w:val="both"/>
      </w:pPr>
      <w:r w:rsidRPr="000D4C6A">
        <w:t xml:space="preserve">The </w:t>
      </w:r>
      <w:r w:rsidR="00986A15" w:rsidRPr="000D4C6A">
        <w:t xml:space="preserve">Dominican Republic is a high </w:t>
      </w:r>
      <w:r w:rsidR="00E4069F">
        <w:t>m</w:t>
      </w:r>
      <w:r w:rsidR="00986A15" w:rsidRPr="000D4C6A">
        <w:t>iddle-income country with a high level of inequ</w:t>
      </w:r>
      <w:r w:rsidR="008005D5">
        <w:t>al</w:t>
      </w:r>
      <w:r w:rsidR="00986A15" w:rsidRPr="000D4C6A">
        <w:t xml:space="preserve">ity, which entails larger obstacles for the inclusion of persons with disabilities. Even though the legal framework recognizes the rights of persons with disabilities, there is a significant gap in terms of capacity development among public service providers in the areas of inclusive education, decent employment and social participation. This joint programme aims to support capacity development as a lever of change to promote a human rights approach in favour of children with disabilities outside the educational system, and </w:t>
      </w:r>
      <w:r w:rsidR="00711519" w:rsidRPr="000D4C6A">
        <w:t xml:space="preserve">for </w:t>
      </w:r>
      <w:r w:rsidR="00986A15" w:rsidRPr="000D4C6A">
        <w:t xml:space="preserve">persons with disabilities </w:t>
      </w:r>
      <w:r w:rsidR="00711519" w:rsidRPr="000D4C6A">
        <w:t>who are subject to discrimination</w:t>
      </w:r>
      <w:r w:rsidR="00986A15" w:rsidRPr="000D4C6A">
        <w:t xml:space="preserve"> in the labour market and socially stigmatized for their disability.</w:t>
      </w:r>
    </w:p>
    <w:p w14:paraId="1F5467B7" w14:textId="77777777" w:rsidR="00A45397" w:rsidRPr="000D4C6A" w:rsidRDefault="00A45397" w:rsidP="000D4C6A">
      <w:pPr>
        <w:pStyle w:val="Normal1"/>
        <w:jc w:val="both"/>
      </w:pPr>
    </w:p>
    <w:p w14:paraId="041B9A2C" w14:textId="77777777" w:rsidR="00A45397" w:rsidRPr="000D4C6A" w:rsidRDefault="00986A15" w:rsidP="000D4C6A">
      <w:pPr>
        <w:pStyle w:val="Normal1"/>
        <w:jc w:val="both"/>
      </w:pPr>
      <w:r w:rsidRPr="000D4C6A">
        <w:t>To define the main obstacles faced by persons with disabilities, this technical proposal was based on consultations and a multi-lateral dialogue between the participating UN agencies, Disabled People’s Organizations (DPOs), the governmental body overseeing the implementation of policies on disability, and other related institutions. These spaces allowed for the participating UN agencies to identify the underlying factors for these obstacles, as well as the focus for the different components and interventions, considering their sustainability and scale-up potential.</w:t>
      </w:r>
    </w:p>
    <w:p w14:paraId="31F6306C" w14:textId="77777777" w:rsidR="00A45397" w:rsidRPr="000D4C6A" w:rsidRDefault="00A45397" w:rsidP="000D4C6A">
      <w:pPr>
        <w:pStyle w:val="Normal1"/>
        <w:jc w:val="both"/>
      </w:pPr>
    </w:p>
    <w:p w14:paraId="4CAC800B" w14:textId="77777777" w:rsidR="00A45397" w:rsidRPr="000D4C6A" w:rsidRDefault="00986A15" w:rsidP="000D4C6A">
      <w:pPr>
        <w:pStyle w:val="Normal1"/>
        <w:jc w:val="both"/>
      </w:pPr>
      <w:r w:rsidRPr="000D4C6A">
        <w:t>This joint programme was developed within the framework of the Sustainable Development Goals (SDGs) and its overarching principle of “leaving no one behind”: it mainly focuses on SDGs 4, 8 and 16. In addition, it also takes into consideration the recommendations made by the Convention for the Rights of Persons with Disabilities (CRPD) Committee.</w:t>
      </w:r>
    </w:p>
    <w:p w14:paraId="10B8F38D" w14:textId="77777777" w:rsidR="00A45397" w:rsidRPr="00A40D9F" w:rsidRDefault="00986A15" w:rsidP="000D4C6A">
      <w:pPr>
        <w:pStyle w:val="Heading1"/>
        <w:numPr>
          <w:ilvl w:val="0"/>
          <w:numId w:val="17"/>
        </w:numPr>
        <w:jc w:val="both"/>
        <w:rPr>
          <w:rFonts w:ascii="Times New Roman" w:hAnsi="Times New Roman" w:cs="Times New Roman"/>
          <w:b/>
          <w:color w:val="4F81BD" w:themeColor="accent1"/>
        </w:rPr>
      </w:pPr>
      <w:r w:rsidRPr="00A40D9F">
        <w:rPr>
          <w:rFonts w:ascii="Times New Roman" w:hAnsi="Times New Roman" w:cs="Times New Roman"/>
          <w:b/>
          <w:color w:val="4F81BD" w:themeColor="accent1"/>
        </w:rPr>
        <w:t>Background and rationale</w:t>
      </w:r>
    </w:p>
    <w:p w14:paraId="22641BA0" w14:textId="77777777" w:rsidR="00A45397" w:rsidRPr="000D4C6A" w:rsidRDefault="00A45397" w:rsidP="000D4C6A">
      <w:pPr>
        <w:pStyle w:val="Normal1"/>
        <w:jc w:val="both"/>
      </w:pPr>
    </w:p>
    <w:p w14:paraId="758493D3" w14:textId="77777777" w:rsidR="00A45397" w:rsidRPr="000D4C6A" w:rsidRDefault="00986A15" w:rsidP="000D4C6A">
      <w:pPr>
        <w:pStyle w:val="Normal1"/>
        <w:jc w:val="both"/>
      </w:pPr>
      <w:r w:rsidRPr="000D4C6A">
        <w:rPr>
          <w:b/>
        </w:rPr>
        <w:t>1.1 Challenges and opportunities to be addressed by the project</w:t>
      </w:r>
    </w:p>
    <w:p w14:paraId="7A280986" w14:textId="77777777" w:rsidR="00A45397" w:rsidRPr="000D4C6A" w:rsidRDefault="00A45397" w:rsidP="000D4C6A">
      <w:pPr>
        <w:pStyle w:val="Normal1"/>
        <w:jc w:val="both"/>
      </w:pPr>
    </w:p>
    <w:p w14:paraId="6D024DE4" w14:textId="77777777" w:rsidR="00A45397" w:rsidRDefault="00986A15" w:rsidP="000D4C6A">
      <w:pPr>
        <w:pStyle w:val="Normal1"/>
        <w:jc w:val="both"/>
      </w:pPr>
      <w:r w:rsidRPr="000D4C6A">
        <w:t>The Dominican Republic is a high middle-income country with a high level of inequ</w:t>
      </w:r>
      <w:r w:rsidR="00636552" w:rsidRPr="000D4C6A">
        <w:t>ality, where</w:t>
      </w:r>
      <w:r w:rsidRPr="000D4C6A">
        <w:t xml:space="preserve"> 70.2% of the population is considered poor or vulnera</w:t>
      </w:r>
      <w:r w:rsidR="00F05C33" w:rsidRPr="000D4C6A">
        <w:t>ble. Persons with disabilities</w:t>
      </w:r>
      <w:r w:rsidRPr="000D4C6A">
        <w:t xml:space="preserve"> represent 12% of the </w:t>
      </w:r>
      <w:r w:rsidRPr="000D4C6A">
        <w:lastRenderedPageBreak/>
        <w:t xml:space="preserve">population (1,160,847 people), and when affected by poverty and </w:t>
      </w:r>
      <w:r w:rsidR="00F05C33" w:rsidRPr="000D4C6A">
        <w:t>inequality, they experience</w:t>
      </w:r>
      <w:r w:rsidRPr="000D4C6A">
        <w:t xml:space="preserve"> stigmatization and social exclusion. According to the national social protection registry, 245,352 households report at least one member with a disability. The coexistence of poverty and disabi</w:t>
      </w:r>
      <w:r w:rsidR="00F05C33" w:rsidRPr="000D4C6A">
        <w:t>lity increases these individual</w:t>
      </w:r>
      <w:r w:rsidRPr="000D4C6A">
        <w:t>s</w:t>
      </w:r>
      <w:r w:rsidR="00F05C33" w:rsidRPr="000D4C6A">
        <w:t>’</w:t>
      </w:r>
      <w:r w:rsidRPr="000D4C6A">
        <w:t xml:space="preserve"> vulnerabilities, further limiting their access to health, education, mobility, social and political participation, </w:t>
      </w:r>
      <w:r w:rsidR="008005D5">
        <w:t>and other areas of life</w:t>
      </w:r>
      <w:r w:rsidRPr="000D4C6A">
        <w:t xml:space="preserve">. Persons with disabilities (PWD) </w:t>
      </w:r>
      <w:r w:rsidR="00F05C33" w:rsidRPr="000D4C6A">
        <w:t>experience major</w:t>
      </w:r>
      <w:r w:rsidRPr="000D4C6A">
        <w:t xml:space="preserve"> discrimination and </w:t>
      </w:r>
      <w:r w:rsidR="00F05C33" w:rsidRPr="000D4C6A">
        <w:t xml:space="preserve">encounter </w:t>
      </w:r>
      <w:r w:rsidR="008005D5">
        <w:t xml:space="preserve">barriers </w:t>
      </w:r>
      <w:r w:rsidRPr="000D4C6A">
        <w:t>that limit the full realization of their rights and the fulfilment of their potential for human development, regardless of their socio-economic status.</w:t>
      </w:r>
    </w:p>
    <w:p w14:paraId="0C73198B" w14:textId="77777777" w:rsidR="00B90B3C" w:rsidRPr="000D4C6A" w:rsidRDefault="00B90B3C" w:rsidP="000D4C6A">
      <w:pPr>
        <w:pStyle w:val="Normal1"/>
        <w:jc w:val="both"/>
      </w:pPr>
    </w:p>
    <w:p w14:paraId="36A7AAC2" w14:textId="77777777" w:rsidR="00A45397" w:rsidRPr="000D4C6A" w:rsidRDefault="00986A15" w:rsidP="000D4C6A">
      <w:pPr>
        <w:pStyle w:val="Normal1"/>
        <w:jc w:val="both"/>
      </w:pPr>
      <w:r w:rsidRPr="000D4C6A">
        <w:t>When it comes to the right to education, children with disabilities have limited opportunities to accessing inclusive and quality education: almost half of the population with children with disabilities are not attending school: 43% of girls and 40% of boys under the age of 10 (in contrast, the enrolment rate for students without disabilities at this academic level reached 93.5% in 2015); and 45% of girls and 42% of boys between the ages of 15 and 19. The highest levels of exclusion from the school system can be found among the poorest children.</w:t>
      </w:r>
    </w:p>
    <w:p w14:paraId="594EB655" w14:textId="77777777" w:rsidR="00A45397" w:rsidRPr="000D4C6A" w:rsidRDefault="00A45397" w:rsidP="000D4C6A">
      <w:pPr>
        <w:pStyle w:val="Normal1"/>
        <w:jc w:val="both"/>
      </w:pPr>
    </w:p>
    <w:p w14:paraId="3BB5BD43" w14:textId="77777777" w:rsidR="00A45397" w:rsidRPr="000D4C6A" w:rsidRDefault="008A01F7" w:rsidP="000D4C6A">
      <w:pPr>
        <w:pStyle w:val="Normal1"/>
        <w:jc w:val="both"/>
      </w:pPr>
      <w:r w:rsidRPr="000D4C6A">
        <w:t>More than</w:t>
      </w:r>
      <w:r w:rsidR="00F531BE" w:rsidRPr="000D4C6A">
        <w:t xml:space="preserve"> 25,000 children between the ages of </w:t>
      </w:r>
      <w:r w:rsidRPr="000D4C6A">
        <w:t>0 and 9 and around 58,000 10 to</w:t>
      </w:r>
      <w:r w:rsidR="00F531BE" w:rsidRPr="000D4C6A">
        <w:t xml:space="preserve"> 19-year-olds have some form of disability.</w:t>
      </w:r>
      <w:r w:rsidR="00986A15" w:rsidRPr="000D4C6A">
        <w:rPr>
          <w:vertAlign w:val="superscript"/>
        </w:rPr>
        <w:footnoteReference w:id="1"/>
      </w:r>
      <w:r w:rsidR="00F531BE" w:rsidRPr="000D4C6A">
        <w:t xml:space="preserve"> </w:t>
      </w:r>
      <w:r w:rsidR="007D613C" w:rsidRPr="000D4C6A">
        <w:t>The overall</w:t>
      </w:r>
      <w:r w:rsidR="00F531BE" w:rsidRPr="000D4C6A">
        <w:t xml:space="preserve"> population </w:t>
      </w:r>
      <w:r w:rsidRPr="000D4C6A">
        <w:t xml:space="preserve">of </w:t>
      </w:r>
      <w:r w:rsidR="00F531BE" w:rsidRPr="000D4C6A">
        <w:t>school age children and young people with disabilities totals around 83,000 girls, boys and adolescents. 1.82% of these are girls and female adolescents</w:t>
      </w:r>
      <w:r w:rsidRPr="000D4C6A">
        <w:t>,</w:t>
      </w:r>
      <w:r w:rsidR="00F531BE" w:rsidRPr="000D4C6A">
        <w:t xml:space="preserve"> and 2.24% are boys and male adolescents up to the age of 19.</w:t>
      </w:r>
      <w:r w:rsidR="00986A15" w:rsidRPr="000D4C6A">
        <w:rPr>
          <w:vertAlign w:val="superscript"/>
        </w:rPr>
        <w:footnoteReference w:id="2"/>
      </w:r>
      <w:r w:rsidR="00B367D0" w:rsidRPr="000D4C6A">
        <w:t xml:space="preserve"> </w:t>
      </w:r>
    </w:p>
    <w:p w14:paraId="462A79C6" w14:textId="77777777" w:rsidR="0081082F" w:rsidRPr="000D4C6A" w:rsidRDefault="0081082F" w:rsidP="000D4C6A">
      <w:pPr>
        <w:pStyle w:val="Normal1"/>
        <w:jc w:val="both"/>
      </w:pPr>
    </w:p>
    <w:p w14:paraId="668E70E0" w14:textId="77777777" w:rsidR="00A45397" w:rsidRPr="000D4C6A" w:rsidRDefault="000739D8" w:rsidP="000D4C6A">
      <w:pPr>
        <w:pStyle w:val="Normal1"/>
        <w:jc w:val="both"/>
      </w:pPr>
      <w:r w:rsidRPr="000D4C6A">
        <w:t>W</w:t>
      </w:r>
      <w:r w:rsidR="00272E40" w:rsidRPr="000D4C6A">
        <w:t xml:space="preserve">hen it comes to the right to </w:t>
      </w:r>
      <w:r w:rsidRPr="000D4C6A">
        <w:t xml:space="preserve">education, children with disabilities have limited opportunities to an inclusive and quality education. Almost half of all children with disabilities are </w:t>
      </w:r>
      <w:r w:rsidR="00FA273F" w:rsidRPr="000D4C6A">
        <w:t>not attending</w:t>
      </w:r>
      <w:r w:rsidRPr="000D4C6A">
        <w:t xml:space="preserve"> school: 41% of girls and 38% of boys between the ages of 3 and 19, while school attendance</w:t>
      </w:r>
      <w:r w:rsidR="00FA273F" w:rsidRPr="000D4C6A">
        <w:t xml:space="preserve"> rates</w:t>
      </w:r>
      <w:r w:rsidRPr="000D4C6A">
        <w:t xml:space="preserve"> amongst children without disab</w:t>
      </w:r>
      <w:r w:rsidR="00831778" w:rsidRPr="000D4C6A">
        <w:t>ilities in the same age group are</w:t>
      </w:r>
      <w:r w:rsidRPr="000D4C6A">
        <w:t xml:space="preserve"> 80% and 81% respectively.</w:t>
      </w:r>
      <w:r w:rsidR="00986A15" w:rsidRPr="000D4C6A">
        <w:rPr>
          <w:vertAlign w:val="superscript"/>
        </w:rPr>
        <w:footnoteReference w:id="3"/>
      </w:r>
      <w:r w:rsidRPr="000D4C6A">
        <w:t xml:space="preserve"> </w:t>
      </w:r>
    </w:p>
    <w:p w14:paraId="018D3A50" w14:textId="77777777" w:rsidR="0081082F" w:rsidRPr="000D4C6A" w:rsidRDefault="0081082F" w:rsidP="000D4C6A">
      <w:pPr>
        <w:pStyle w:val="Normal1"/>
        <w:jc w:val="both"/>
      </w:pPr>
    </w:p>
    <w:p w14:paraId="2202C8FC" w14:textId="77777777" w:rsidR="00A45397" w:rsidRPr="000D4C6A" w:rsidRDefault="003C3F53" w:rsidP="000D4C6A">
      <w:pPr>
        <w:pStyle w:val="Normal1"/>
        <w:jc w:val="both"/>
      </w:pPr>
      <w:r w:rsidRPr="000D4C6A">
        <w:t>Children with disabilities have lower levels of access to pre-school education with 38% compared to 53% of children without any form of disability. At primary level, 21% of children with disabilities between the ages of 6 and 11 do not attend school, and almost half of this age group cannot read or write. Among adolescents with disabilities between the ages of 12 and 17 the rate of school ex</w:t>
      </w:r>
      <w:r w:rsidR="00735BA0" w:rsidRPr="000D4C6A">
        <w:t>clusion worsens, with 35% not attending</w:t>
      </w:r>
      <w:r w:rsidRPr="000D4C6A">
        <w:t xml:space="preserve"> school and 30.7% not knowing how to read or write.</w:t>
      </w:r>
      <w:r w:rsidR="00986A15" w:rsidRPr="000D4C6A">
        <w:rPr>
          <w:vertAlign w:val="superscript"/>
        </w:rPr>
        <w:footnoteReference w:id="4"/>
      </w:r>
      <w:r w:rsidRPr="000D4C6A">
        <w:t xml:space="preserve"> The highest rate of educational exclusion occurs among the poorest girls. </w:t>
      </w:r>
    </w:p>
    <w:p w14:paraId="5FE52EAF" w14:textId="77777777" w:rsidR="0081082F" w:rsidRPr="000D4C6A" w:rsidRDefault="0081082F" w:rsidP="000D4C6A">
      <w:pPr>
        <w:pStyle w:val="Normal1"/>
        <w:jc w:val="both"/>
      </w:pPr>
    </w:p>
    <w:p w14:paraId="763CCB52" w14:textId="77777777" w:rsidR="00A45397" w:rsidRPr="000D4C6A" w:rsidRDefault="00C873C1" w:rsidP="000D4C6A">
      <w:pPr>
        <w:pStyle w:val="Normal1"/>
        <w:jc w:val="both"/>
      </w:pPr>
      <w:r w:rsidRPr="000D4C6A">
        <w:t xml:space="preserve">In 2013 the Ministry of Education carried out a nationwide information-gathering process in 80% of public and private </w:t>
      </w:r>
      <w:proofErr w:type="gramStart"/>
      <w:r w:rsidRPr="000D4C6A">
        <w:t>schools, and</w:t>
      </w:r>
      <w:proofErr w:type="gramEnd"/>
      <w:r w:rsidRPr="000D4C6A">
        <w:t xml:space="preserve"> identified 26,581 </w:t>
      </w:r>
      <w:r w:rsidR="00735BA0" w:rsidRPr="000D4C6A">
        <w:t>children and young people with signs of disabilities:</w:t>
      </w:r>
      <w:r w:rsidRPr="000D4C6A">
        <w:t xml:space="preserve"> 10,470 girls and 16,111 boys. 91% of students with disabilities attend mainstream education, 74% of them in mainstream state schools.</w:t>
      </w:r>
      <w:r w:rsidR="00986A15" w:rsidRPr="000D4C6A">
        <w:rPr>
          <w:vertAlign w:val="superscript"/>
        </w:rPr>
        <w:footnoteReference w:id="5"/>
      </w:r>
      <w:r w:rsidRPr="000D4C6A">
        <w:t xml:space="preserve"> </w:t>
      </w:r>
    </w:p>
    <w:p w14:paraId="155105EC" w14:textId="77777777" w:rsidR="0081082F" w:rsidRPr="000D4C6A" w:rsidRDefault="0081082F" w:rsidP="000D4C6A">
      <w:pPr>
        <w:pStyle w:val="Normal1"/>
        <w:jc w:val="both"/>
      </w:pPr>
    </w:p>
    <w:p w14:paraId="605CEF65" w14:textId="77777777" w:rsidR="00A45397" w:rsidRPr="000D4C6A" w:rsidRDefault="004D0FE2" w:rsidP="000D4C6A">
      <w:pPr>
        <w:pStyle w:val="Normal1"/>
        <w:jc w:val="both"/>
      </w:pPr>
      <w:r w:rsidRPr="000D4C6A">
        <w:lastRenderedPageBreak/>
        <w:t xml:space="preserve">52% of schools report not having </w:t>
      </w:r>
      <w:r w:rsidR="00735BA0" w:rsidRPr="000D4C6A">
        <w:t>any children with disabilities;</w:t>
      </w:r>
      <w:r w:rsidRPr="000D4C6A">
        <w:t xml:space="preserve"> of these 48% reject admissions of students with disabilities and 52% expressed a willingness to accept them. During the 2011-2012 </w:t>
      </w:r>
      <w:r w:rsidR="00735BA0" w:rsidRPr="000D4C6A">
        <w:t>academic</w:t>
      </w:r>
      <w:r w:rsidRPr="000D4C6A">
        <w:t xml:space="preserve"> year 4,578 students were enrolled in special education schools.</w:t>
      </w:r>
      <w:r w:rsidR="00986A15" w:rsidRPr="000D4C6A">
        <w:rPr>
          <w:vertAlign w:val="superscript"/>
        </w:rPr>
        <w:footnoteReference w:id="6"/>
      </w:r>
    </w:p>
    <w:p w14:paraId="6858EC87" w14:textId="77777777" w:rsidR="0081082F" w:rsidRPr="000D4C6A" w:rsidRDefault="0081082F" w:rsidP="000D4C6A">
      <w:pPr>
        <w:pStyle w:val="Normal1"/>
        <w:jc w:val="both"/>
      </w:pPr>
    </w:p>
    <w:p w14:paraId="3676D408" w14:textId="77777777" w:rsidR="00A45397" w:rsidRPr="000D4C6A" w:rsidRDefault="00D93857" w:rsidP="000D4C6A">
      <w:pPr>
        <w:pStyle w:val="Normal1"/>
        <w:jc w:val="both"/>
      </w:pPr>
      <w:r w:rsidRPr="000D4C6A">
        <w:t xml:space="preserve">64% of schools do not have support staff and 59% do not have specific methodological strategies or teaching resources tailored to students with disabilities and their learning process. </w:t>
      </w:r>
    </w:p>
    <w:p w14:paraId="07B0FA58" w14:textId="77777777" w:rsidR="00A45397" w:rsidRPr="000D4C6A" w:rsidRDefault="00A45397" w:rsidP="000D4C6A">
      <w:pPr>
        <w:pStyle w:val="Normal1"/>
        <w:jc w:val="both"/>
      </w:pPr>
    </w:p>
    <w:p w14:paraId="2B80C7BB" w14:textId="77777777" w:rsidR="00A45397" w:rsidRPr="000D4C6A" w:rsidRDefault="00986A15" w:rsidP="000D4C6A">
      <w:pPr>
        <w:pStyle w:val="Normal1"/>
        <w:jc w:val="both"/>
      </w:pPr>
      <w:r w:rsidRPr="000D4C6A">
        <w:t>Regarding their inclusion in decent employment, persons with disabilities do not have access to quality work. In the Dominican Republic, 64% of persons with disabilities do not have access to a decent job, compared with 52.5% of persons without disabilities. Persons with disabilities in the poorest quintile experience greater obstacles to completing their studies (36.6%) and to accessing paid work opportunities (48.2%), which are lower for persons with disabilities in the wealthiest quintile (25.5% and 36.4% respectively). There are several causes underpinning this reality, including the lack of adequate job training, and poor articulation between capacity building programs for PWD and private and public enterprises. There are also challenges in national training systems to develop technical and vocational programs that are more inclusive, through an incorporation of technology and other tools to increase people’s job opportunities. In this context, persons with disabilities face serious difficulties to lead independent and successful lives.</w:t>
      </w:r>
    </w:p>
    <w:p w14:paraId="067B0889" w14:textId="77777777" w:rsidR="00A45397" w:rsidRPr="000D4C6A" w:rsidRDefault="00A45397" w:rsidP="000D4C6A">
      <w:pPr>
        <w:pStyle w:val="Normal1"/>
        <w:jc w:val="both"/>
      </w:pPr>
    </w:p>
    <w:p w14:paraId="39031AB4" w14:textId="77777777" w:rsidR="00A45397" w:rsidRPr="000D4C6A" w:rsidRDefault="00F634B1" w:rsidP="000D4C6A">
      <w:pPr>
        <w:pStyle w:val="Normal1"/>
        <w:pBdr>
          <w:top w:val="nil"/>
          <w:left w:val="nil"/>
          <w:bottom w:val="nil"/>
          <w:right w:val="nil"/>
          <w:between w:val="nil"/>
        </w:pBdr>
        <w:jc w:val="both"/>
      </w:pPr>
      <w:r w:rsidRPr="000D4C6A">
        <w:t xml:space="preserve">One of the main limiting factors faced by persons with disability is their </w:t>
      </w:r>
      <w:r w:rsidR="00D21BC1" w:rsidRPr="000D4C6A">
        <w:t>low level of participation in</w:t>
      </w:r>
      <w:r w:rsidRPr="000D4C6A">
        <w:t xml:space="preserve"> the labour market, </w:t>
      </w:r>
      <w:proofErr w:type="gramStart"/>
      <w:r w:rsidRPr="000D4C6A">
        <w:t>despite the fact that</w:t>
      </w:r>
      <w:proofErr w:type="gramEnd"/>
      <w:r w:rsidRPr="000D4C6A">
        <w:t xml:space="preserve"> most of them are </w:t>
      </w:r>
      <w:r w:rsidR="00D21BC1" w:rsidRPr="000D4C6A">
        <w:t>in an</w:t>
      </w:r>
      <w:r w:rsidRPr="000D4C6A">
        <w:t xml:space="preserve"> economically productive age</w:t>
      </w:r>
      <w:r w:rsidR="00D21BC1" w:rsidRPr="000D4C6A">
        <w:t xml:space="preserve"> group. They </w:t>
      </w:r>
      <w:r w:rsidRPr="000D4C6A">
        <w:t>are</w:t>
      </w:r>
      <w:r w:rsidR="00D21BC1" w:rsidRPr="000D4C6A">
        <w:t xml:space="preserve"> </w:t>
      </w:r>
      <w:r w:rsidRPr="000D4C6A">
        <w:t>therefore excluded from the country’s economic production. Their exclusion from the formal labour market means that many people with disabilities enter the informal market or are forced to resort to begging.</w:t>
      </w:r>
      <w:r w:rsidR="00986A15" w:rsidRPr="000D4C6A">
        <w:rPr>
          <w:vertAlign w:val="superscript"/>
        </w:rPr>
        <w:footnoteReference w:id="7"/>
      </w:r>
      <w:r w:rsidRPr="000D4C6A">
        <w:t xml:space="preserve"> </w:t>
      </w:r>
    </w:p>
    <w:p w14:paraId="4724484D" w14:textId="77777777" w:rsidR="00A45397" w:rsidRPr="000D4C6A" w:rsidRDefault="00A45397" w:rsidP="000D4C6A">
      <w:pPr>
        <w:pStyle w:val="Normal1"/>
        <w:jc w:val="both"/>
        <w:rPr>
          <w:b/>
        </w:rPr>
      </w:pPr>
    </w:p>
    <w:p w14:paraId="55F694CD" w14:textId="77777777" w:rsidR="00A45397" w:rsidRPr="000D4C6A" w:rsidRDefault="008D20E3" w:rsidP="000D4C6A">
      <w:pPr>
        <w:pStyle w:val="Normal1"/>
        <w:jc w:val="both"/>
      </w:pPr>
      <w:r w:rsidRPr="000D4C6A">
        <w:t>Meanwhile, the Law on Disability in the Dominican Republic (</w:t>
      </w:r>
      <w:r w:rsidR="00B367D0" w:rsidRPr="000D4C6A">
        <w:t xml:space="preserve">Law </w:t>
      </w:r>
      <w:r w:rsidRPr="000D4C6A">
        <w:t xml:space="preserve">5-13) establishes that within three years from its </w:t>
      </w:r>
      <w:r w:rsidR="00D21BC1" w:rsidRPr="000D4C6A">
        <w:t>enactment</w:t>
      </w:r>
      <w:r w:rsidRPr="000D4C6A">
        <w:t xml:space="preserve">, five percent (5%) of people working in public </w:t>
      </w:r>
      <w:r w:rsidR="00D21BC1" w:rsidRPr="000D4C6A">
        <w:t>entities</w:t>
      </w:r>
      <w:r w:rsidRPr="000D4C6A">
        <w:t xml:space="preserve"> should have </w:t>
      </w:r>
      <w:proofErr w:type="gramStart"/>
      <w:r w:rsidRPr="000D4C6A">
        <w:t>some kind of disability</w:t>
      </w:r>
      <w:proofErr w:type="gramEnd"/>
      <w:r w:rsidRPr="000D4C6A">
        <w:t>, while in the private sector the target quota is two percent (2%). Nonetheless, the country is still a long way away from meeting this legal requirement whose aim is to achieve open, inclusive, accessible working environments, which enable people with disabilities to compete and take part on an equal basis with other people.</w:t>
      </w:r>
    </w:p>
    <w:p w14:paraId="6FB76CB6" w14:textId="77777777" w:rsidR="00A45397" w:rsidRPr="000D4C6A" w:rsidRDefault="00A45397" w:rsidP="000D4C6A">
      <w:pPr>
        <w:pStyle w:val="Normal1"/>
        <w:jc w:val="both"/>
      </w:pPr>
    </w:p>
    <w:p w14:paraId="6AD28610" w14:textId="77777777" w:rsidR="00A45397" w:rsidRPr="000D4C6A" w:rsidRDefault="00986A15" w:rsidP="000D4C6A">
      <w:pPr>
        <w:pStyle w:val="Normal1"/>
        <w:jc w:val="both"/>
      </w:pPr>
      <w:r w:rsidRPr="000D4C6A">
        <w:t xml:space="preserve">A series of development and policy-related issues are yet to be addressed. These are closely linked to the Convention for the Rights of Persons with Disabilities (CRPD) recommendations that the country must address </w:t>
      </w:r>
      <w:proofErr w:type="gramStart"/>
      <w:r w:rsidRPr="000D4C6A">
        <w:t>in order to</w:t>
      </w:r>
      <w:proofErr w:type="gramEnd"/>
      <w:r w:rsidRPr="000D4C6A">
        <w:t xml:space="preserve"> ensure the inclusion of persons with disabilities throughout their lifetimes. The State authorities are being urged to introduce inclusive and quality education and increase access to employment opportunities.</w:t>
      </w:r>
    </w:p>
    <w:p w14:paraId="296E0F12" w14:textId="77777777" w:rsidR="00A45397" w:rsidRPr="000D4C6A" w:rsidRDefault="00A45397" w:rsidP="000D4C6A">
      <w:pPr>
        <w:pStyle w:val="Normal1"/>
        <w:jc w:val="both"/>
      </w:pPr>
    </w:p>
    <w:p w14:paraId="7E44F7BB" w14:textId="77777777" w:rsidR="00A45397" w:rsidRPr="000D4C6A" w:rsidRDefault="00986A15" w:rsidP="000D4C6A">
      <w:pPr>
        <w:pStyle w:val="Normal1"/>
        <w:jc w:val="both"/>
      </w:pPr>
      <w:r w:rsidRPr="000D4C6A">
        <w:t xml:space="preserve">Although </w:t>
      </w:r>
      <w:r w:rsidR="00B367D0" w:rsidRPr="000D4C6A">
        <w:t>great</w:t>
      </w:r>
      <w:r w:rsidRPr="000D4C6A">
        <w:t xml:space="preserve"> progress has been achieved in the legal framework to promote full social inclusion for persons with disabilities, there is an important capacity gap in terms of development of policies and programs that will ensure effective compliance with current laws and regulations. The country signed the Convention on the Rights of Persons with Disabilities (CRPD) and its protocol in </w:t>
      </w:r>
      <w:proofErr w:type="gramStart"/>
      <w:r w:rsidRPr="000D4C6A">
        <w:t>2006, and</w:t>
      </w:r>
      <w:proofErr w:type="gramEnd"/>
      <w:r w:rsidRPr="000D4C6A">
        <w:t xml:space="preserve"> ratified it in 2008. Law 1-12, the National Development Strategy to 2030, in which the country takes on commitments in all sectors (education, health, social protection and labour) to improve living conditions and eliminate the obstacles to the inclusion of persons with disabilities was enacted in 2010. This was followed by the enactment in 2013 of Law 5-13, which guarantees equal rights and parity of opportunities for all persons with disabilities. Regulations for this law were enacted in 2016. As a way of supporting the fulfilment of the national and international commitments that the country has taken on, the implementation of a National Roadmap for the Prevention, Detection and Integrated Care for Children with Disabilities began in 2017, with the involvement of the National Disability Council (CONADIS in Spanish), the Ministries of Health, Education, the Presidency and the National Institute for Integrated Care in Early Childhood and the Integral Disability Centre (CAID in Spanish). </w:t>
      </w:r>
    </w:p>
    <w:p w14:paraId="36E0CB1A" w14:textId="77777777" w:rsidR="00A45397" w:rsidRPr="000D4C6A" w:rsidRDefault="00A45397" w:rsidP="000D4C6A">
      <w:pPr>
        <w:pStyle w:val="Normal1"/>
        <w:jc w:val="both"/>
      </w:pPr>
    </w:p>
    <w:p w14:paraId="68DC7C2F" w14:textId="77777777" w:rsidR="00A45397" w:rsidRPr="000D4C6A" w:rsidRDefault="00986A15" w:rsidP="000D4C6A">
      <w:pPr>
        <w:pStyle w:val="Normal1"/>
        <w:jc w:val="both"/>
      </w:pPr>
      <w:r w:rsidRPr="000D4C6A">
        <w:t>The United Nations funds, programmes and agencies involved in the formulation of the project will work with governmental bodies and organizations, such as CONADIS, the Ministry of Education, the Ministry of Labour and civil society organizations working with persons with disabilities. These organizations will help strengthen the rules and public policies that provide educational and employment opportunities to persons with disabilities, while improving the specialized studies that focus on this population.</w:t>
      </w:r>
    </w:p>
    <w:p w14:paraId="6D950BCF" w14:textId="77777777" w:rsidR="00A45397" w:rsidRPr="000D4C6A" w:rsidRDefault="00A45397" w:rsidP="000D4C6A">
      <w:pPr>
        <w:pStyle w:val="Normal1"/>
        <w:jc w:val="both"/>
      </w:pPr>
    </w:p>
    <w:p w14:paraId="09F30441" w14:textId="77777777" w:rsidR="00A45397" w:rsidRPr="000D4C6A" w:rsidRDefault="00986A15" w:rsidP="000D4C6A">
      <w:pPr>
        <w:pStyle w:val="Normal1"/>
        <w:jc w:val="both"/>
      </w:pPr>
      <w:r w:rsidRPr="000D4C6A">
        <w:t>This project will contribute to fulfilling the Convention on the Rights of Persons with Disabilities (CRPD) and the Sustainable Development Goals (SDG) recommendations, as well as Law 5-13 on disability in the Dominican Republic, and the 2018-2022 UNDAF (United Nations Development Assistance Framework) outcomes linked to the persons with disabilities identified in the National Development Strategy, the Government Plan, the 2030 Programme and the National Roadmap for Disability.</w:t>
      </w:r>
    </w:p>
    <w:p w14:paraId="4AF6F56C" w14:textId="77777777" w:rsidR="00A45397" w:rsidRPr="000D4C6A" w:rsidRDefault="00A45397" w:rsidP="000D4C6A">
      <w:pPr>
        <w:pStyle w:val="Normal1"/>
        <w:jc w:val="both"/>
      </w:pPr>
    </w:p>
    <w:p w14:paraId="7F3218D5" w14:textId="77777777" w:rsidR="00A45397" w:rsidRPr="000D4C6A" w:rsidRDefault="002B7654" w:rsidP="000D4C6A">
      <w:pPr>
        <w:pStyle w:val="Normal1"/>
        <w:jc w:val="both"/>
        <w:rPr>
          <w:b/>
        </w:rPr>
      </w:pPr>
      <w:r w:rsidRPr="000D4C6A">
        <w:rPr>
          <w:b/>
        </w:rPr>
        <w:t>Initiatives in the process of implementation</w:t>
      </w:r>
    </w:p>
    <w:p w14:paraId="3FEF9319" w14:textId="77777777" w:rsidR="000D4C6A" w:rsidRPr="000D4C6A" w:rsidRDefault="000D4C6A" w:rsidP="000D4C6A">
      <w:pPr>
        <w:pStyle w:val="Normal1"/>
        <w:jc w:val="both"/>
      </w:pPr>
    </w:p>
    <w:p w14:paraId="64EAF953" w14:textId="77777777" w:rsidR="001A6A4B" w:rsidRPr="000D4C6A" w:rsidRDefault="001A6A4B" w:rsidP="000D4C6A">
      <w:pPr>
        <w:pStyle w:val="Normal1"/>
        <w:jc w:val="both"/>
      </w:pPr>
      <w:r w:rsidRPr="000D4C6A">
        <w:t xml:space="preserve">The United Nations Development Program in the Dominican Republic (UNDP DR) is strongly committed to promoting policies and strategies for improving inclusion rates of people with disabilities. The premise of not leaving anyone behind is an essential principle of our country programme and </w:t>
      </w:r>
      <w:r w:rsidR="00D21BC1" w:rsidRPr="000D4C6A">
        <w:t xml:space="preserve">of </w:t>
      </w:r>
      <w:r w:rsidRPr="000D4C6A">
        <w:t>our work. In this context, and through our programme work, our office has a very good track record of working towards the recognition and fulfilment of the rights of vulnerable groups in the country, with a special focus on people with disabilities.</w:t>
      </w:r>
    </w:p>
    <w:p w14:paraId="256BDDCA" w14:textId="77777777" w:rsidR="00D21BC1" w:rsidRPr="000D4C6A" w:rsidRDefault="00D21BC1" w:rsidP="000D4C6A">
      <w:pPr>
        <w:pStyle w:val="Normal1"/>
        <w:jc w:val="both"/>
      </w:pPr>
    </w:p>
    <w:p w14:paraId="362852CB" w14:textId="77777777" w:rsidR="00DD7DA4" w:rsidRPr="000D4C6A" w:rsidRDefault="00DD7DA4" w:rsidP="000D4C6A">
      <w:pPr>
        <w:pStyle w:val="Normal1"/>
        <w:jc w:val="both"/>
      </w:pPr>
      <w:r w:rsidRPr="000D4C6A">
        <w:t>Over a period of more than three years, we have worked jointly with public institutions and civil society organisations that represent the interests of people with disabilities. This work has helped us raise awareness, design policies and implement measures that address the interests of these sectors, by developing more inclusive strategies.</w:t>
      </w:r>
    </w:p>
    <w:p w14:paraId="43FD095E" w14:textId="77777777" w:rsidR="00BA0E33" w:rsidRPr="000D4C6A" w:rsidRDefault="00BA0E33" w:rsidP="000D4C6A">
      <w:pPr>
        <w:pStyle w:val="Normal1"/>
        <w:jc w:val="both"/>
      </w:pPr>
    </w:p>
    <w:p w14:paraId="5D5D29E6" w14:textId="77777777" w:rsidR="00A45397" w:rsidRPr="000D4C6A" w:rsidRDefault="00BA0E33" w:rsidP="000D4C6A">
      <w:pPr>
        <w:pStyle w:val="Normal1"/>
        <w:jc w:val="both"/>
      </w:pPr>
      <w:r w:rsidRPr="000D4C6A">
        <w:t xml:space="preserve">Some specific measures supported by the UNDP </w:t>
      </w:r>
      <w:proofErr w:type="gramStart"/>
      <w:r w:rsidRPr="000D4C6A">
        <w:t>in the area of</w:t>
      </w:r>
      <w:proofErr w:type="gramEnd"/>
      <w:r w:rsidRPr="000D4C6A">
        <w:t xml:space="preserve"> disability are outlined below:</w:t>
      </w:r>
    </w:p>
    <w:p w14:paraId="5A1D32B9" w14:textId="77777777" w:rsidR="00A45397" w:rsidRPr="000D4C6A" w:rsidRDefault="00A45397" w:rsidP="000D4C6A">
      <w:pPr>
        <w:pStyle w:val="Normal1"/>
        <w:pBdr>
          <w:top w:val="nil"/>
          <w:left w:val="nil"/>
          <w:bottom w:val="nil"/>
          <w:right w:val="nil"/>
          <w:between w:val="nil"/>
        </w:pBdr>
        <w:spacing w:line="276" w:lineRule="auto"/>
        <w:ind w:left="720" w:hanging="720"/>
        <w:jc w:val="both"/>
      </w:pPr>
    </w:p>
    <w:p w14:paraId="2D2FB8B4" w14:textId="77777777" w:rsidR="00A45397" w:rsidRPr="000D4C6A" w:rsidRDefault="00986A15" w:rsidP="000D4C6A">
      <w:pPr>
        <w:pStyle w:val="Normal1"/>
        <w:pBdr>
          <w:top w:val="nil"/>
          <w:left w:val="nil"/>
          <w:bottom w:val="nil"/>
          <w:right w:val="nil"/>
          <w:between w:val="nil"/>
        </w:pBdr>
        <w:spacing w:line="276" w:lineRule="auto"/>
        <w:ind w:left="720" w:hanging="720"/>
        <w:jc w:val="both"/>
      </w:pPr>
      <w:r w:rsidRPr="000D4C6A">
        <w:rPr>
          <w:b/>
        </w:rPr>
        <w:t>2017</w:t>
      </w:r>
      <w:r w:rsidR="000D4C6A" w:rsidRPr="000D4C6A">
        <w:t>:</w:t>
      </w:r>
    </w:p>
    <w:p w14:paraId="1ACD8E89" w14:textId="77777777" w:rsidR="00A45397" w:rsidRPr="000D4C6A" w:rsidRDefault="00A45397" w:rsidP="000D4C6A">
      <w:pPr>
        <w:pStyle w:val="Normal1"/>
        <w:pBdr>
          <w:top w:val="nil"/>
          <w:left w:val="nil"/>
          <w:bottom w:val="nil"/>
          <w:right w:val="nil"/>
          <w:between w:val="nil"/>
        </w:pBdr>
        <w:spacing w:line="276" w:lineRule="auto"/>
        <w:ind w:left="720" w:hanging="720"/>
        <w:jc w:val="both"/>
      </w:pPr>
    </w:p>
    <w:p w14:paraId="5AE1D9A3" w14:textId="77777777" w:rsidR="00A45397" w:rsidRPr="000D4C6A" w:rsidRDefault="00D63C86" w:rsidP="000D4C6A">
      <w:pPr>
        <w:pStyle w:val="Normal1"/>
        <w:numPr>
          <w:ilvl w:val="0"/>
          <w:numId w:val="19"/>
        </w:numPr>
        <w:pBdr>
          <w:top w:val="nil"/>
          <w:left w:val="nil"/>
          <w:bottom w:val="nil"/>
          <w:right w:val="nil"/>
          <w:between w:val="nil"/>
        </w:pBdr>
        <w:spacing w:line="259" w:lineRule="auto"/>
        <w:contextualSpacing/>
        <w:jc w:val="both"/>
      </w:pPr>
      <w:r w:rsidRPr="000D4C6A">
        <w:t xml:space="preserve">Organisation of a discussion group on Workplace </w:t>
      </w:r>
      <w:r w:rsidR="00D21BC1" w:rsidRPr="000D4C6A">
        <w:t>Inclusion at the Young Entrepreneur</w:t>
      </w:r>
      <w:r w:rsidRPr="000D4C6A">
        <w:t>s Association (ANJE).</w:t>
      </w:r>
    </w:p>
    <w:p w14:paraId="25672113" w14:textId="77777777" w:rsidR="00A45397" w:rsidRPr="000D4C6A" w:rsidRDefault="00A45397" w:rsidP="000D4C6A">
      <w:pPr>
        <w:pStyle w:val="Normal1"/>
        <w:pBdr>
          <w:top w:val="nil"/>
          <w:left w:val="nil"/>
          <w:bottom w:val="nil"/>
          <w:right w:val="nil"/>
          <w:between w:val="nil"/>
        </w:pBdr>
        <w:spacing w:line="276" w:lineRule="auto"/>
        <w:ind w:left="720" w:hanging="720"/>
        <w:jc w:val="both"/>
      </w:pPr>
    </w:p>
    <w:p w14:paraId="006CAE19" w14:textId="77777777" w:rsidR="00A45397" w:rsidRPr="000D4C6A" w:rsidRDefault="008A5D4A" w:rsidP="000D4C6A">
      <w:pPr>
        <w:pStyle w:val="Normal1"/>
        <w:numPr>
          <w:ilvl w:val="0"/>
          <w:numId w:val="19"/>
        </w:numPr>
        <w:pBdr>
          <w:top w:val="nil"/>
          <w:left w:val="nil"/>
          <w:bottom w:val="nil"/>
          <w:right w:val="nil"/>
          <w:between w:val="nil"/>
        </w:pBdr>
        <w:spacing w:line="259" w:lineRule="auto"/>
        <w:contextualSpacing/>
        <w:jc w:val="both"/>
      </w:pPr>
      <w:r w:rsidRPr="000D4C6A">
        <w:t>Capacity building in accountability, advocacy and project development for human rights organisations that work against ethnic and racial discrimination, discrimination on the grounds of disability, gender, sexual orientation and gender identity in the country through a Diploma Course in Accountability, advocacy, and public policy projects against discrimination jointly organised with the FUNCEJI Organisation and the Canadian Embassy.</w:t>
      </w:r>
    </w:p>
    <w:p w14:paraId="645FA08A" w14:textId="77777777" w:rsidR="00A45397" w:rsidRPr="000D4C6A" w:rsidRDefault="00A45397" w:rsidP="000D4C6A">
      <w:pPr>
        <w:pStyle w:val="Normal1"/>
        <w:pBdr>
          <w:top w:val="nil"/>
          <w:left w:val="nil"/>
          <w:bottom w:val="nil"/>
          <w:right w:val="nil"/>
          <w:between w:val="nil"/>
        </w:pBdr>
        <w:spacing w:line="276" w:lineRule="auto"/>
        <w:ind w:left="720" w:hanging="720"/>
        <w:jc w:val="both"/>
      </w:pPr>
    </w:p>
    <w:p w14:paraId="439EB576" w14:textId="77777777" w:rsidR="00A45397" w:rsidRPr="000D4C6A" w:rsidRDefault="00986A15" w:rsidP="000D4C6A">
      <w:pPr>
        <w:pStyle w:val="Normal1"/>
        <w:pBdr>
          <w:top w:val="nil"/>
          <w:left w:val="nil"/>
          <w:bottom w:val="nil"/>
          <w:right w:val="nil"/>
          <w:between w:val="nil"/>
        </w:pBdr>
        <w:spacing w:line="276" w:lineRule="auto"/>
        <w:ind w:left="720" w:hanging="720"/>
        <w:jc w:val="both"/>
        <w:rPr>
          <w:b/>
        </w:rPr>
      </w:pPr>
      <w:r w:rsidRPr="000D4C6A">
        <w:rPr>
          <w:b/>
        </w:rPr>
        <w:t>2018</w:t>
      </w:r>
      <w:r w:rsidR="000D4C6A" w:rsidRPr="000D4C6A">
        <w:rPr>
          <w:b/>
        </w:rPr>
        <w:t>:</w:t>
      </w:r>
    </w:p>
    <w:p w14:paraId="3AA44151" w14:textId="77777777" w:rsidR="00A45397" w:rsidRPr="000D4C6A" w:rsidRDefault="00A45397" w:rsidP="000D4C6A">
      <w:pPr>
        <w:pStyle w:val="Normal1"/>
        <w:pBdr>
          <w:top w:val="nil"/>
          <w:left w:val="nil"/>
          <w:bottom w:val="nil"/>
          <w:right w:val="nil"/>
          <w:between w:val="nil"/>
        </w:pBdr>
        <w:spacing w:line="276" w:lineRule="auto"/>
        <w:ind w:left="720" w:hanging="720"/>
        <w:jc w:val="both"/>
        <w:rPr>
          <w:b/>
        </w:rPr>
      </w:pPr>
    </w:p>
    <w:p w14:paraId="4A6A84E9" w14:textId="77777777" w:rsidR="00A45397" w:rsidRPr="000D4C6A" w:rsidRDefault="00440709" w:rsidP="000D4C6A">
      <w:pPr>
        <w:pStyle w:val="Normal1"/>
        <w:numPr>
          <w:ilvl w:val="0"/>
          <w:numId w:val="19"/>
        </w:numPr>
        <w:pBdr>
          <w:top w:val="nil"/>
          <w:left w:val="nil"/>
          <w:bottom w:val="nil"/>
          <w:right w:val="nil"/>
          <w:between w:val="nil"/>
        </w:pBdr>
        <w:spacing w:line="259" w:lineRule="auto"/>
        <w:contextualSpacing/>
        <w:jc w:val="both"/>
      </w:pPr>
      <w:r w:rsidRPr="000D4C6A">
        <w:t xml:space="preserve">UNDP DR supported the coordination of </w:t>
      </w:r>
      <w:r w:rsidR="0099607F" w:rsidRPr="000D4C6A">
        <w:t xml:space="preserve">a </w:t>
      </w:r>
      <w:r w:rsidRPr="000D4C6A">
        <w:t xml:space="preserve">technical training </w:t>
      </w:r>
      <w:r w:rsidR="0099607F" w:rsidRPr="000D4C6A">
        <w:t xml:space="preserve">course </w:t>
      </w:r>
      <w:r w:rsidRPr="000D4C6A">
        <w:t xml:space="preserve">for policy and planning staff at CONADIS on the implementation of Agenda 2030, the Rapid Integrated Assessment (RIA), Combinations of SDGs, SDGs / Disability Indicators and the national structure for following up </w:t>
      </w:r>
      <w:r w:rsidR="0099607F" w:rsidRPr="000D4C6A">
        <w:t xml:space="preserve">on </w:t>
      </w:r>
      <w:r w:rsidRPr="000D4C6A">
        <w:t>Agenda 2030 (High-Level Inter-institutional Commission for Sustainable Development – Sustainable Development Commission) together with the Resident Coordinator’s Office (RCO), the National Statistics Office and the Sustainable Development Commission.</w:t>
      </w:r>
    </w:p>
    <w:p w14:paraId="7379B93B" w14:textId="77777777" w:rsidR="00A45397" w:rsidRPr="000D4C6A" w:rsidRDefault="00A45397" w:rsidP="000D4C6A">
      <w:pPr>
        <w:pStyle w:val="Normal1"/>
        <w:pBdr>
          <w:top w:val="nil"/>
          <w:left w:val="nil"/>
          <w:bottom w:val="nil"/>
          <w:right w:val="nil"/>
          <w:between w:val="nil"/>
        </w:pBdr>
        <w:spacing w:line="276" w:lineRule="auto"/>
        <w:ind w:left="720" w:hanging="720"/>
        <w:jc w:val="both"/>
        <w:rPr>
          <w:b/>
        </w:rPr>
      </w:pPr>
    </w:p>
    <w:p w14:paraId="1FC3FD6E" w14:textId="77777777" w:rsidR="00413B77" w:rsidRPr="000D4C6A" w:rsidRDefault="00413B77" w:rsidP="000D4C6A">
      <w:pPr>
        <w:pStyle w:val="Normal1"/>
        <w:numPr>
          <w:ilvl w:val="0"/>
          <w:numId w:val="20"/>
        </w:numPr>
        <w:pBdr>
          <w:top w:val="nil"/>
          <w:left w:val="nil"/>
          <w:bottom w:val="nil"/>
          <w:right w:val="nil"/>
          <w:between w:val="nil"/>
        </w:pBdr>
        <w:spacing w:after="160" w:line="259" w:lineRule="auto"/>
        <w:contextualSpacing/>
        <w:jc w:val="both"/>
      </w:pPr>
      <w:r w:rsidRPr="000D4C6A">
        <w:t>It also supports the National Disability Council in the two editions of the ‘DR Includes’ certification</w:t>
      </w:r>
      <w:r w:rsidRPr="000D4C6A">
        <w:rPr>
          <w:i/>
        </w:rPr>
        <w:t xml:space="preserve"> (Sello RD incluye).</w:t>
      </w:r>
      <w:r w:rsidRPr="000D4C6A">
        <w:t xml:space="preserve"> This initiative is aimed at promoting and recognising good practice by public and private institutions geared at promoting the full inclusion of peopl</w:t>
      </w:r>
      <w:r w:rsidR="0099607F" w:rsidRPr="000D4C6A">
        <w:t>e with disabilities. This initiative</w:t>
      </w:r>
      <w:r w:rsidRPr="000D4C6A">
        <w:t xml:space="preserve"> seeks to continue promoting the application of the national and international regulatory framework on the rights of people with disabilities. Thanks to this initiative we have achieved replicability of a series of rec</w:t>
      </w:r>
      <w:r w:rsidR="004D30A0" w:rsidRPr="000D4C6A">
        <w:t xml:space="preserve">ognised good practices and </w:t>
      </w:r>
      <w:r w:rsidRPr="000D4C6A">
        <w:t>created incentives for new institutions that wish to participate and become more inclusive. We have implemented two rounds of this certification process (2017 and 2018). In last year’s process, 26 public and private institutions were recognised.</w:t>
      </w:r>
    </w:p>
    <w:p w14:paraId="3CDE1524" w14:textId="77777777" w:rsidR="002E6079" w:rsidRPr="000D4C6A" w:rsidRDefault="002E6079" w:rsidP="000D4C6A">
      <w:pPr>
        <w:pStyle w:val="Normal1"/>
        <w:pBdr>
          <w:top w:val="nil"/>
          <w:left w:val="nil"/>
          <w:bottom w:val="nil"/>
          <w:right w:val="nil"/>
          <w:between w:val="nil"/>
        </w:pBdr>
        <w:spacing w:after="160" w:line="259" w:lineRule="auto"/>
        <w:ind w:left="765"/>
        <w:contextualSpacing/>
        <w:jc w:val="both"/>
      </w:pPr>
    </w:p>
    <w:p w14:paraId="2EDDD80D" w14:textId="77777777" w:rsidR="0067269E" w:rsidRPr="000D4C6A" w:rsidRDefault="00C23456" w:rsidP="000D4C6A">
      <w:pPr>
        <w:pStyle w:val="Normal1"/>
        <w:pBdr>
          <w:top w:val="nil"/>
          <w:left w:val="nil"/>
          <w:bottom w:val="nil"/>
          <w:right w:val="nil"/>
          <w:between w:val="nil"/>
        </w:pBdr>
        <w:spacing w:after="160" w:line="259" w:lineRule="auto"/>
        <w:contextualSpacing/>
        <w:jc w:val="both"/>
      </w:pPr>
      <w:r w:rsidRPr="000D4C6A">
        <w:t xml:space="preserve">Meanwhile, UNICEF is prioritising its ongoing support </w:t>
      </w:r>
      <w:r w:rsidR="004D30A0" w:rsidRPr="000D4C6A">
        <w:t>for the Ministry of Education by</w:t>
      </w:r>
      <w:r w:rsidRPr="000D4C6A">
        <w:t xml:space="preserve"> strengthening educational policies, promoting a national educational system where all children and adolescents can access, learn and complete their schooling, especially the most excluded groups, including people with disabilities. In recent years UNICEF has provided a </w:t>
      </w:r>
      <w:r w:rsidR="004D30A0" w:rsidRPr="000D4C6A">
        <w:t>range</w:t>
      </w:r>
      <w:r w:rsidRPr="000D4C6A">
        <w:t xml:space="preserve"> of financial and technical support to MINERD, such as:</w:t>
      </w:r>
      <w:r w:rsidR="004D30A0" w:rsidRPr="000D4C6A">
        <w:t xml:space="preserve"> strengthening and expansion of</w:t>
      </w:r>
      <w:r w:rsidRPr="000D4C6A">
        <w:t xml:space="preserve"> R</w:t>
      </w:r>
      <w:r w:rsidR="004D30A0" w:rsidRPr="000D4C6A">
        <w:t>esource Centres for Attention to</w:t>
      </w:r>
      <w:r w:rsidRPr="000D4C6A">
        <w:t xml:space="preserve"> Diversity (CAD in Spanish) creating technical skills in multidisciplinary teams that guide and support teachers in mainstream schools to ensure educational inclusion of children with disabilities, </w:t>
      </w:r>
      <w:r w:rsidR="00822EA0" w:rsidRPr="000D4C6A">
        <w:t>starting with</w:t>
      </w:r>
      <w:r w:rsidRPr="000D4C6A">
        <w:t xml:space="preserve"> 3 CADs in 2006 </w:t>
      </w:r>
      <w:r w:rsidR="00822EA0" w:rsidRPr="000D4C6A">
        <w:t xml:space="preserve">and growing </w:t>
      </w:r>
      <w:r w:rsidRPr="000D4C6A">
        <w:t xml:space="preserve">to 11 in 2016. In 2014-2015, as part of the process of updating the educational curriculum at all levels, General Guidance notes for Attention to Diversity were drawn up </w:t>
      </w:r>
      <w:r w:rsidR="00822EA0" w:rsidRPr="000D4C6A">
        <w:t>as</w:t>
      </w:r>
      <w:r w:rsidRPr="000D4C6A">
        <w:t xml:space="preserve"> manual</w:t>
      </w:r>
      <w:r w:rsidR="00822EA0" w:rsidRPr="000D4C6A">
        <w:t xml:space="preserve"> designed</w:t>
      </w:r>
      <w:r w:rsidRPr="000D4C6A">
        <w:t xml:space="preserve"> for teachers with pedagogical guidance for classroom work with children with cognitive challenges. These manuals were used for training 100 MINERD specialist staff to act as multipliers at national level to extend this guidance to the teachers that they support in their educational districts. Also, since 2014, UNICEF has been supporting a range of government institutions in the preparation of a National Roadmap for Diagnosis and Comprehensive Care for Children with Disabilities. This roadmap is currently being revised by the Executive Branch with a view to enacting a decree that will make </w:t>
      </w:r>
      <w:r w:rsidR="00822EA0" w:rsidRPr="000D4C6A">
        <w:t>its implementation compulsory across</w:t>
      </w:r>
      <w:r w:rsidRPr="000D4C6A">
        <w:t xml:space="preserve"> all sectors.</w:t>
      </w:r>
    </w:p>
    <w:p w14:paraId="0FB639A0" w14:textId="77777777" w:rsidR="0067269E" w:rsidRPr="000D4C6A" w:rsidRDefault="0067269E" w:rsidP="000D4C6A">
      <w:pPr>
        <w:pStyle w:val="Normal1"/>
        <w:pBdr>
          <w:top w:val="nil"/>
          <w:left w:val="nil"/>
          <w:bottom w:val="nil"/>
          <w:right w:val="nil"/>
          <w:between w:val="nil"/>
        </w:pBdr>
        <w:spacing w:after="160" w:line="259" w:lineRule="auto"/>
        <w:contextualSpacing/>
        <w:jc w:val="both"/>
      </w:pPr>
    </w:p>
    <w:p w14:paraId="5CCD6CDD" w14:textId="77777777" w:rsidR="00A45397" w:rsidRPr="000D4C6A" w:rsidRDefault="00742C72" w:rsidP="000D4C6A">
      <w:pPr>
        <w:pStyle w:val="Normal1"/>
        <w:pBdr>
          <w:top w:val="nil"/>
          <w:left w:val="nil"/>
          <w:bottom w:val="nil"/>
          <w:right w:val="nil"/>
          <w:between w:val="nil"/>
        </w:pBdr>
        <w:spacing w:after="160" w:line="259" w:lineRule="auto"/>
        <w:contextualSpacing/>
        <w:jc w:val="both"/>
      </w:pPr>
      <w:r w:rsidRPr="000D4C6A">
        <w:t>PAHO/WHO has a regional disability programme supported by the World Disability and Rehabilitation Programme. Their work is supported by regulations and guideli</w:t>
      </w:r>
      <w:r w:rsidR="009A3D20" w:rsidRPr="000D4C6A">
        <w:t xml:space="preserve">nes issued by </w:t>
      </w:r>
      <w:r w:rsidR="00966373" w:rsidRPr="000D4C6A">
        <w:t xml:space="preserve">WHO and </w:t>
      </w:r>
      <w:r w:rsidRPr="000D4C6A">
        <w:t xml:space="preserve">the Convention on the rights of </w:t>
      </w:r>
      <w:r w:rsidR="009A3D20" w:rsidRPr="000D4C6A">
        <w:t>people</w:t>
      </w:r>
      <w:r w:rsidRPr="000D4C6A">
        <w:t xml:space="preserve"> with disabilities</w:t>
      </w:r>
      <w:r w:rsidR="003616CC" w:rsidRPr="000D4C6A">
        <w:t>,</w:t>
      </w:r>
      <w:r w:rsidRPr="000D4C6A">
        <w:t xml:space="preserve"> w</w:t>
      </w:r>
      <w:r w:rsidR="009A3D20" w:rsidRPr="000D4C6A">
        <w:t>hich establishes that the state</w:t>
      </w:r>
      <w:r w:rsidRPr="000D4C6A">
        <w:t xml:space="preserve"> must guarantee people with disabilities have access to appropri</w:t>
      </w:r>
      <w:r w:rsidR="009A3D20" w:rsidRPr="000D4C6A">
        <w:t>ate health services, without any</w:t>
      </w:r>
      <w:r w:rsidRPr="000D4C6A">
        <w:t xml:space="preserve"> discrimination in health services provision (articles 26 and 26). PAHO/WHO actively supports the application of </w:t>
      </w:r>
      <w:r w:rsidR="003616CC" w:rsidRPr="000D4C6A">
        <w:t>the United Nations Convention by</w:t>
      </w:r>
      <w:r w:rsidRPr="000D4C6A">
        <w:t>: p</w:t>
      </w:r>
      <w:r w:rsidR="003616CC" w:rsidRPr="000D4C6A">
        <w:t>reparing regulatory instruments</w:t>
      </w:r>
      <w:r w:rsidR="009A3D20" w:rsidRPr="000D4C6A">
        <w:t xml:space="preserve">, public policies including </w:t>
      </w:r>
      <w:r w:rsidR="003616CC" w:rsidRPr="000D4C6A">
        <w:t>a global action</w:t>
      </w:r>
      <w:r w:rsidR="00966373" w:rsidRPr="000D4C6A">
        <w:t xml:space="preserve"> plan</w:t>
      </w:r>
      <w:r w:rsidRPr="000D4C6A">
        <w:t xml:space="preserve"> to improve medical care and </w:t>
      </w:r>
      <w:r w:rsidR="003616CC" w:rsidRPr="000D4C6A">
        <w:t>rehabilitation services, promoting</w:t>
      </w:r>
      <w:r w:rsidRPr="000D4C6A">
        <w:t xml:space="preserve"> the application of the Convention on the rights of people with disabilities, help</w:t>
      </w:r>
      <w:r w:rsidR="003616CC" w:rsidRPr="000D4C6A">
        <w:t>ing</w:t>
      </w:r>
      <w:r w:rsidRPr="000D4C6A">
        <w:t xml:space="preserve"> the states to incorporate medical care and rehabilitation services in general primary health care, support</w:t>
      </w:r>
      <w:r w:rsidR="003616CC" w:rsidRPr="000D4C6A">
        <w:t>ing</w:t>
      </w:r>
      <w:r w:rsidRPr="000D4C6A">
        <w:t xml:space="preserve"> the design of community-based re</w:t>
      </w:r>
      <w:r w:rsidR="003616CC" w:rsidRPr="000D4C6A">
        <w:t xml:space="preserve">habilitation programmes, improving </w:t>
      </w:r>
      <w:r w:rsidRPr="000D4C6A">
        <w:t>specialised rehabilitation centres and their links with community-</w:t>
      </w:r>
      <w:r w:rsidR="003616CC" w:rsidRPr="000D4C6A">
        <w:t>based rehabilitation and promoting</w:t>
      </w:r>
      <w:r w:rsidRPr="000D4C6A">
        <w:t xml:space="preserve"> strategies for people with disabilities and for professionals to support and protect the rights and dignity of </w:t>
      </w:r>
      <w:r w:rsidR="00966373" w:rsidRPr="000D4C6A">
        <w:t>PWD</w:t>
      </w:r>
      <w:r w:rsidRPr="000D4C6A">
        <w:t>.</w:t>
      </w:r>
    </w:p>
    <w:p w14:paraId="4FD64DE6" w14:textId="77777777" w:rsidR="00A45397" w:rsidRPr="000D4C6A" w:rsidRDefault="00A45397" w:rsidP="000D4C6A">
      <w:pPr>
        <w:pStyle w:val="Normal1"/>
        <w:jc w:val="both"/>
      </w:pPr>
    </w:p>
    <w:p w14:paraId="6B7754CE" w14:textId="77777777" w:rsidR="00A45397" w:rsidRPr="000D4C6A" w:rsidRDefault="0037737C" w:rsidP="000D4C6A">
      <w:pPr>
        <w:pStyle w:val="Normal1"/>
        <w:pBdr>
          <w:top w:val="nil"/>
          <w:left w:val="nil"/>
          <w:bottom w:val="nil"/>
          <w:right w:val="nil"/>
          <w:between w:val="nil"/>
        </w:pBdr>
        <w:shd w:val="clear" w:color="auto" w:fill="FFFFFF"/>
        <w:spacing w:after="270"/>
        <w:ind w:right="300"/>
        <w:jc w:val="both"/>
      </w:pPr>
      <w:r w:rsidRPr="000D4C6A">
        <w:t xml:space="preserve">At </w:t>
      </w:r>
      <w:r w:rsidR="00115ED9" w:rsidRPr="000D4C6A">
        <w:t xml:space="preserve">a </w:t>
      </w:r>
      <w:r w:rsidRPr="000D4C6A">
        <w:t>national level, PAHO/WHO is jointly</w:t>
      </w:r>
      <w:r w:rsidR="00115ED9" w:rsidRPr="000D4C6A">
        <w:t xml:space="preserve"> developing the Independent Living</w:t>
      </w:r>
      <w:r w:rsidRPr="000D4C6A">
        <w:t xml:space="preserve"> programme with CONADIS, initially aimed at people with motor disabilities and wheelchair users. The programme’s impact (more than 300 people trained) has </w:t>
      </w:r>
      <w:r w:rsidR="00115ED9" w:rsidRPr="000D4C6A">
        <w:t>motivated</w:t>
      </w:r>
      <w:r w:rsidRPr="000D4C6A">
        <w:t xml:space="preserve"> other disability-related institutions with the aim </w:t>
      </w:r>
      <w:r w:rsidR="00966373" w:rsidRPr="000D4C6A">
        <w:t>of strengthening the project in</w:t>
      </w:r>
      <w:r w:rsidRPr="000D4C6A">
        <w:t xml:space="preserve"> all its different </w:t>
      </w:r>
      <w:r w:rsidR="00115ED9" w:rsidRPr="000D4C6A">
        <w:t>approaches. The Independent Living</w:t>
      </w:r>
      <w:r w:rsidRPr="000D4C6A">
        <w:t xml:space="preserve"> programme creates tools</w:t>
      </w:r>
      <w:r w:rsidR="00115ED9" w:rsidRPr="000D4C6A">
        <w:t xml:space="preserve"> that enable</w:t>
      </w:r>
      <w:r w:rsidR="00966373" w:rsidRPr="000D4C6A">
        <w:t>s</w:t>
      </w:r>
      <w:r w:rsidR="00115ED9" w:rsidRPr="000D4C6A">
        <w:t xml:space="preserve"> people with disabilities to</w:t>
      </w:r>
      <w:r w:rsidRPr="000D4C6A">
        <w:t xml:space="preserve"> lead a full life without any help (or </w:t>
      </w:r>
      <w:r w:rsidR="00115ED9" w:rsidRPr="000D4C6A">
        <w:t xml:space="preserve">with </w:t>
      </w:r>
      <w:r w:rsidRPr="000D4C6A">
        <w:t>reduced support) from their relatives and caregivers.</w:t>
      </w:r>
    </w:p>
    <w:p w14:paraId="5BFD6463" w14:textId="77777777" w:rsidR="00A45397" w:rsidRPr="000D4C6A" w:rsidRDefault="00A45397" w:rsidP="000D4C6A">
      <w:pPr>
        <w:pStyle w:val="Normal1"/>
        <w:jc w:val="both"/>
      </w:pPr>
    </w:p>
    <w:p w14:paraId="2301060E" w14:textId="77777777" w:rsidR="00A45397" w:rsidRPr="000D4C6A" w:rsidRDefault="00986A15" w:rsidP="000D4C6A">
      <w:pPr>
        <w:pStyle w:val="Normal1"/>
        <w:jc w:val="both"/>
      </w:pPr>
      <w:r w:rsidRPr="000D4C6A">
        <w:rPr>
          <w:b/>
        </w:rPr>
        <w:t>1.2 Proposal development process</w:t>
      </w:r>
    </w:p>
    <w:p w14:paraId="795203A0" w14:textId="77777777" w:rsidR="00A45397" w:rsidRPr="000D4C6A" w:rsidRDefault="00A45397" w:rsidP="000D4C6A">
      <w:pPr>
        <w:pStyle w:val="Normal1"/>
        <w:jc w:val="both"/>
        <w:rPr>
          <w:i/>
        </w:rPr>
      </w:pPr>
    </w:p>
    <w:p w14:paraId="5A620856" w14:textId="77777777" w:rsidR="00A45397" w:rsidRPr="000D4C6A" w:rsidRDefault="00986A15" w:rsidP="000D4C6A">
      <w:pPr>
        <w:pStyle w:val="Normal1"/>
        <w:jc w:val="both"/>
      </w:pPr>
      <w:r w:rsidRPr="000D4C6A">
        <w:t xml:space="preserve">The technical proposal was developed over a two-year period of consultations and multi-lateral dialogue between the United Nations System agencies, Disabled People’s Organizations (DPOs), the governmental body overseeing the implementation of policies on disability and other related institutions. These spaces allowed for the participating UN agencies to define the main obstacles faced by persons with disabilities and the underlying factors for these barriers, as well as to identify the focus for the different components and interventions, </w:t>
      </w:r>
      <w:proofErr w:type="gramStart"/>
      <w:r w:rsidRPr="000D4C6A">
        <w:t>taking into account</w:t>
      </w:r>
      <w:proofErr w:type="gramEnd"/>
      <w:r w:rsidRPr="000D4C6A">
        <w:t xml:space="preserve"> their sustainability and scale-up potential.</w:t>
      </w:r>
    </w:p>
    <w:p w14:paraId="7DE6A4C7" w14:textId="77777777" w:rsidR="00A45397" w:rsidRPr="000D4C6A" w:rsidRDefault="00A45397" w:rsidP="000D4C6A">
      <w:pPr>
        <w:pStyle w:val="Normal1"/>
        <w:jc w:val="both"/>
      </w:pPr>
    </w:p>
    <w:p w14:paraId="144C68D2" w14:textId="77777777" w:rsidR="00561177" w:rsidRDefault="00986A15" w:rsidP="00561177">
      <w:pPr>
        <w:pStyle w:val="Normal1"/>
        <w:jc w:val="both"/>
      </w:pPr>
      <w:r w:rsidRPr="000D4C6A">
        <w:t>A workshop was held to review the draft proposal and its related theory of change. Four organizations representing persons with disabilities were part of this workshop, including the Dominican Association of Disability (ADR in Spanish), the Ibero-American Network of Persons Living with Physical Disability in the Dominican Republic (La Red), the Association of Persons with Physical and Motor Disabilities (ASODIFIMO in Spanish), the</w:t>
      </w:r>
      <w:r w:rsidR="00B367D0" w:rsidRPr="000D4C6A">
        <w:t xml:space="preserve"> </w:t>
      </w:r>
      <w:r w:rsidRPr="000D4C6A">
        <w:t xml:space="preserve">Circle of Women with Disabilities (CIMUDIS in Spanish) and the National Federation of Persons with Disabilities (FENADID in Spanish), as well as CONADIS , the Ministry of Health, the National Health Service, the Ministry of Labour, the Ministry of Education (MINERD) and the National Technical-Vocational Training Institute (INFOTEP in Spanish). Inputs from participants were critical to get the project’s theory of change right and to ensure the right focus for the proposed interventions. CIMUDIS led the consultations and workshops to review the </w:t>
      </w:r>
      <w:proofErr w:type="gramStart"/>
      <w:r w:rsidRPr="000D4C6A">
        <w:t>proposal, and</w:t>
      </w:r>
      <w:proofErr w:type="gramEnd"/>
      <w:r w:rsidRPr="000D4C6A">
        <w:t xml:space="preserve"> will also be an active member of the monitoring and evaluation committee that will guarantee gender mainstreaming in the project.</w:t>
      </w:r>
    </w:p>
    <w:p w14:paraId="525E03F3" w14:textId="77777777" w:rsidR="00A45397" w:rsidRPr="00A40D9F" w:rsidRDefault="00561177" w:rsidP="00561177">
      <w:pPr>
        <w:pStyle w:val="Normal1"/>
        <w:jc w:val="both"/>
        <w:rPr>
          <w:b/>
          <w:color w:val="4F81BD" w:themeColor="accent1"/>
        </w:rPr>
      </w:pPr>
      <w:r w:rsidRPr="00A40D9F">
        <w:rPr>
          <w:b/>
          <w:color w:val="4F81BD" w:themeColor="accent1"/>
        </w:rPr>
        <w:t xml:space="preserve"> </w:t>
      </w:r>
      <w:r w:rsidR="00986A15" w:rsidRPr="00A40D9F">
        <w:rPr>
          <w:b/>
          <w:color w:val="4F81BD" w:themeColor="accent1"/>
        </w:rPr>
        <w:t xml:space="preserve">Project approach </w:t>
      </w:r>
    </w:p>
    <w:p w14:paraId="7BCA5BF0" w14:textId="77777777" w:rsidR="00A45397" w:rsidRPr="000D4C6A" w:rsidRDefault="00A45397" w:rsidP="000D4C6A">
      <w:pPr>
        <w:pStyle w:val="Normal1"/>
        <w:jc w:val="both"/>
      </w:pPr>
    </w:p>
    <w:p w14:paraId="1D35FE26" w14:textId="77777777" w:rsidR="00A45397" w:rsidRPr="000D4C6A" w:rsidRDefault="00986A15" w:rsidP="000D4C6A">
      <w:pPr>
        <w:pStyle w:val="Normal1"/>
        <w:jc w:val="both"/>
        <w:rPr>
          <w:b/>
        </w:rPr>
      </w:pPr>
      <w:r w:rsidRPr="000D4C6A">
        <w:rPr>
          <w:b/>
        </w:rPr>
        <w:t>2.1 Focus of the project – “What is the project about?”</w:t>
      </w:r>
    </w:p>
    <w:p w14:paraId="3B63CA4D" w14:textId="77777777" w:rsidR="00A45397" w:rsidRPr="000D4C6A" w:rsidRDefault="00A45397" w:rsidP="000D4C6A">
      <w:pPr>
        <w:pStyle w:val="Normal1"/>
        <w:jc w:val="both"/>
        <w:rPr>
          <w:b/>
        </w:rPr>
      </w:pPr>
    </w:p>
    <w:p w14:paraId="7E54C549" w14:textId="77777777" w:rsidR="00A45397" w:rsidRPr="000D4C6A" w:rsidRDefault="00986A15" w:rsidP="000D4C6A">
      <w:pPr>
        <w:pStyle w:val="Normal1"/>
        <w:jc w:val="both"/>
      </w:pPr>
      <w:r w:rsidRPr="000D4C6A">
        <w:t xml:space="preserve">The project will contribute to create capacity to build a disability inclusive development model in the Dominican Republic. Over two years, the project </w:t>
      </w:r>
      <w:r w:rsidR="008005D5">
        <w:t>will</w:t>
      </w:r>
      <w:r w:rsidRPr="000D4C6A">
        <w:t xml:space="preserve"> contribute to develop the capacity of national government and civil society to ensure that persons with disabilities in the Dominican Republic </w:t>
      </w:r>
      <w:r w:rsidR="008005D5">
        <w:t>will improve their</w:t>
      </w:r>
      <w:r w:rsidRPr="000D4C6A">
        <w:rPr>
          <w:i/>
        </w:rPr>
        <w:t xml:space="preserve"> access to education, employment and social participation opportunities that help persons with disabilities lead </w:t>
      </w:r>
      <w:r w:rsidR="002234AE">
        <w:rPr>
          <w:i/>
        </w:rPr>
        <w:t>independent</w:t>
      </w:r>
      <w:r w:rsidRPr="000D4C6A">
        <w:rPr>
          <w:i/>
        </w:rPr>
        <w:t xml:space="preserve"> lives </w:t>
      </w:r>
      <w:r w:rsidRPr="000D4C6A">
        <w:t xml:space="preserve">by 2020. Interventions will focus on poor persons with disabilities in excluded rural and marginal urban areas (Greater Santo Domingo and the Southern and Border regions), using a gender mainstreaming approach. The entry point for this project is to leverage change through capacity building for the government and DPOs in the three components. While the country features an inclusive legal framework, including plans that promote inclusion for persons with disabilities in the spheres of education, employment and participation, access to services and social inclusion </w:t>
      </w:r>
      <w:r w:rsidR="002234AE">
        <w:t>show</w:t>
      </w:r>
      <w:r w:rsidR="002234AE" w:rsidRPr="000D4C6A">
        <w:t xml:space="preserve"> </w:t>
      </w:r>
      <w:r w:rsidRPr="000D4C6A">
        <w:t>significant gaps</w:t>
      </w:r>
      <w:r w:rsidR="002234AE">
        <w:t xml:space="preserve"> for persons with disabilities</w:t>
      </w:r>
      <w:r w:rsidRPr="000D4C6A">
        <w:t>.</w:t>
      </w:r>
    </w:p>
    <w:p w14:paraId="15216F24" w14:textId="77777777" w:rsidR="00A45397" w:rsidRPr="000D4C6A" w:rsidRDefault="00A45397" w:rsidP="000D4C6A">
      <w:pPr>
        <w:pStyle w:val="Normal1"/>
        <w:jc w:val="both"/>
        <w:rPr>
          <w:i/>
        </w:rPr>
      </w:pPr>
    </w:p>
    <w:p w14:paraId="3EB18807" w14:textId="77777777" w:rsidR="00A45397" w:rsidRPr="000D4C6A" w:rsidRDefault="00986A15" w:rsidP="000D4C6A">
      <w:pPr>
        <w:pStyle w:val="Normal1"/>
        <w:jc w:val="both"/>
      </w:pPr>
      <w:r w:rsidRPr="000D4C6A">
        <w:t>There is a lack of data regarding the vulnerability of women and girls with disabilities in the Dominican Republic, which renders the task of designing specific gender-sensitive activities difficult. However, regionally-specific reports can help us presume that certain forms of discrimination against women and girls</w:t>
      </w:r>
      <w:r w:rsidR="002234AE">
        <w:t xml:space="preserve"> with disbailities</w:t>
      </w:r>
      <w:r w:rsidRPr="000D4C6A">
        <w:t xml:space="preserve"> are </w:t>
      </w:r>
      <w:r w:rsidR="002234AE">
        <w:t>common</w:t>
      </w:r>
      <w:r w:rsidR="002234AE" w:rsidRPr="000D4C6A">
        <w:t xml:space="preserve"> </w:t>
      </w:r>
      <w:r w:rsidRPr="000D4C6A">
        <w:t>in Caribbean countries. However useful this information might be, it is essential to gather qualitative and quantitative data about the barriers that women and girls</w:t>
      </w:r>
      <w:r w:rsidR="002234AE">
        <w:t xml:space="preserve"> with disbailities</w:t>
      </w:r>
      <w:r w:rsidRPr="000D4C6A">
        <w:t xml:space="preserve"> face in the country. </w:t>
      </w:r>
    </w:p>
    <w:p w14:paraId="3BBC471D" w14:textId="77777777" w:rsidR="00A45397" w:rsidRPr="000D4C6A" w:rsidRDefault="00A45397" w:rsidP="000D4C6A">
      <w:pPr>
        <w:pStyle w:val="Normal1"/>
        <w:jc w:val="both"/>
        <w:rPr>
          <w:i/>
        </w:rPr>
      </w:pPr>
    </w:p>
    <w:p w14:paraId="410103D1" w14:textId="77777777" w:rsidR="00A45397" w:rsidRPr="000D4C6A" w:rsidRDefault="00986A15" w:rsidP="000D4C6A">
      <w:pPr>
        <w:pStyle w:val="Normal1"/>
        <w:jc w:val="both"/>
      </w:pPr>
      <w:r w:rsidRPr="000D4C6A">
        <w:t>The leverage for change through capacity building will impact the following elements (and associated rights):</w:t>
      </w:r>
    </w:p>
    <w:p w14:paraId="5EFC526C" w14:textId="77777777" w:rsidR="00A45397" w:rsidRPr="000D4C6A" w:rsidRDefault="00A45397" w:rsidP="000D4C6A">
      <w:pPr>
        <w:pStyle w:val="Normal1"/>
        <w:jc w:val="both"/>
      </w:pPr>
    </w:p>
    <w:p w14:paraId="10F2EFD9" w14:textId="77777777" w:rsidR="00A45397" w:rsidRPr="000D4C6A" w:rsidRDefault="00986A15" w:rsidP="000D4C6A">
      <w:pPr>
        <w:pStyle w:val="Normal1"/>
        <w:numPr>
          <w:ilvl w:val="0"/>
          <w:numId w:val="9"/>
        </w:numPr>
        <w:pBdr>
          <w:top w:val="nil"/>
          <w:left w:val="nil"/>
          <w:bottom w:val="nil"/>
          <w:right w:val="nil"/>
          <w:between w:val="nil"/>
        </w:pBdr>
        <w:contextualSpacing/>
        <w:jc w:val="both"/>
      </w:pPr>
      <w:r w:rsidRPr="000D4C6A">
        <w:t xml:space="preserve">Inclusive education: access to learning and the retention rates for children with disabilities in regular public primary schools by building the capacities of the Ministry of Education, </w:t>
      </w:r>
    </w:p>
    <w:p w14:paraId="52E81FEA" w14:textId="77777777" w:rsidR="00A45397" w:rsidRPr="000D4C6A" w:rsidRDefault="00986A15" w:rsidP="000D4C6A">
      <w:pPr>
        <w:pStyle w:val="Normal1"/>
        <w:numPr>
          <w:ilvl w:val="0"/>
          <w:numId w:val="9"/>
        </w:numPr>
        <w:pBdr>
          <w:top w:val="nil"/>
          <w:left w:val="nil"/>
          <w:bottom w:val="nil"/>
          <w:right w:val="nil"/>
          <w:between w:val="nil"/>
        </w:pBdr>
        <w:contextualSpacing/>
        <w:jc w:val="both"/>
      </w:pPr>
      <w:r w:rsidRPr="000D4C6A">
        <w:t>Access to decent work and employment: access to technical-vocational training services and employment opportunities for persons with disabilities, by strengthening policies with the Ministry of Labour and DPOs.</w:t>
      </w:r>
    </w:p>
    <w:p w14:paraId="2E1D23CF" w14:textId="77777777" w:rsidR="00A45397" w:rsidRPr="000D4C6A" w:rsidRDefault="00986A15" w:rsidP="000D4C6A">
      <w:pPr>
        <w:pStyle w:val="Normal1"/>
        <w:numPr>
          <w:ilvl w:val="0"/>
          <w:numId w:val="9"/>
        </w:numPr>
        <w:pBdr>
          <w:top w:val="nil"/>
          <w:left w:val="nil"/>
          <w:bottom w:val="nil"/>
          <w:right w:val="nil"/>
          <w:between w:val="nil"/>
        </w:pBdr>
        <w:contextualSpacing/>
        <w:jc w:val="both"/>
      </w:pPr>
      <w:r w:rsidRPr="000D4C6A">
        <w:t>Social participation: ability of persons with disabilities to take a proactive role in their personal development and social involvement.</w:t>
      </w:r>
    </w:p>
    <w:p w14:paraId="2EF380D6" w14:textId="77777777" w:rsidR="00A45397" w:rsidRPr="000D4C6A" w:rsidRDefault="00A45397" w:rsidP="000D4C6A">
      <w:pPr>
        <w:pStyle w:val="Normal1"/>
        <w:jc w:val="both"/>
      </w:pPr>
    </w:p>
    <w:p w14:paraId="4EA253E7" w14:textId="77777777" w:rsidR="00A45397" w:rsidRPr="000D4C6A" w:rsidRDefault="00986A15" w:rsidP="000D4C6A">
      <w:pPr>
        <w:pStyle w:val="Normal1"/>
        <w:jc w:val="both"/>
      </w:pPr>
      <w:r w:rsidRPr="000D4C6A">
        <w:rPr>
          <w:b/>
        </w:rPr>
        <w:t>2.2 Theory of change of the intervention – “How will the project produce positive change?”</w:t>
      </w:r>
    </w:p>
    <w:p w14:paraId="4479ADAB" w14:textId="77777777" w:rsidR="00A45397" w:rsidRPr="000D4C6A" w:rsidRDefault="00A45397" w:rsidP="000D4C6A">
      <w:pPr>
        <w:pStyle w:val="Normal1"/>
        <w:pBdr>
          <w:top w:val="nil"/>
          <w:left w:val="nil"/>
          <w:bottom w:val="nil"/>
          <w:right w:val="nil"/>
          <w:between w:val="nil"/>
        </w:pBdr>
        <w:ind w:left="360" w:hanging="720"/>
        <w:jc w:val="both"/>
        <w:rPr>
          <w:rFonts w:eastAsia="Calibri"/>
          <w:b/>
        </w:rPr>
      </w:pPr>
    </w:p>
    <w:p w14:paraId="0B08506B" w14:textId="77777777" w:rsidR="00A45397" w:rsidRDefault="00986A15" w:rsidP="000D4C6A">
      <w:pPr>
        <w:pStyle w:val="Normal1"/>
        <w:tabs>
          <w:tab w:val="left" w:pos="1710"/>
        </w:tabs>
        <w:spacing w:after="120"/>
        <w:ind w:right="-35"/>
        <w:jc w:val="both"/>
      </w:pPr>
      <w:r w:rsidRPr="000D4C6A">
        <w:t xml:space="preserve">Disability-inclusive models in the Dominican Republic have advanced through new legal frameworks and specific initiatives, but progress </w:t>
      </w:r>
      <w:r w:rsidR="00D67462" w:rsidRPr="000D4C6A">
        <w:t xml:space="preserve">still needs to be made </w:t>
      </w:r>
      <w:r w:rsidRPr="000D4C6A">
        <w:t>in terms</w:t>
      </w:r>
      <w:r w:rsidR="00D67462" w:rsidRPr="000D4C6A">
        <w:t xml:space="preserve"> of capacities and operationalisation of such frameworks</w:t>
      </w:r>
      <w:r w:rsidRPr="000D4C6A">
        <w:t xml:space="preserve">. Persons with disabilities are still not granted equal access to education, health care services, work and employment, and social protection, among others. The project aims to build national capacities to improve social inclusion of persons with disabilities in the areas of </w:t>
      </w:r>
      <w:r w:rsidRPr="000D4C6A">
        <w:rPr>
          <w:i/>
        </w:rPr>
        <w:t>education, employment and participation</w:t>
      </w:r>
      <w:r w:rsidRPr="000D4C6A">
        <w:t xml:space="preserve">. The participating agency will support the government and DPOs to improve access to </w:t>
      </w:r>
      <w:r w:rsidRPr="000D4C6A">
        <w:rPr>
          <w:b/>
        </w:rPr>
        <w:t xml:space="preserve">inclusive and quality </w:t>
      </w:r>
      <w:r w:rsidRPr="00B90B3C">
        <w:rPr>
          <w:b/>
        </w:rPr>
        <w:t>primary education</w:t>
      </w:r>
      <w:r w:rsidRPr="00B90B3C">
        <w:t xml:space="preserve">, </w:t>
      </w:r>
      <w:r w:rsidRPr="00B90B3C">
        <w:rPr>
          <w:b/>
        </w:rPr>
        <w:t>vocational-technical training</w:t>
      </w:r>
      <w:r w:rsidRPr="00B90B3C">
        <w:t xml:space="preserve">, </w:t>
      </w:r>
      <w:r w:rsidRPr="00B90B3C">
        <w:rPr>
          <w:b/>
        </w:rPr>
        <w:t>decent employment</w:t>
      </w:r>
      <w:r w:rsidRPr="00B90B3C">
        <w:t xml:space="preserve">, </w:t>
      </w:r>
      <w:r w:rsidRPr="00B90B3C">
        <w:rPr>
          <w:b/>
        </w:rPr>
        <w:t>disability</w:t>
      </w:r>
      <w:r w:rsidR="001F1FC5" w:rsidRPr="00B90B3C">
        <w:rPr>
          <w:b/>
        </w:rPr>
        <w:t xml:space="preserve"> assessment</w:t>
      </w:r>
      <w:r w:rsidRPr="00B90B3C">
        <w:t xml:space="preserve"> and </w:t>
      </w:r>
      <w:r w:rsidRPr="00B90B3C">
        <w:rPr>
          <w:b/>
        </w:rPr>
        <w:t>independent living programmes</w:t>
      </w:r>
      <w:r w:rsidRPr="00B90B3C">
        <w:t>.</w:t>
      </w:r>
    </w:p>
    <w:p w14:paraId="5901BD6F" w14:textId="77777777" w:rsidR="0066709A" w:rsidRDefault="005A0FD6" w:rsidP="000D4C6A">
      <w:pPr>
        <w:pStyle w:val="Normal1"/>
        <w:tabs>
          <w:tab w:val="left" w:pos="1710"/>
        </w:tabs>
        <w:spacing w:after="120"/>
        <w:ind w:right="-35"/>
        <w:jc w:val="both"/>
        <w:rPr>
          <w:rFonts w:eastAsia="Calibri"/>
        </w:rPr>
      </w:pPr>
      <w:r>
        <w:rPr>
          <w:rFonts w:eastAsia="Calibri"/>
        </w:rPr>
        <w:t>The independent living programme provides tools to people with disabilities according to the type of disability they present. It is</w:t>
      </w:r>
      <w:r w:rsidR="009D2C99">
        <w:rPr>
          <w:rFonts w:eastAsia="Calibri"/>
        </w:rPr>
        <w:t xml:space="preserve"> a training strategy that aims to accomplish the empowerment of people with disabilit</w:t>
      </w:r>
      <w:r w:rsidR="0066709A">
        <w:rPr>
          <w:rFonts w:eastAsia="Calibri"/>
        </w:rPr>
        <w:t>ies</w:t>
      </w:r>
      <w:r w:rsidR="009D2C99">
        <w:rPr>
          <w:rFonts w:eastAsia="Calibri"/>
        </w:rPr>
        <w:t xml:space="preserve"> on their rights and opportunities, facilitates interactions that </w:t>
      </w:r>
      <w:r w:rsidR="0066709A">
        <w:rPr>
          <w:rFonts w:eastAsia="Calibri"/>
        </w:rPr>
        <w:t xml:space="preserve">creates communities and social groups that would help </w:t>
      </w:r>
      <w:r w:rsidR="009D2C99">
        <w:rPr>
          <w:rFonts w:eastAsia="Calibri"/>
        </w:rPr>
        <w:t>them to have an inclusive live according to their goals and needs.</w:t>
      </w:r>
      <w:r w:rsidR="0066709A">
        <w:rPr>
          <w:rFonts w:eastAsia="Calibri"/>
        </w:rPr>
        <w:t xml:space="preserve"> This strategy has been assumed by the government (CONADIS) as a way of helping PWD to have a social rehabilitation that directly impacts their mental health, their willingness to interact in their communities and their educational and work development. </w:t>
      </w:r>
    </w:p>
    <w:p w14:paraId="32CD3DBE" w14:textId="77777777" w:rsidR="00A45397" w:rsidRPr="000D4C6A" w:rsidRDefault="0066709A" w:rsidP="000D4C6A">
      <w:pPr>
        <w:pStyle w:val="Normal1"/>
        <w:jc w:val="both"/>
      </w:pPr>
      <w:r>
        <w:rPr>
          <w:rFonts w:eastAsia="Calibri"/>
        </w:rPr>
        <w:t>This strategy includes</w:t>
      </w:r>
      <w:r w:rsidR="009D2C99">
        <w:rPr>
          <w:rFonts w:eastAsia="Calibri"/>
        </w:rPr>
        <w:t xml:space="preserve"> </w:t>
      </w:r>
      <w:r w:rsidR="005A0FD6">
        <w:rPr>
          <w:rFonts w:eastAsia="Calibri"/>
        </w:rPr>
        <w:t>basic orientation on how to use technical aids, sexual and reproductive health orientation, how to address access barriers, leadership and social development of people with disabilities and orientation</w:t>
      </w:r>
      <w:r>
        <w:rPr>
          <w:rFonts w:eastAsia="Calibri"/>
        </w:rPr>
        <w:t xml:space="preserve">s regarding how to improve their professional profile. </w:t>
      </w:r>
      <w:r w:rsidR="009D2C99">
        <w:rPr>
          <w:rFonts w:eastAsia="Calibri"/>
        </w:rPr>
        <w:t xml:space="preserve">This articulates with the education </w:t>
      </w:r>
      <w:r>
        <w:rPr>
          <w:rFonts w:eastAsia="Calibri"/>
        </w:rPr>
        <w:t xml:space="preserve">and employment </w:t>
      </w:r>
      <w:r w:rsidR="009D2C99">
        <w:rPr>
          <w:rFonts w:eastAsia="Calibri"/>
        </w:rPr>
        <w:t xml:space="preserve">offer that would be address on the inclusive and quality education </w:t>
      </w:r>
      <w:r>
        <w:rPr>
          <w:rFonts w:eastAsia="Calibri"/>
        </w:rPr>
        <w:t xml:space="preserve">and the </w:t>
      </w:r>
      <w:r w:rsidRPr="00CB7399">
        <w:rPr>
          <w:b/>
          <w:color w:val="000000"/>
          <w:sz w:val="22"/>
          <w:szCs w:val="20"/>
        </w:rPr>
        <w:t>Decent and inclusive employment</w:t>
      </w:r>
      <w:r>
        <w:rPr>
          <w:b/>
          <w:color w:val="000000"/>
          <w:sz w:val="22"/>
          <w:szCs w:val="20"/>
        </w:rPr>
        <w:t xml:space="preserve"> components.</w:t>
      </w:r>
      <w:r w:rsidR="00A05C1F" w:rsidRPr="00A05C1F">
        <w:t xml:space="preserve"> </w:t>
      </w:r>
      <w:hyperlink r:id="rId8" w:history="1">
        <w:r w:rsidR="00F90F09" w:rsidRPr="009A6ABA">
          <w:rPr>
            <w:rStyle w:val="Hyperlink"/>
          </w:rPr>
          <w:t>https://www.youtube.com/watch?v=Kmz5WKsBEOc</w:t>
        </w:r>
      </w:hyperlink>
    </w:p>
    <w:tbl>
      <w:tblPr>
        <w:tblStyle w:val="a0"/>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5"/>
        <w:gridCol w:w="7015"/>
      </w:tblGrid>
      <w:tr w:rsidR="000D4C6A" w:rsidRPr="000D4C6A" w14:paraId="6C9C87ED" w14:textId="77777777" w:rsidTr="00561177">
        <w:tc>
          <w:tcPr>
            <w:tcW w:w="2875" w:type="dxa"/>
            <w:shd w:val="clear" w:color="auto" w:fill="A6A6A6"/>
          </w:tcPr>
          <w:p w14:paraId="06C66384" w14:textId="77777777" w:rsidR="00A45397" w:rsidRPr="000D4C6A" w:rsidRDefault="00986A15" w:rsidP="000D4C6A">
            <w:pPr>
              <w:pStyle w:val="Normal1"/>
              <w:spacing w:before="60" w:after="60"/>
              <w:jc w:val="both"/>
              <w:rPr>
                <w:b/>
              </w:rPr>
            </w:pPr>
            <w:r w:rsidRPr="000D4C6A">
              <w:rPr>
                <w:b/>
              </w:rPr>
              <w:t>Change leverage</w:t>
            </w:r>
          </w:p>
        </w:tc>
        <w:tc>
          <w:tcPr>
            <w:tcW w:w="7015" w:type="dxa"/>
            <w:shd w:val="clear" w:color="auto" w:fill="A6A6A6"/>
          </w:tcPr>
          <w:p w14:paraId="03E468FE" w14:textId="77777777" w:rsidR="00A45397" w:rsidRPr="000D4C6A" w:rsidRDefault="00986A15" w:rsidP="000D4C6A">
            <w:pPr>
              <w:pStyle w:val="Normal1"/>
              <w:spacing w:before="60" w:after="60"/>
              <w:jc w:val="both"/>
              <w:rPr>
                <w:b/>
              </w:rPr>
            </w:pPr>
            <w:r w:rsidRPr="000D4C6A">
              <w:rPr>
                <w:b/>
              </w:rPr>
              <w:t>Description of the rights to be promoted</w:t>
            </w:r>
          </w:p>
        </w:tc>
      </w:tr>
      <w:tr w:rsidR="00A45397" w:rsidRPr="000D4C6A" w14:paraId="3A1CC756" w14:textId="77777777" w:rsidTr="00561177">
        <w:tc>
          <w:tcPr>
            <w:tcW w:w="2875" w:type="dxa"/>
          </w:tcPr>
          <w:p w14:paraId="4C177D04" w14:textId="77777777" w:rsidR="00A45397" w:rsidRPr="000D4C6A" w:rsidRDefault="00A45397" w:rsidP="000D4C6A">
            <w:pPr>
              <w:pStyle w:val="Normal1"/>
              <w:jc w:val="both"/>
              <w:rPr>
                <w:b/>
              </w:rPr>
            </w:pPr>
          </w:p>
          <w:p w14:paraId="3C23EE47" w14:textId="77777777" w:rsidR="00A45397" w:rsidRPr="000D4C6A" w:rsidRDefault="00986A15" w:rsidP="000D4C6A">
            <w:pPr>
              <w:pStyle w:val="Normal1"/>
              <w:jc w:val="both"/>
              <w:rPr>
                <w:b/>
              </w:rPr>
            </w:pPr>
            <w:r w:rsidRPr="000D4C6A">
              <w:rPr>
                <w:b/>
              </w:rPr>
              <w:t>Capacity building</w:t>
            </w:r>
          </w:p>
        </w:tc>
        <w:tc>
          <w:tcPr>
            <w:tcW w:w="7015" w:type="dxa"/>
          </w:tcPr>
          <w:p w14:paraId="4978DBE1" w14:textId="77777777" w:rsidR="00A45397" w:rsidRPr="000D4C6A" w:rsidRDefault="00986A15" w:rsidP="000D4C6A">
            <w:pPr>
              <w:pStyle w:val="Normal1"/>
              <w:jc w:val="both"/>
            </w:pPr>
            <w:r w:rsidRPr="000D4C6A">
              <w:t xml:space="preserve">- </w:t>
            </w:r>
            <w:r w:rsidRPr="000D4C6A">
              <w:rPr>
                <w:i/>
              </w:rPr>
              <w:t>Promotion of the right to an</w:t>
            </w:r>
            <w:r w:rsidRPr="000D4C6A">
              <w:rPr>
                <w:b/>
                <w:i/>
              </w:rPr>
              <w:t xml:space="preserve"> Inclusive and Quality Education</w:t>
            </w:r>
            <w:r w:rsidRPr="000D4C6A">
              <w:t xml:space="preserve">: </w:t>
            </w:r>
          </w:p>
          <w:p w14:paraId="3C982885" w14:textId="77777777" w:rsidR="00A45397" w:rsidRPr="000D4C6A" w:rsidRDefault="00986A15" w:rsidP="000D4C6A">
            <w:pPr>
              <w:pStyle w:val="Normal1"/>
              <w:numPr>
                <w:ilvl w:val="0"/>
                <w:numId w:val="10"/>
              </w:numPr>
              <w:pBdr>
                <w:top w:val="nil"/>
                <w:left w:val="nil"/>
                <w:bottom w:val="nil"/>
                <w:right w:val="nil"/>
                <w:between w:val="nil"/>
              </w:pBdr>
              <w:spacing w:line="276" w:lineRule="auto"/>
              <w:contextualSpacing/>
              <w:jc w:val="both"/>
            </w:pPr>
            <w:r w:rsidRPr="000D4C6A">
              <w:t>Support for the Ministry of Education to improve its inclusive education policy;</w:t>
            </w:r>
          </w:p>
          <w:p w14:paraId="345751BB" w14:textId="77777777" w:rsidR="00A45397" w:rsidRPr="000D4C6A" w:rsidRDefault="00B9401A" w:rsidP="000D4C6A">
            <w:pPr>
              <w:pStyle w:val="Normal1"/>
              <w:numPr>
                <w:ilvl w:val="0"/>
                <w:numId w:val="10"/>
              </w:numPr>
              <w:pBdr>
                <w:top w:val="nil"/>
                <w:left w:val="nil"/>
                <w:bottom w:val="nil"/>
                <w:right w:val="nil"/>
                <w:between w:val="nil"/>
              </w:pBdr>
              <w:spacing w:after="200" w:line="276" w:lineRule="auto"/>
              <w:contextualSpacing/>
              <w:jc w:val="both"/>
              <w:rPr>
                <w:rFonts w:eastAsia="Calibri"/>
              </w:rPr>
            </w:pPr>
            <w:r w:rsidRPr="000D4C6A">
              <w:t>Desi</w:t>
            </w:r>
            <w:r w:rsidR="008115E8" w:rsidRPr="000D4C6A">
              <w:t>gn and open a national resource</w:t>
            </w:r>
            <w:r w:rsidRPr="000D4C6A">
              <w:t xml:space="preserve"> centre producing accessible educational materials and training for specialists and teachers to increase access and learning for children with disabilities.</w:t>
            </w:r>
          </w:p>
          <w:p w14:paraId="14E73D7D" w14:textId="77777777" w:rsidR="00A45397" w:rsidRPr="000D4C6A" w:rsidRDefault="00986A15" w:rsidP="000D4C6A">
            <w:pPr>
              <w:pStyle w:val="Normal1"/>
              <w:jc w:val="both"/>
              <w:rPr>
                <w:i/>
              </w:rPr>
            </w:pPr>
            <w:r w:rsidRPr="000D4C6A">
              <w:t xml:space="preserve">- </w:t>
            </w:r>
            <w:r w:rsidRPr="000D4C6A">
              <w:rPr>
                <w:i/>
              </w:rPr>
              <w:t>Promotion of the right to</w:t>
            </w:r>
            <w:r w:rsidRPr="000D4C6A">
              <w:t xml:space="preserve"> </w:t>
            </w:r>
            <w:r w:rsidRPr="000D4C6A">
              <w:rPr>
                <w:b/>
                <w:i/>
              </w:rPr>
              <w:t>Decent and Inclusive Employment</w:t>
            </w:r>
            <w:r w:rsidRPr="000D4C6A">
              <w:rPr>
                <w:i/>
              </w:rPr>
              <w:t xml:space="preserve">: </w:t>
            </w:r>
          </w:p>
          <w:p w14:paraId="062EB3FD" w14:textId="77777777" w:rsidR="00A45397" w:rsidRPr="000D4C6A" w:rsidRDefault="00986A15" w:rsidP="000D4C6A">
            <w:pPr>
              <w:pStyle w:val="Normal1"/>
              <w:numPr>
                <w:ilvl w:val="0"/>
                <w:numId w:val="21"/>
              </w:numPr>
              <w:pBdr>
                <w:top w:val="nil"/>
                <w:left w:val="nil"/>
                <w:bottom w:val="nil"/>
                <w:right w:val="nil"/>
                <w:between w:val="nil"/>
              </w:pBdr>
              <w:spacing w:line="276" w:lineRule="auto"/>
              <w:contextualSpacing/>
              <w:jc w:val="both"/>
            </w:pPr>
            <w:r w:rsidRPr="000D4C6A">
              <w:t>Support for bringing the Accessible Employment Manual in line with the regulations of Law 5-13;</w:t>
            </w:r>
          </w:p>
          <w:p w14:paraId="48BBA0A4" w14:textId="77777777" w:rsidR="00A45397" w:rsidRPr="000D4C6A" w:rsidRDefault="00986A15" w:rsidP="000D4C6A">
            <w:pPr>
              <w:pStyle w:val="Normal1"/>
              <w:numPr>
                <w:ilvl w:val="0"/>
                <w:numId w:val="21"/>
              </w:numPr>
              <w:pBdr>
                <w:top w:val="nil"/>
                <w:left w:val="nil"/>
                <w:bottom w:val="nil"/>
                <w:right w:val="nil"/>
                <w:between w:val="nil"/>
              </w:pBdr>
              <w:spacing w:line="276" w:lineRule="auto"/>
              <w:contextualSpacing/>
              <w:jc w:val="both"/>
            </w:pPr>
            <w:r w:rsidRPr="000D4C6A">
              <w:t>Work will be carried out with the Ministry of Labour and the private sector, as well as with DPOs;</w:t>
            </w:r>
          </w:p>
          <w:p w14:paraId="610E821A" w14:textId="77777777" w:rsidR="00A45397" w:rsidRPr="000D4C6A" w:rsidRDefault="00986A15" w:rsidP="000D4C6A">
            <w:pPr>
              <w:pStyle w:val="Normal1"/>
              <w:numPr>
                <w:ilvl w:val="0"/>
                <w:numId w:val="21"/>
              </w:numPr>
              <w:pBdr>
                <w:top w:val="nil"/>
                <w:left w:val="nil"/>
                <w:bottom w:val="nil"/>
                <w:right w:val="nil"/>
                <w:between w:val="nil"/>
              </w:pBdr>
              <w:spacing w:after="200" w:line="276" w:lineRule="auto"/>
              <w:contextualSpacing/>
              <w:jc w:val="both"/>
            </w:pPr>
            <w:r w:rsidRPr="000D4C6A">
              <w:t>Information will be produced about the universal accessibility gaps and improvement for technical and vocational training.</w:t>
            </w:r>
          </w:p>
          <w:p w14:paraId="04A20713" w14:textId="77777777" w:rsidR="00A45397" w:rsidRPr="000D4C6A" w:rsidRDefault="00986A15" w:rsidP="000D4C6A">
            <w:pPr>
              <w:pStyle w:val="Normal1"/>
              <w:jc w:val="both"/>
            </w:pPr>
            <w:r w:rsidRPr="000D4C6A">
              <w:t xml:space="preserve">- </w:t>
            </w:r>
            <w:r w:rsidRPr="000D4C6A">
              <w:rPr>
                <w:i/>
              </w:rPr>
              <w:t>Promotion of the right to</w:t>
            </w:r>
            <w:r w:rsidRPr="000D4C6A">
              <w:t xml:space="preserve"> </w:t>
            </w:r>
            <w:r w:rsidRPr="000D4C6A">
              <w:rPr>
                <w:b/>
                <w:i/>
              </w:rPr>
              <w:t>Social Participation</w:t>
            </w:r>
            <w:r w:rsidRPr="000D4C6A">
              <w:t xml:space="preserve">: </w:t>
            </w:r>
          </w:p>
          <w:p w14:paraId="56F61F65" w14:textId="77777777" w:rsidR="00A45397" w:rsidRPr="000D4C6A" w:rsidRDefault="00986A15" w:rsidP="000D4C6A">
            <w:pPr>
              <w:pStyle w:val="Normal1"/>
              <w:numPr>
                <w:ilvl w:val="0"/>
                <w:numId w:val="5"/>
              </w:numPr>
              <w:pBdr>
                <w:top w:val="nil"/>
                <w:left w:val="nil"/>
                <w:bottom w:val="nil"/>
                <w:right w:val="nil"/>
                <w:between w:val="nil"/>
              </w:pBdr>
              <w:spacing w:line="276" w:lineRule="auto"/>
              <w:contextualSpacing/>
              <w:jc w:val="both"/>
            </w:pPr>
            <w:r w:rsidRPr="000D4C6A">
              <w:t xml:space="preserve">Support for the implementation of the system for assessing the level of disability; </w:t>
            </w:r>
          </w:p>
          <w:p w14:paraId="3B1F4813" w14:textId="77777777" w:rsidR="00A45397" w:rsidRPr="000D4C6A" w:rsidRDefault="00986A15" w:rsidP="000D4C6A">
            <w:pPr>
              <w:pStyle w:val="Normal1"/>
              <w:numPr>
                <w:ilvl w:val="0"/>
                <w:numId w:val="5"/>
              </w:numPr>
              <w:pBdr>
                <w:top w:val="nil"/>
                <w:left w:val="nil"/>
                <w:bottom w:val="nil"/>
                <w:right w:val="nil"/>
                <w:between w:val="nil"/>
              </w:pBdr>
              <w:spacing w:after="200" w:line="276" w:lineRule="auto"/>
              <w:contextualSpacing/>
              <w:jc w:val="both"/>
            </w:pPr>
            <w:r w:rsidRPr="00B90B3C">
              <w:t>DPOs, the CONADIS, the Ministry of Health and National Health Service will promote the development of persons with disabilities.</w:t>
            </w:r>
          </w:p>
        </w:tc>
      </w:tr>
    </w:tbl>
    <w:p w14:paraId="7D17FE30" w14:textId="77777777" w:rsidR="00A45397" w:rsidRPr="000D4C6A" w:rsidRDefault="00A45397" w:rsidP="000D4C6A">
      <w:pPr>
        <w:pStyle w:val="Normal1"/>
        <w:jc w:val="both"/>
      </w:pPr>
    </w:p>
    <w:p w14:paraId="1C7F7060" w14:textId="77777777" w:rsidR="00A45397" w:rsidRPr="000D4C6A" w:rsidRDefault="00986A15" w:rsidP="000D4C6A">
      <w:pPr>
        <w:pStyle w:val="Normal1"/>
        <w:jc w:val="both"/>
      </w:pPr>
      <w:r w:rsidRPr="000D4C6A">
        <w:t>The project will work to leverage changes in cultural values and partnerships to encourage the success of the implementation strategy and overcome obstacles related to traditional values and the fragmentation of the sector.</w:t>
      </w:r>
    </w:p>
    <w:p w14:paraId="6006CCF1" w14:textId="77777777" w:rsidR="00A45397" w:rsidRPr="000D4C6A" w:rsidRDefault="00A45397" w:rsidP="000D4C6A">
      <w:pPr>
        <w:pStyle w:val="Normal1"/>
        <w:jc w:val="both"/>
      </w:pPr>
    </w:p>
    <w:p w14:paraId="7FF130FC" w14:textId="77777777" w:rsidR="00A45397" w:rsidRPr="000D4C6A" w:rsidRDefault="00986A15" w:rsidP="000D4C6A">
      <w:pPr>
        <w:pStyle w:val="Normal1"/>
        <w:jc w:val="both"/>
      </w:pPr>
      <w:r w:rsidRPr="000D4C6A">
        <w:t>The existing legislation favours accessibility in education, in the workplace and social participation of persons with disabilities. However, low capacity levels in the institutions responsible for implementing these law</w:t>
      </w:r>
      <w:r w:rsidR="00966373" w:rsidRPr="000D4C6A">
        <w:t>s result in barriers to ensure</w:t>
      </w:r>
      <w:r w:rsidRPr="000D4C6A">
        <w:t xml:space="preserve"> that pe</w:t>
      </w:r>
      <w:r w:rsidR="00966373" w:rsidRPr="000D4C6A">
        <w:t>ople</w:t>
      </w:r>
      <w:r w:rsidRPr="000D4C6A">
        <w:t xml:space="preserve"> with disabilities are fully included in these spheres. </w:t>
      </w:r>
      <w:proofErr w:type="gramStart"/>
      <w:r w:rsidRPr="000D4C6A">
        <w:t>In order to</w:t>
      </w:r>
      <w:proofErr w:type="gramEnd"/>
      <w:r w:rsidRPr="000D4C6A">
        <w:t xml:space="preserve"> address this issue, the logic of the theory of change is as follows:</w:t>
      </w:r>
    </w:p>
    <w:p w14:paraId="62F121EA" w14:textId="77777777" w:rsidR="00A45397" w:rsidRPr="000D4C6A" w:rsidRDefault="00A45397" w:rsidP="000D4C6A">
      <w:pPr>
        <w:pStyle w:val="Normal1"/>
        <w:pBdr>
          <w:top w:val="nil"/>
          <w:left w:val="nil"/>
          <w:bottom w:val="nil"/>
          <w:right w:val="nil"/>
          <w:between w:val="nil"/>
        </w:pBdr>
        <w:ind w:left="720" w:hanging="720"/>
        <w:jc w:val="both"/>
        <w:rPr>
          <w:rFonts w:eastAsia="Calibri"/>
        </w:rPr>
      </w:pPr>
    </w:p>
    <w:p w14:paraId="57AEFD46" w14:textId="77777777" w:rsidR="00A45397" w:rsidRPr="000D4C6A" w:rsidRDefault="00986A15" w:rsidP="000D4C6A">
      <w:pPr>
        <w:pStyle w:val="Normal1"/>
        <w:numPr>
          <w:ilvl w:val="0"/>
          <w:numId w:val="13"/>
        </w:numPr>
        <w:pBdr>
          <w:top w:val="nil"/>
          <w:left w:val="nil"/>
          <w:bottom w:val="nil"/>
          <w:right w:val="nil"/>
          <w:between w:val="nil"/>
        </w:pBdr>
        <w:contextualSpacing/>
        <w:jc w:val="both"/>
      </w:pPr>
      <w:r w:rsidRPr="000D4C6A">
        <w:t>If the Ministry of Education districts and Diversity Support Centres (CAD) acquire the capacity to guide and support teachers, access and retention levels in regular public primary schools will increase and inclusive and quality education will be provided to children with disabilities.</w:t>
      </w:r>
    </w:p>
    <w:p w14:paraId="6F375C84" w14:textId="77777777" w:rsidR="00A45397" w:rsidRPr="000D4C6A" w:rsidRDefault="00A45397" w:rsidP="000D4C6A">
      <w:pPr>
        <w:pStyle w:val="Normal1"/>
        <w:ind w:left="360"/>
        <w:jc w:val="both"/>
      </w:pPr>
    </w:p>
    <w:p w14:paraId="39E517FC" w14:textId="77777777" w:rsidR="00A45397" w:rsidRPr="00B90B3C" w:rsidRDefault="00986A15" w:rsidP="000D4C6A">
      <w:pPr>
        <w:pStyle w:val="Normal1"/>
        <w:numPr>
          <w:ilvl w:val="0"/>
          <w:numId w:val="13"/>
        </w:numPr>
        <w:pBdr>
          <w:top w:val="nil"/>
          <w:left w:val="nil"/>
          <w:bottom w:val="nil"/>
          <w:right w:val="nil"/>
          <w:between w:val="nil"/>
        </w:pBdr>
        <w:contextualSpacing/>
        <w:jc w:val="both"/>
      </w:pPr>
      <w:r w:rsidRPr="000D4C6A">
        <w:t xml:space="preserve">If INFOTEP offers technical-vocational training that is accessible to persons with disabilities </w:t>
      </w:r>
      <w:r w:rsidRPr="00B90B3C">
        <w:t>and the Ministry of Labour brings the regulations in line with Law 05-13, access will be increased to decent employment with a gender-sensitive approach.</w:t>
      </w:r>
    </w:p>
    <w:p w14:paraId="24D5E4E8" w14:textId="77777777" w:rsidR="00A45397" w:rsidRPr="00B90B3C" w:rsidRDefault="00A45397" w:rsidP="000D4C6A">
      <w:pPr>
        <w:pStyle w:val="Normal1"/>
        <w:pBdr>
          <w:top w:val="nil"/>
          <w:left w:val="nil"/>
          <w:bottom w:val="nil"/>
          <w:right w:val="nil"/>
          <w:between w:val="nil"/>
        </w:pBdr>
        <w:ind w:left="720" w:hanging="720"/>
        <w:jc w:val="both"/>
        <w:rPr>
          <w:rFonts w:eastAsia="Calibri"/>
        </w:rPr>
      </w:pPr>
    </w:p>
    <w:p w14:paraId="3CBB6143" w14:textId="77777777" w:rsidR="00A05C1F" w:rsidRPr="00B90B3C" w:rsidRDefault="00A05C1F" w:rsidP="000D4C6A">
      <w:pPr>
        <w:pStyle w:val="Normal1"/>
        <w:numPr>
          <w:ilvl w:val="0"/>
          <w:numId w:val="13"/>
        </w:numPr>
        <w:pBdr>
          <w:top w:val="nil"/>
          <w:left w:val="nil"/>
          <w:bottom w:val="nil"/>
          <w:right w:val="nil"/>
          <w:between w:val="nil"/>
        </w:pBdr>
        <w:contextualSpacing/>
        <w:jc w:val="both"/>
      </w:pPr>
      <w:r w:rsidRPr="00B90B3C">
        <w:rPr>
          <w:lang w:val="en-US"/>
        </w:rPr>
        <w:t xml:space="preserve">If CONADIS and the Government adopt the system for assessing functioning and disability and implement actions that promote independent living of PWD </w:t>
      </w:r>
      <w:r w:rsidRPr="00B90B3C">
        <w:t>social inclusion will be promoted.</w:t>
      </w:r>
    </w:p>
    <w:p w14:paraId="7B8F1E07" w14:textId="77777777" w:rsidR="00A05C1F" w:rsidRDefault="00A05C1F" w:rsidP="00B90B3C">
      <w:pPr>
        <w:pStyle w:val="ListParagraph"/>
        <w:rPr>
          <w:highlight w:val="yellow"/>
        </w:rPr>
      </w:pPr>
    </w:p>
    <w:p w14:paraId="3C7FF8D1" w14:textId="77777777" w:rsidR="00A45397" w:rsidRPr="000D4C6A" w:rsidRDefault="00A45397" w:rsidP="000D4C6A">
      <w:pPr>
        <w:pStyle w:val="Normal1"/>
        <w:jc w:val="both"/>
        <w:rPr>
          <w:i/>
        </w:rPr>
      </w:pPr>
    </w:p>
    <w:p w14:paraId="14793096" w14:textId="77777777" w:rsidR="00A45397" w:rsidRPr="000D4C6A" w:rsidRDefault="008115E8" w:rsidP="000D4C6A">
      <w:pPr>
        <w:pStyle w:val="Normal1"/>
        <w:jc w:val="both"/>
      </w:pPr>
      <w:r w:rsidRPr="000D4C6A">
        <w:t>Greater Santo Domingo</w:t>
      </w:r>
      <w:r w:rsidR="00986A15" w:rsidRPr="000D4C6A">
        <w:t xml:space="preserve"> and the Southern and Border regions have been prioritised for this project. These areas contain pockets of poverty and a large migrant population, resulting in human development levels below the national average. Policy work will cover all forms of disability and some specific interventions will be carried out with persons with motor and visual disabilities.</w:t>
      </w:r>
    </w:p>
    <w:p w14:paraId="0849A8FC" w14:textId="77777777" w:rsidR="00A45397" w:rsidRPr="000D4C6A" w:rsidRDefault="00A45397" w:rsidP="000D4C6A">
      <w:pPr>
        <w:pStyle w:val="Normal1"/>
        <w:jc w:val="both"/>
      </w:pPr>
    </w:p>
    <w:p w14:paraId="0CE491C2" w14:textId="77777777" w:rsidR="00A45397" w:rsidRPr="000D4C6A" w:rsidRDefault="00986A15" w:rsidP="000D4C6A">
      <w:pPr>
        <w:pStyle w:val="Normal1"/>
        <w:jc w:val="both"/>
      </w:pPr>
      <w:r w:rsidRPr="000D4C6A">
        <w:t xml:space="preserve">The project prioritises the most vulnerable and excluded population groups, with an emphasis on girls and women and the migrant population, as summarized in the table below. </w:t>
      </w:r>
      <w:proofErr w:type="gramStart"/>
      <w:r w:rsidRPr="000D4C6A">
        <w:t>Despite the fact that</w:t>
      </w:r>
      <w:proofErr w:type="gramEnd"/>
      <w:r w:rsidRPr="000D4C6A">
        <w:t xml:space="preserve"> the project has prioritised certain territories and groups, interventions will be targeted at building capacities in the government and DPOs for sustainability and scale-up to other groups. </w:t>
      </w:r>
    </w:p>
    <w:p w14:paraId="37B87A85" w14:textId="77777777" w:rsidR="00A45397" w:rsidRPr="00CB7399" w:rsidRDefault="00A45397" w:rsidP="000D4C6A">
      <w:pPr>
        <w:pStyle w:val="Normal1"/>
        <w:jc w:val="both"/>
        <w:rPr>
          <w:sz w:val="28"/>
        </w:rPr>
      </w:pPr>
    </w:p>
    <w:tbl>
      <w:tblPr>
        <w:tblStyle w:val="a1"/>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81"/>
        <w:gridCol w:w="3610"/>
        <w:gridCol w:w="1585"/>
        <w:gridCol w:w="2240"/>
      </w:tblGrid>
      <w:tr w:rsidR="00A40D9F" w:rsidRPr="00CB7399" w14:paraId="0DB9F674" w14:textId="77777777" w:rsidTr="00561177">
        <w:trPr>
          <w:jc w:val="center"/>
        </w:trPr>
        <w:tc>
          <w:tcPr>
            <w:tcW w:w="24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B411F40" w14:textId="77777777" w:rsidR="00A40D9F" w:rsidRPr="00CB7399" w:rsidRDefault="00A40D9F" w:rsidP="00977CBF">
            <w:pPr>
              <w:pStyle w:val="Normal1"/>
              <w:pBdr>
                <w:top w:val="nil"/>
                <w:left w:val="nil"/>
                <w:bottom w:val="nil"/>
                <w:right w:val="nil"/>
                <w:between w:val="nil"/>
              </w:pBdr>
              <w:spacing w:before="60" w:after="60" w:line="276" w:lineRule="auto"/>
              <w:ind w:hanging="720"/>
              <w:jc w:val="center"/>
              <w:rPr>
                <w:rFonts w:eastAsia="Calibri"/>
                <w:b/>
                <w:color w:val="000000"/>
                <w:sz w:val="22"/>
                <w:szCs w:val="20"/>
              </w:rPr>
            </w:pPr>
            <w:r w:rsidRPr="00CB7399">
              <w:rPr>
                <w:b/>
                <w:color w:val="000000"/>
                <w:sz w:val="22"/>
                <w:szCs w:val="20"/>
              </w:rPr>
              <w:t>Components</w:t>
            </w:r>
          </w:p>
        </w:tc>
        <w:tc>
          <w:tcPr>
            <w:tcW w:w="361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C58B969" w14:textId="77777777" w:rsidR="00A40D9F" w:rsidRPr="00CB7399" w:rsidRDefault="00A40D9F" w:rsidP="00977CBF">
            <w:pPr>
              <w:pStyle w:val="Normal1"/>
              <w:pBdr>
                <w:top w:val="nil"/>
                <w:left w:val="nil"/>
                <w:bottom w:val="nil"/>
                <w:right w:val="nil"/>
                <w:between w:val="nil"/>
              </w:pBdr>
              <w:spacing w:before="60" w:after="60" w:line="276" w:lineRule="auto"/>
              <w:ind w:hanging="720"/>
              <w:jc w:val="center"/>
              <w:rPr>
                <w:rFonts w:eastAsia="Calibri"/>
                <w:b/>
                <w:color w:val="000000"/>
                <w:sz w:val="22"/>
                <w:szCs w:val="20"/>
              </w:rPr>
            </w:pPr>
            <w:r w:rsidRPr="00CB7399">
              <w:rPr>
                <w:b/>
                <w:color w:val="000000"/>
                <w:sz w:val="22"/>
                <w:szCs w:val="20"/>
              </w:rPr>
              <w:t>Total Beneficiaries</w:t>
            </w:r>
          </w:p>
        </w:tc>
        <w:tc>
          <w:tcPr>
            <w:tcW w:w="158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2CDBED9" w14:textId="77777777" w:rsidR="00A40D9F" w:rsidRPr="00CB7399" w:rsidRDefault="00A40D9F" w:rsidP="00977CBF">
            <w:pPr>
              <w:pStyle w:val="Normal1"/>
              <w:pBdr>
                <w:top w:val="nil"/>
                <w:left w:val="nil"/>
                <w:bottom w:val="nil"/>
                <w:right w:val="nil"/>
                <w:between w:val="nil"/>
              </w:pBdr>
              <w:spacing w:before="60" w:after="60" w:line="276" w:lineRule="auto"/>
              <w:ind w:hanging="720"/>
              <w:jc w:val="center"/>
              <w:rPr>
                <w:rFonts w:eastAsia="Calibri"/>
                <w:b/>
                <w:color w:val="000000"/>
                <w:sz w:val="22"/>
                <w:szCs w:val="20"/>
              </w:rPr>
            </w:pPr>
            <w:r w:rsidRPr="00CB7399">
              <w:rPr>
                <w:b/>
                <w:color w:val="000000"/>
                <w:sz w:val="22"/>
                <w:szCs w:val="20"/>
              </w:rPr>
              <w:t>Ages</w:t>
            </w:r>
          </w:p>
        </w:tc>
        <w:tc>
          <w:tcPr>
            <w:tcW w:w="22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1F4C2C" w14:textId="77777777" w:rsidR="00A40D9F" w:rsidRPr="00CB7399" w:rsidRDefault="00A40D9F" w:rsidP="00977CBF">
            <w:pPr>
              <w:pStyle w:val="Normal1"/>
              <w:pBdr>
                <w:top w:val="nil"/>
                <w:left w:val="nil"/>
                <w:bottom w:val="nil"/>
                <w:right w:val="nil"/>
                <w:between w:val="nil"/>
              </w:pBdr>
              <w:spacing w:before="60" w:after="60" w:line="276" w:lineRule="auto"/>
              <w:ind w:hanging="720"/>
              <w:jc w:val="center"/>
              <w:rPr>
                <w:rFonts w:eastAsia="Calibri"/>
                <w:b/>
                <w:color w:val="000000"/>
                <w:sz w:val="22"/>
                <w:szCs w:val="20"/>
              </w:rPr>
            </w:pPr>
            <w:r w:rsidRPr="00CB7399">
              <w:rPr>
                <w:b/>
                <w:color w:val="000000"/>
                <w:sz w:val="22"/>
                <w:szCs w:val="20"/>
              </w:rPr>
              <w:t>Location</w:t>
            </w:r>
          </w:p>
        </w:tc>
      </w:tr>
      <w:tr w:rsidR="00A40D9F" w:rsidRPr="00CB7399" w14:paraId="29E7A4C5" w14:textId="77777777" w:rsidTr="00561177">
        <w:trPr>
          <w:jc w:val="center"/>
        </w:trPr>
        <w:tc>
          <w:tcPr>
            <w:tcW w:w="2481" w:type="dxa"/>
            <w:tcBorders>
              <w:top w:val="single" w:sz="4" w:space="0" w:color="000000"/>
            </w:tcBorders>
          </w:tcPr>
          <w:p w14:paraId="323068AE" w14:textId="77777777" w:rsidR="00A40D9F" w:rsidRPr="00CB7399" w:rsidRDefault="00A40D9F" w:rsidP="00977CBF">
            <w:pPr>
              <w:pStyle w:val="Normal1"/>
              <w:jc w:val="both"/>
              <w:rPr>
                <w:b/>
                <w:sz w:val="22"/>
                <w:szCs w:val="20"/>
              </w:rPr>
            </w:pPr>
          </w:p>
          <w:p w14:paraId="062C98F5" w14:textId="77777777" w:rsidR="00A40D9F" w:rsidRPr="00CB7399" w:rsidRDefault="00A40D9F" w:rsidP="00977CBF">
            <w:pPr>
              <w:pStyle w:val="Normal1"/>
              <w:rPr>
                <w:sz w:val="22"/>
                <w:szCs w:val="20"/>
              </w:rPr>
            </w:pPr>
            <w:r w:rsidRPr="00CB7399">
              <w:rPr>
                <w:b/>
                <w:sz w:val="22"/>
                <w:szCs w:val="20"/>
              </w:rPr>
              <w:t>Inclusive and quality education</w:t>
            </w:r>
          </w:p>
        </w:tc>
        <w:tc>
          <w:tcPr>
            <w:tcW w:w="3610" w:type="dxa"/>
            <w:tcBorders>
              <w:top w:val="single" w:sz="4" w:space="0" w:color="000000"/>
            </w:tcBorders>
          </w:tcPr>
          <w:p w14:paraId="77F495E3" w14:textId="77777777" w:rsidR="00A40D9F" w:rsidRPr="00CB7399" w:rsidRDefault="00A40D9F" w:rsidP="00977CBF">
            <w:pPr>
              <w:pStyle w:val="Normal1"/>
              <w:jc w:val="center"/>
              <w:rPr>
                <w:sz w:val="22"/>
              </w:rPr>
            </w:pPr>
            <w:r w:rsidRPr="00CB7399">
              <w:rPr>
                <w:sz w:val="22"/>
                <w:szCs w:val="20"/>
              </w:rPr>
              <w:t>-</w:t>
            </w:r>
            <w:r w:rsidRPr="00CB7399">
              <w:rPr>
                <w:sz w:val="22"/>
              </w:rPr>
              <w:t xml:space="preserve"> </w:t>
            </w:r>
            <w:r w:rsidRPr="00CB7399">
              <w:rPr>
                <w:b/>
                <w:color w:val="000000"/>
                <w:sz w:val="22"/>
                <w:szCs w:val="20"/>
              </w:rPr>
              <w:t>Direct:</w:t>
            </w:r>
          </w:p>
          <w:p w14:paraId="7D273014" w14:textId="77777777" w:rsidR="00A40D9F" w:rsidRPr="00CB7399" w:rsidRDefault="00A40D9F" w:rsidP="00977CBF">
            <w:pPr>
              <w:pStyle w:val="Normal1"/>
              <w:pBdr>
                <w:top w:val="nil"/>
                <w:left w:val="nil"/>
                <w:bottom w:val="nil"/>
                <w:right w:val="nil"/>
                <w:between w:val="nil"/>
              </w:pBdr>
              <w:spacing w:line="276" w:lineRule="auto"/>
              <w:ind w:firstLine="98"/>
              <w:jc w:val="center"/>
              <w:rPr>
                <w:rFonts w:eastAsia="Calibri"/>
                <w:color w:val="000000"/>
                <w:sz w:val="22"/>
                <w:szCs w:val="20"/>
                <w:highlight w:val="yellow"/>
              </w:rPr>
            </w:pPr>
            <w:r w:rsidRPr="00CB7399">
              <w:rPr>
                <w:color w:val="000000"/>
                <w:sz w:val="22"/>
                <w:szCs w:val="20"/>
              </w:rPr>
              <w:t>- 100 Specialists from the National Resource Centre and the Ministry of Education headquarters</w:t>
            </w:r>
          </w:p>
          <w:p w14:paraId="636C70F7" w14:textId="77777777" w:rsidR="00A40D9F" w:rsidRPr="00CB7399" w:rsidRDefault="00A40D9F" w:rsidP="00977CBF">
            <w:pPr>
              <w:pStyle w:val="Normal1"/>
              <w:pBdr>
                <w:top w:val="nil"/>
                <w:left w:val="nil"/>
                <w:bottom w:val="nil"/>
                <w:right w:val="nil"/>
                <w:between w:val="nil"/>
              </w:pBdr>
              <w:spacing w:line="276" w:lineRule="auto"/>
              <w:ind w:hanging="720"/>
              <w:jc w:val="center"/>
              <w:rPr>
                <w:rFonts w:eastAsia="Calibri"/>
                <w:color w:val="000000"/>
                <w:sz w:val="22"/>
                <w:szCs w:val="20"/>
              </w:rPr>
            </w:pPr>
            <w:r w:rsidRPr="00CB7399">
              <w:rPr>
                <w:color w:val="000000"/>
                <w:sz w:val="22"/>
                <w:szCs w:val="20"/>
              </w:rPr>
              <w:t>- 300 teachers</w:t>
            </w:r>
          </w:p>
          <w:p w14:paraId="52369DC1" w14:textId="77777777" w:rsidR="00A40D9F" w:rsidRPr="00CB7399" w:rsidRDefault="00A40D9F" w:rsidP="00977CBF">
            <w:pPr>
              <w:pStyle w:val="Normal1"/>
              <w:pBdr>
                <w:top w:val="nil"/>
                <w:left w:val="nil"/>
                <w:bottom w:val="nil"/>
                <w:right w:val="nil"/>
                <w:between w:val="nil"/>
              </w:pBdr>
              <w:spacing w:line="276" w:lineRule="auto"/>
              <w:ind w:hanging="720"/>
              <w:jc w:val="center"/>
              <w:rPr>
                <w:rFonts w:eastAsia="Calibri"/>
                <w:color w:val="000000"/>
                <w:sz w:val="22"/>
                <w:szCs w:val="20"/>
              </w:rPr>
            </w:pPr>
            <w:r w:rsidRPr="00CB7399">
              <w:rPr>
                <w:color w:val="000000"/>
                <w:sz w:val="22"/>
                <w:szCs w:val="20"/>
              </w:rPr>
              <w:t>- 50 schools</w:t>
            </w:r>
            <w:r w:rsidR="00FC0B1C">
              <w:rPr>
                <w:color w:val="000000"/>
                <w:sz w:val="22"/>
                <w:szCs w:val="20"/>
              </w:rPr>
              <w:t xml:space="preserve"> (5,000 children)</w:t>
            </w:r>
          </w:p>
          <w:p w14:paraId="144ECFC8" w14:textId="77777777" w:rsidR="00FC0B1C" w:rsidRDefault="00A40D9F" w:rsidP="00977CBF">
            <w:pPr>
              <w:pStyle w:val="Normal1"/>
              <w:pBdr>
                <w:top w:val="nil"/>
                <w:left w:val="nil"/>
                <w:bottom w:val="nil"/>
                <w:right w:val="nil"/>
                <w:between w:val="nil"/>
              </w:pBdr>
              <w:spacing w:line="276" w:lineRule="auto"/>
              <w:jc w:val="center"/>
              <w:rPr>
                <w:color w:val="000000"/>
                <w:sz w:val="22"/>
                <w:szCs w:val="20"/>
              </w:rPr>
            </w:pPr>
            <w:r w:rsidRPr="00CB7399">
              <w:rPr>
                <w:color w:val="000000"/>
                <w:sz w:val="22"/>
                <w:szCs w:val="20"/>
              </w:rPr>
              <w:t xml:space="preserve">- </w:t>
            </w:r>
            <w:r w:rsidR="00FC0B1C">
              <w:rPr>
                <w:color w:val="000000"/>
                <w:sz w:val="22"/>
                <w:szCs w:val="20"/>
              </w:rPr>
              <w:t>1</w:t>
            </w:r>
            <w:r w:rsidRPr="00CB7399">
              <w:rPr>
                <w:color w:val="000000"/>
                <w:sz w:val="22"/>
                <w:szCs w:val="20"/>
              </w:rPr>
              <w:t xml:space="preserve">,000 children </w:t>
            </w:r>
            <w:proofErr w:type="gramStart"/>
            <w:r w:rsidRPr="00CB7399">
              <w:rPr>
                <w:color w:val="000000"/>
                <w:sz w:val="22"/>
                <w:szCs w:val="20"/>
              </w:rPr>
              <w:t>with  disabilities</w:t>
            </w:r>
            <w:proofErr w:type="gramEnd"/>
          </w:p>
          <w:p w14:paraId="2E85D6E4" w14:textId="77777777" w:rsidR="00A40D9F" w:rsidRPr="00CB7399" w:rsidRDefault="00A40D9F" w:rsidP="00977CBF">
            <w:pPr>
              <w:pStyle w:val="Normal1"/>
              <w:pBdr>
                <w:top w:val="nil"/>
                <w:left w:val="nil"/>
                <w:bottom w:val="nil"/>
                <w:right w:val="nil"/>
                <w:between w:val="nil"/>
              </w:pBdr>
              <w:spacing w:line="276" w:lineRule="auto"/>
              <w:jc w:val="center"/>
              <w:rPr>
                <w:rFonts w:eastAsia="Calibri"/>
                <w:color w:val="000000"/>
                <w:sz w:val="22"/>
                <w:szCs w:val="20"/>
              </w:rPr>
            </w:pPr>
          </w:p>
          <w:p w14:paraId="5F91BB3F" w14:textId="77777777" w:rsidR="00A40D9F" w:rsidRPr="00CB7399" w:rsidRDefault="00A40D9F" w:rsidP="00977CBF">
            <w:pPr>
              <w:pStyle w:val="Normal1"/>
              <w:pBdr>
                <w:top w:val="nil"/>
                <w:left w:val="nil"/>
                <w:bottom w:val="nil"/>
                <w:right w:val="nil"/>
                <w:between w:val="nil"/>
              </w:pBdr>
              <w:spacing w:line="276" w:lineRule="auto"/>
              <w:ind w:hanging="720"/>
              <w:jc w:val="center"/>
              <w:rPr>
                <w:rFonts w:eastAsia="Calibri"/>
                <w:color w:val="000000"/>
                <w:sz w:val="22"/>
                <w:szCs w:val="20"/>
              </w:rPr>
            </w:pPr>
            <w:r w:rsidRPr="00CB7399">
              <w:rPr>
                <w:color w:val="000000"/>
                <w:sz w:val="22"/>
                <w:szCs w:val="20"/>
              </w:rPr>
              <w:t>- 2,000 families</w:t>
            </w:r>
          </w:p>
          <w:p w14:paraId="74C95898" w14:textId="77777777" w:rsidR="00A40D9F" w:rsidRPr="00CB7399" w:rsidRDefault="00A40D9F" w:rsidP="00977CBF">
            <w:pPr>
              <w:jc w:val="center"/>
              <w:rPr>
                <w:rFonts w:eastAsia="Calibri"/>
                <w:color w:val="000000"/>
                <w:sz w:val="22"/>
                <w:szCs w:val="20"/>
              </w:rPr>
            </w:pPr>
            <w:r w:rsidRPr="00CB7399">
              <w:rPr>
                <w:color w:val="000000"/>
                <w:sz w:val="22"/>
                <w:szCs w:val="20"/>
              </w:rPr>
              <w:t>The outputs of the projects will have a gradual impact on the other teachers, as it is public policy.</w:t>
            </w:r>
          </w:p>
          <w:p w14:paraId="6B58B0F5" w14:textId="77777777" w:rsidR="00A40D9F" w:rsidRPr="00CB7399" w:rsidRDefault="00A40D9F" w:rsidP="00977CBF">
            <w:pPr>
              <w:pStyle w:val="Normal1"/>
              <w:pBdr>
                <w:top w:val="nil"/>
                <w:left w:val="nil"/>
                <w:bottom w:val="nil"/>
                <w:right w:val="nil"/>
                <w:between w:val="nil"/>
              </w:pBdr>
              <w:spacing w:after="200" w:line="276" w:lineRule="auto"/>
              <w:ind w:hanging="720"/>
              <w:jc w:val="center"/>
              <w:rPr>
                <w:rFonts w:eastAsia="Calibri"/>
                <w:color w:val="000000"/>
                <w:sz w:val="22"/>
                <w:szCs w:val="20"/>
              </w:rPr>
            </w:pPr>
          </w:p>
        </w:tc>
        <w:tc>
          <w:tcPr>
            <w:tcW w:w="1585" w:type="dxa"/>
            <w:tcBorders>
              <w:top w:val="single" w:sz="4" w:space="0" w:color="000000"/>
            </w:tcBorders>
          </w:tcPr>
          <w:p w14:paraId="44899D04" w14:textId="77777777" w:rsidR="00A40D9F" w:rsidRPr="00CB7399" w:rsidRDefault="00A40D9F" w:rsidP="00977CBF">
            <w:pPr>
              <w:pStyle w:val="Normal1"/>
              <w:pBdr>
                <w:top w:val="nil"/>
                <w:left w:val="nil"/>
                <w:bottom w:val="nil"/>
                <w:right w:val="nil"/>
                <w:between w:val="nil"/>
              </w:pBdr>
              <w:spacing w:after="200" w:line="276" w:lineRule="auto"/>
              <w:ind w:hanging="720"/>
              <w:jc w:val="center"/>
              <w:rPr>
                <w:rFonts w:eastAsia="Calibri"/>
                <w:color w:val="000000"/>
                <w:sz w:val="22"/>
                <w:szCs w:val="20"/>
              </w:rPr>
            </w:pPr>
            <w:r w:rsidRPr="00CB7399">
              <w:rPr>
                <w:color w:val="000000"/>
                <w:sz w:val="22"/>
                <w:szCs w:val="20"/>
              </w:rPr>
              <w:t xml:space="preserve">6 </w:t>
            </w:r>
            <w:r w:rsidR="00CB7399">
              <w:rPr>
                <w:color w:val="000000"/>
                <w:sz w:val="22"/>
                <w:szCs w:val="20"/>
              </w:rPr>
              <w:t xml:space="preserve">6 </w:t>
            </w:r>
            <w:r w:rsidRPr="00CB7399">
              <w:rPr>
                <w:color w:val="000000"/>
                <w:sz w:val="22"/>
                <w:szCs w:val="20"/>
              </w:rPr>
              <w:t>to 15 years</w:t>
            </w:r>
          </w:p>
        </w:tc>
        <w:tc>
          <w:tcPr>
            <w:tcW w:w="2240" w:type="dxa"/>
            <w:tcBorders>
              <w:top w:val="single" w:sz="4" w:space="0" w:color="000000"/>
            </w:tcBorders>
          </w:tcPr>
          <w:p w14:paraId="6E597F96" w14:textId="77777777" w:rsidR="00A40D9F" w:rsidRPr="00CB7399" w:rsidRDefault="00A40D9F" w:rsidP="00977CBF">
            <w:pPr>
              <w:pStyle w:val="Normal1"/>
              <w:pBdr>
                <w:top w:val="nil"/>
                <w:left w:val="nil"/>
                <w:bottom w:val="nil"/>
                <w:right w:val="nil"/>
                <w:between w:val="nil"/>
              </w:pBdr>
              <w:spacing w:after="200" w:line="276" w:lineRule="auto"/>
              <w:ind w:hanging="720"/>
              <w:jc w:val="center"/>
              <w:rPr>
                <w:rFonts w:eastAsia="Calibri"/>
                <w:color w:val="000000"/>
                <w:sz w:val="22"/>
                <w:szCs w:val="20"/>
              </w:rPr>
            </w:pPr>
            <w:r w:rsidRPr="00CB7399">
              <w:rPr>
                <w:color w:val="000000"/>
                <w:sz w:val="22"/>
                <w:szCs w:val="20"/>
              </w:rPr>
              <w:t>Schools in:</w:t>
            </w:r>
          </w:p>
          <w:p w14:paraId="7A809539" w14:textId="77777777" w:rsidR="00A40D9F" w:rsidRPr="001B02A0" w:rsidRDefault="00A40D9F" w:rsidP="00A40D9F">
            <w:pPr>
              <w:pStyle w:val="Normal1"/>
              <w:spacing w:line="276" w:lineRule="auto"/>
              <w:contextualSpacing/>
              <w:rPr>
                <w:color w:val="000000"/>
                <w:sz w:val="22"/>
                <w:szCs w:val="20"/>
                <w:lang w:val="en-US"/>
              </w:rPr>
            </w:pPr>
            <w:r w:rsidRPr="001B02A0">
              <w:rPr>
                <w:color w:val="000000"/>
                <w:sz w:val="22"/>
                <w:szCs w:val="20"/>
                <w:lang w:val="en-US"/>
              </w:rPr>
              <w:t>- Greater Santo Domingo</w:t>
            </w:r>
          </w:p>
          <w:p w14:paraId="31E9B61A" w14:textId="77777777" w:rsidR="00A40D9F" w:rsidRPr="001B02A0" w:rsidRDefault="00A40D9F" w:rsidP="00A40D9F">
            <w:pPr>
              <w:pStyle w:val="Normal1"/>
              <w:pBdr>
                <w:top w:val="nil"/>
                <w:left w:val="nil"/>
                <w:bottom w:val="nil"/>
                <w:right w:val="nil"/>
                <w:between w:val="nil"/>
              </w:pBdr>
              <w:spacing w:line="276" w:lineRule="auto"/>
              <w:contextualSpacing/>
              <w:rPr>
                <w:color w:val="000000"/>
                <w:sz w:val="22"/>
                <w:szCs w:val="20"/>
                <w:lang w:val="en-US"/>
              </w:rPr>
            </w:pPr>
            <w:r w:rsidRPr="001B02A0">
              <w:rPr>
                <w:color w:val="000000"/>
                <w:sz w:val="22"/>
                <w:szCs w:val="20"/>
                <w:lang w:val="en-US"/>
              </w:rPr>
              <w:t>- San Juan</w:t>
            </w:r>
          </w:p>
          <w:p w14:paraId="6DFBC9CD" w14:textId="77777777" w:rsidR="00A40D9F" w:rsidRPr="00CB7399" w:rsidRDefault="00A40D9F" w:rsidP="00A40D9F">
            <w:pPr>
              <w:pStyle w:val="Normal1"/>
              <w:pBdr>
                <w:top w:val="nil"/>
                <w:left w:val="nil"/>
                <w:bottom w:val="nil"/>
                <w:right w:val="nil"/>
                <w:between w:val="nil"/>
              </w:pBdr>
              <w:spacing w:line="276" w:lineRule="auto"/>
              <w:contextualSpacing/>
              <w:rPr>
                <w:color w:val="000000"/>
                <w:sz w:val="22"/>
                <w:szCs w:val="20"/>
                <w:lang w:val="es-DO"/>
              </w:rPr>
            </w:pPr>
            <w:r w:rsidRPr="00CB7399">
              <w:rPr>
                <w:color w:val="000000"/>
                <w:sz w:val="22"/>
                <w:szCs w:val="20"/>
                <w:lang w:val="es-DO"/>
              </w:rPr>
              <w:t>- Barahona</w:t>
            </w:r>
          </w:p>
          <w:p w14:paraId="6F79ACD0" w14:textId="77777777" w:rsidR="00A40D9F" w:rsidRPr="00CB7399" w:rsidRDefault="00A40D9F" w:rsidP="00977CBF">
            <w:pPr>
              <w:pStyle w:val="Normal1"/>
              <w:pBdr>
                <w:top w:val="nil"/>
                <w:left w:val="nil"/>
                <w:bottom w:val="nil"/>
                <w:right w:val="nil"/>
                <w:between w:val="nil"/>
              </w:pBdr>
              <w:spacing w:after="200" w:line="276" w:lineRule="auto"/>
              <w:ind w:hanging="720"/>
              <w:jc w:val="center"/>
              <w:rPr>
                <w:rFonts w:eastAsia="Calibri"/>
                <w:color w:val="000000"/>
                <w:sz w:val="22"/>
                <w:szCs w:val="20"/>
              </w:rPr>
            </w:pPr>
          </w:p>
        </w:tc>
      </w:tr>
      <w:tr w:rsidR="00A40D9F" w:rsidRPr="00CB7399" w14:paraId="5A489229" w14:textId="77777777" w:rsidTr="00561177">
        <w:trPr>
          <w:jc w:val="center"/>
        </w:trPr>
        <w:tc>
          <w:tcPr>
            <w:tcW w:w="2481" w:type="dxa"/>
          </w:tcPr>
          <w:p w14:paraId="36A8E120" w14:textId="77777777" w:rsidR="00A40D9F" w:rsidRPr="00CB7399" w:rsidRDefault="00A40D9F" w:rsidP="00977CBF">
            <w:pPr>
              <w:pStyle w:val="Normal1"/>
              <w:pBdr>
                <w:top w:val="nil"/>
                <w:left w:val="nil"/>
                <w:bottom w:val="nil"/>
                <w:right w:val="nil"/>
                <w:between w:val="nil"/>
              </w:pBdr>
              <w:spacing w:line="276" w:lineRule="auto"/>
              <w:ind w:hanging="720"/>
              <w:jc w:val="both"/>
              <w:rPr>
                <w:rFonts w:eastAsia="Calibri"/>
                <w:b/>
                <w:color w:val="000000"/>
                <w:sz w:val="22"/>
                <w:szCs w:val="20"/>
              </w:rPr>
            </w:pPr>
          </w:p>
          <w:p w14:paraId="07D14E03" w14:textId="77777777" w:rsidR="00A40D9F" w:rsidRPr="00CB7399" w:rsidRDefault="00A40D9F" w:rsidP="00977CBF">
            <w:pPr>
              <w:pStyle w:val="Normal1"/>
              <w:pBdr>
                <w:top w:val="nil"/>
                <w:left w:val="nil"/>
                <w:bottom w:val="nil"/>
                <w:right w:val="nil"/>
                <w:between w:val="nil"/>
              </w:pBdr>
              <w:spacing w:after="200" w:line="276" w:lineRule="auto"/>
              <w:ind w:left="175"/>
              <w:rPr>
                <w:rFonts w:eastAsia="Calibri"/>
                <w:b/>
                <w:color w:val="000000"/>
                <w:sz w:val="22"/>
                <w:szCs w:val="20"/>
              </w:rPr>
            </w:pPr>
            <w:bookmarkStart w:id="1" w:name="_Hlk530733172"/>
            <w:r w:rsidRPr="00CB7399">
              <w:rPr>
                <w:b/>
                <w:color w:val="000000"/>
                <w:sz w:val="22"/>
                <w:szCs w:val="20"/>
              </w:rPr>
              <w:t>Decent and inclusive employment</w:t>
            </w:r>
            <w:bookmarkEnd w:id="1"/>
          </w:p>
        </w:tc>
        <w:tc>
          <w:tcPr>
            <w:tcW w:w="3610" w:type="dxa"/>
          </w:tcPr>
          <w:p w14:paraId="03AA8436" w14:textId="77777777" w:rsidR="00A40D9F" w:rsidRPr="00CB7399" w:rsidRDefault="00A40D9F" w:rsidP="00977CBF">
            <w:pPr>
              <w:pStyle w:val="Normal1"/>
              <w:jc w:val="center"/>
              <w:rPr>
                <w:sz w:val="22"/>
              </w:rPr>
            </w:pPr>
            <w:r w:rsidRPr="00CB7399">
              <w:rPr>
                <w:sz w:val="22"/>
                <w:szCs w:val="20"/>
              </w:rPr>
              <w:t>-</w:t>
            </w:r>
            <w:r w:rsidRPr="00CB7399">
              <w:rPr>
                <w:sz w:val="22"/>
              </w:rPr>
              <w:t xml:space="preserve"> </w:t>
            </w:r>
            <w:r w:rsidRPr="00CB7399">
              <w:rPr>
                <w:sz w:val="22"/>
                <w:szCs w:val="20"/>
              </w:rPr>
              <w:t>Partnerships with 10 private companies and 10 public entities for the implementation of the accessible employment manual.</w:t>
            </w:r>
          </w:p>
          <w:p w14:paraId="3F9ECB28" w14:textId="77777777" w:rsidR="00A40D9F" w:rsidRPr="00CB7399" w:rsidRDefault="00A40D9F" w:rsidP="00977CBF">
            <w:pPr>
              <w:pStyle w:val="Normal1"/>
              <w:jc w:val="center"/>
              <w:rPr>
                <w:sz w:val="22"/>
                <w:szCs w:val="20"/>
              </w:rPr>
            </w:pPr>
            <w:r w:rsidRPr="00CB7399">
              <w:rPr>
                <w:sz w:val="22"/>
                <w:szCs w:val="20"/>
              </w:rPr>
              <w:t>- 70% INFOTEP COS (Training Centres) will have universal access plans.</w:t>
            </w:r>
          </w:p>
          <w:p w14:paraId="49E49892" w14:textId="77777777" w:rsidR="00A40D9F" w:rsidRPr="00CB7399" w:rsidRDefault="00A40D9F" w:rsidP="00977CBF">
            <w:pPr>
              <w:pStyle w:val="Normal1"/>
              <w:jc w:val="center"/>
              <w:rPr>
                <w:sz w:val="22"/>
                <w:szCs w:val="20"/>
              </w:rPr>
            </w:pPr>
            <w:r w:rsidRPr="00CB7399">
              <w:rPr>
                <w:sz w:val="22"/>
                <w:szCs w:val="20"/>
              </w:rPr>
              <w:t>- 25 Ministry of Labour officials and five DPOs will take part in the elaboration and implementation of the employment guide.</w:t>
            </w:r>
          </w:p>
          <w:p w14:paraId="61BDE71D" w14:textId="77777777" w:rsidR="00A40D9F" w:rsidRPr="00CB7399" w:rsidRDefault="00A40D9F" w:rsidP="00977CBF">
            <w:pPr>
              <w:pStyle w:val="Normal1"/>
              <w:jc w:val="center"/>
              <w:rPr>
                <w:sz w:val="22"/>
                <w:szCs w:val="20"/>
              </w:rPr>
            </w:pPr>
            <w:r w:rsidRPr="00CB7399">
              <w:rPr>
                <w:sz w:val="22"/>
                <w:szCs w:val="20"/>
              </w:rPr>
              <w:t>-</w:t>
            </w:r>
            <w:r w:rsidRPr="00CB7399">
              <w:rPr>
                <w:sz w:val="22"/>
              </w:rPr>
              <w:t xml:space="preserve"> </w:t>
            </w:r>
            <w:r w:rsidRPr="00CB7399">
              <w:rPr>
                <w:sz w:val="22"/>
                <w:szCs w:val="20"/>
              </w:rPr>
              <w:t>5 DPOs (including organizations for women with disabilities) will influence the public and private sectors on the issue of inclusive employment.</w:t>
            </w:r>
          </w:p>
        </w:tc>
        <w:tc>
          <w:tcPr>
            <w:tcW w:w="1585" w:type="dxa"/>
          </w:tcPr>
          <w:p w14:paraId="4D5827B7" w14:textId="77777777" w:rsidR="00A40D9F" w:rsidRPr="00CB7399" w:rsidRDefault="00A40D9F" w:rsidP="00977CBF">
            <w:pPr>
              <w:pStyle w:val="Normal1"/>
              <w:pBdr>
                <w:top w:val="nil"/>
                <w:left w:val="nil"/>
                <w:bottom w:val="nil"/>
                <w:right w:val="nil"/>
                <w:between w:val="nil"/>
              </w:pBdr>
              <w:spacing w:after="200" w:line="276" w:lineRule="auto"/>
              <w:ind w:left="549" w:hanging="894"/>
              <w:jc w:val="center"/>
              <w:rPr>
                <w:rFonts w:eastAsia="Calibri"/>
                <w:color w:val="000000"/>
                <w:sz w:val="22"/>
                <w:szCs w:val="20"/>
              </w:rPr>
            </w:pPr>
            <w:r w:rsidRPr="00CB7399">
              <w:rPr>
                <w:color w:val="000000"/>
                <w:sz w:val="22"/>
                <w:szCs w:val="20"/>
              </w:rPr>
              <w:t>18 to 40 years</w:t>
            </w:r>
          </w:p>
        </w:tc>
        <w:tc>
          <w:tcPr>
            <w:tcW w:w="2240" w:type="dxa"/>
          </w:tcPr>
          <w:p w14:paraId="49F86BB3" w14:textId="77777777" w:rsidR="00A40D9F" w:rsidRPr="00CB7399" w:rsidRDefault="00A40D9F" w:rsidP="00977CBF">
            <w:pPr>
              <w:pStyle w:val="Normal1"/>
              <w:pBdr>
                <w:top w:val="nil"/>
                <w:left w:val="nil"/>
                <w:bottom w:val="nil"/>
                <w:right w:val="nil"/>
                <w:between w:val="nil"/>
              </w:pBdr>
              <w:spacing w:after="200" w:line="276" w:lineRule="auto"/>
              <w:ind w:hanging="720"/>
              <w:jc w:val="center"/>
              <w:rPr>
                <w:rFonts w:eastAsia="Calibri"/>
                <w:color w:val="000000"/>
                <w:sz w:val="22"/>
                <w:szCs w:val="20"/>
              </w:rPr>
            </w:pPr>
            <w:r w:rsidRPr="00CB7399">
              <w:rPr>
                <w:color w:val="000000"/>
                <w:sz w:val="22"/>
                <w:szCs w:val="20"/>
              </w:rPr>
              <w:t>Santo Domingo</w:t>
            </w:r>
          </w:p>
        </w:tc>
      </w:tr>
      <w:tr w:rsidR="00A40D9F" w:rsidRPr="00FD6C3C" w14:paraId="5B8F6B6A" w14:textId="77777777" w:rsidTr="00561177">
        <w:trPr>
          <w:jc w:val="center"/>
        </w:trPr>
        <w:tc>
          <w:tcPr>
            <w:tcW w:w="2481" w:type="dxa"/>
          </w:tcPr>
          <w:p w14:paraId="2D1C0A75" w14:textId="77777777" w:rsidR="00A40D9F" w:rsidRPr="00CB7399" w:rsidRDefault="00A40D9F" w:rsidP="00977CBF">
            <w:pPr>
              <w:pStyle w:val="Normal1"/>
              <w:pBdr>
                <w:top w:val="nil"/>
                <w:left w:val="nil"/>
                <w:bottom w:val="nil"/>
                <w:right w:val="nil"/>
                <w:between w:val="nil"/>
              </w:pBdr>
              <w:spacing w:line="276" w:lineRule="auto"/>
              <w:ind w:hanging="720"/>
              <w:jc w:val="both"/>
              <w:rPr>
                <w:rFonts w:eastAsia="Calibri"/>
                <w:b/>
                <w:color w:val="000000"/>
                <w:sz w:val="22"/>
                <w:szCs w:val="20"/>
              </w:rPr>
            </w:pPr>
          </w:p>
          <w:p w14:paraId="27CA02FF" w14:textId="77777777" w:rsidR="00A40D9F" w:rsidRPr="00CB7399" w:rsidRDefault="00A40D9F" w:rsidP="00977CBF">
            <w:pPr>
              <w:pStyle w:val="Normal1"/>
              <w:pBdr>
                <w:top w:val="nil"/>
                <w:left w:val="nil"/>
                <w:bottom w:val="nil"/>
                <w:right w:val="nil"/>
                <w:between w:val="nil"/>
              </w:pBdr>
              <w:spacing w:after="200" w:line="276" w:lineRule="auto"/>
              <w:ind w:firstLine="317"/>
              <w:jc w:val="both"/>
              <w:rPr>
                <w:rFonts w:eastAsia="Calibri"/>
                <w:b/>
                <w:color w:val="000000"/>
                <w:sz w:val="22"/>
                <w:szCs w:val="20"/>
              </w:rPr>
            </w:pPr>
            <w:r w:rsidRPr="00CB7399">
              <w:rPr>
                <w:b/>
                <w:color w:val="000000"/>
                <w:sz w:val="22"/>
                <w:szCs w:val="20"/>
              </w:rPr>
              <w:t>Social Participation</w:t>
            </w:r>
          </w:p>
        </w:tc>
        <w:tc>
          <w:tcPr>
            <w:tcW w:w="3610" w:type="dxa"/>
          </w:tcPr>
          <w:p w14:paraId="0BE1B7F9" w14:textId="77777777" w:rsidR="00A40D9F" w:rsidRPr="00CB7399" w:rsidRDefault="00A40D9F" w:rsidP="00977CBF">
            <w:pPr>
              <w:pStyle w:val="Normal1"/>
              <w:pBdr>
                <w:top w:val="nil"/>
                <w:left w:val="nil"/>
                <w:bottom w:val="nil"/>
                <w:right w:val="nil"/>
                <w:between w:val="nil"/>
              </w:pBdr>
              <w:spacing w:line="276" w:lineRule="auto"/>
              <w:rPr>
                <w:rFonts w:eastAsia="Calibri"/>
                <w:color w:val="000000"/>
                <w:sz w:val="22"/>
                <w:szCs w:val="20"/>
              </w:rPr>
            </w:pPr>
            <w:r w:rsidRPr="00CB7399">
              <w:rPr>
                <w:color w:val="000000"/>
                <w:sz w:val="22"/>
                <w:szCs w:val="20"/>
              </w:rPr>
              <w:t>- Partnerships with 10 public institutions and 5 DPOs and public entities.</w:t>
            </w:r>
          </w:p>
          <w:p w14:paraId="6D5B7BEF" w14:textId="77777777" w:rsidR="00A40D9F" w:rsidRPr="00CB7399" w:rsidRDefault="00A40D9F" w:rsidP="00977CBF">
            <w:pPr>
              <w:pStyle w:val="Normal1"/>
              <w:pBdr>
                <w:top w:val="nil"/>
                <w:left w:val="nil"/>
                <w:bottom w:val="nil"/>
                <w:right w:val="nil"/>
                <w:between w:val="nil"/>
              </w:pBdr>
              <w:spacing w:line="276" w:lineRule="auto"/>
              <w:ind w:hanging="720"/>
              <w:rPr>
                <w:rFonts w:eastAsia="Calibri"/>
                <w:color w:val="000000"/>
                <w:sz w:val="22"/>
                <w:szCs w:val="20"/>
              </w:rPr>
            </w:pPr>
            <w:r w:rsidRPr="00CB7399">
              <w:rPr>
                <w:color w:val="000000"/>
                <w:sz w:val="22"/>
                <w:szCs w:val="20"/>
              </w:rPr>
              <w:t xml:space="preserve"> </w:t>
            </w:r>
          </w:p>
          <w:p w14:paraId="69AE6DAB" w14:textId="77777777" w:rsidR="00A40D9F" w:rsidRPr="00CB7399" w:rsidRDefault="00A40D9F" w:rsidP="00977CBF">
            <w:pPr>
              <w:pStyle w:val="Normal1"/>
              <w:pBdr>
                <w:top w:val="nil"/>
                <w:left w:val="nil"/>
                <w:bottom w:val="nil"/>
                <w:right w:val="nil"/>
                <w:between w:val="nil"/>
              </w:pBdr>
              <w:spacing w:line="276" w:lineRule="auto"/>
              <w:rPr>
                <w:rFonts w:eastAsia="Calibri"/>
                <w:color w:val="000000"/>
                <w:sz w:val="22"/>
                <w:szCs w:val="20"/>
              </w:rPr>
            </w:pPr>
            <w:r w:rsidRPr="00EC7352">
              <w:rPr>
                <w:color w:val="000000"/>
                <w:sz w:val="22"/>
                <w:szCs w:val="20"/>
              </w:rPr>
              <w:t>- 450 men and women with motor, intellectual and visual disabilities.</w:t>
            </w:r>
          </w:p>
          <w:p w14:paraId="63B21E0C" w14:textId="77777777" w:rsidR="00A40D9F" w:rsidRPr="00CB7399" w:rsidRDefault="00A40D9F" w:rsidP="00977CBF">
            <w:pPr>
              <w:pStyle w:val="Normal1"/>
              <w:pBdr>
                <w:top w:val="nil"/>
                <w:left w:val="nil"/>
                <w:bottom w:val="nil"/>
                <w:right w:val="nil"/>
                <w:between w:val="nil"/>
              </w:pBdr>
              <w:spacing w:line="276" w:lineRule="auto"/>
              <w:ind w:hanging="720"/>
              <w:rPr>
                <w:rFonts w:eastAsia="Calibri"/>
                <w:color w:val="000000"/>
                <w:sz w:val="22"/>
                <w:szCs w:val="20"/>
              </w:rPr>
            </w:pPr>
          </w:p>
          <w:p w14:paraId="4337A5E6" w14:textId="77777777" w:rsidR="00A40D9F" w:rsidRPr="00CB7399" w:rsidRDefault="00A40D9F" w:rsidP="00977CBF">
            <w:pPr>
              <w:pStyle w:val="Normal1"/>
              <w:pBdr>
                <w:top w:val="nil"/>
                <w:left w:val="nil"/>
                <w:bottom w:val="nil"/>
                <w:right w:val="nil"/>
                <w:between w:val="nil"/>
              </w:pBdr>
              <w:spacing w:line="276" w:lineRule="auto"/>
              <w:ind w:hanging="44"/>
              <w:rPr>
                <w:rFonts w:eastAsia="Calibri"/>
                <w:color w:val="000000"/>
                <w:sz w:val="22"/>
                <w:szCs w:val="20"/>
              </w:rPr>
            </w:pPr>
            <w:r w:rsidRPr="00CB7399">
              <w:rPr>
                <w:color w:val="000000"/>
                <w:sz w:val="22"/>
                <w:szCs w:val="20"/>
              </w:rPr>
              <w:t>- 20 specialists from the Care Centre for Children with Disabilities.</w:t>
            </w:r>
          </w:p>
          <w:p w14:paraId="48E445D7" w14:textId="77777777" w:rsidR="00A40D9F" w:rsidRPr="00CB7399" w:rsidRDefault="00A40D9F" w:rsidP="00977CBF">
            <w:pPr>
              <w:pStyle w:val="Normal1"/>
              <w:rPr>
                <w:sz w:val="22"/>
                <w:szCs w:val="20"/>
              </w:rPr>
            </w:pPr>
          </w:p>
          <w:p w14:paraId="78582869" w14:textId="77777777" w:rsidR="00A40D9F" w:rsidRPr="00CB7399" w:rsidRDefault="00A40D9F" w:rsidP="00977CBF">
            <w:pPr>
              <w:pStyle w:val="Normal1"/>
              <w:rPr>
                <w:sz w:val="22"/>
                <w:szCs w:val="20"/>
              </w:rPr>
            </w:pPr>
            <w:r w:rsidRPr="00CB7399">
              <w:rPr>
                <w:sz w:val="22"/>
                <w:szCs w:val="20"/>
              </w:rPr>
              <w:t>- 60 people from several key institutions.</w:t>
            </w:r>
          </w:p>
        </w:tc>
        <w:tc>
          <w:tcPr>
            <w:tcW w:w="1585" w:type="dxa"/>
          </w:tcPr>
          <w:p w14:paraId="69134625" w14:textId="77777777" w:rsidR="00A40D9F" w:rsidRPr="00CB7399" w:rsidRDefault="00A40D9F" w:rsidP="00977CBF">
            <w:pPr>
              <w:pStyle w:val="Normal1"/>
              <w:pBdr>
                <w:top w:val="nil"/>
                <w:left w:val="nil"/>
                <w:bottom w:val="nil"/>
                <w:right w:val="nil"/>
                <w:between w:val="nil"/>
              </w:pBdr>
              <w:spacing w:after="200" w:line="276" w:lineRule="auto"/>
              <w:ind w:left="549" w:hanging="517"/>
              <w:rPr>
                <w:rFonts w:eastAsia="Calibri"/>
                <w:color w:val="000000"/>
                <w:sz w:val="22"/>
                <w:szCs w:val="20"/>
              </w:rPr>
            </w:pPr>
            <w:r w:rsidRPr="00CB7399">
              <w:rPr>
                <w:color w:val="000000"/>
                <w:sz w:val="22"/>
                <w:szCs w:val="20"/>
              </w:rPr>
              <w:t>14 to 40 years</w:t>
            </w:r>
          </w:p>
        </w:tc>
        <w:tc>
          <w:tcPr>
            <w:tcW w:w="2240" w:type="dxa"/>
          </w:tcPr>
          <w:p w14:paraId="2376D8FA" w14:textId="77777777" w:rsidR="00A40D9F" w:rsidRPr="00CB7399" w:rsidRDefault="00A40D9F" w:rsidP="00977CBF">
            <w:pPr>
              <w:pStyle w:val="Normal1"/>
              <w:pBdr>
                <w:top w:val="nil"/>
                <w:left w:val="nil"/>
                <w:bottom w:val="nil"/>
                <w:right w:val="nil"/>
                <w:between w:val="nil"/>
              </w:pBdr>
              <w:spacing w:line="276" w:lineRule="auto"/>
              <w:contextualSpacing/>
              <w:rPr>
                <w:sz w:val="22"/>
                <w:szCs w:val="22"/>
                <w:lang w:val="es-DO"/>
              </w:rPr>
            </w:pPr>
            <w:r w:rsidRPr="00CB7399">
              <w:rPr>
                <w:color w:val="000000"/>
                <w:sz w:val="22"/>
                <w:szCs w:val="20"/>
                <w:lang w:val="es-DO"/>
              </w:rPr>
              <w:t xml:space="preserve">- San Juan </w:t>
            </w:r>
          </w:p>
          <w:p w14:paraId="216EB900" w14:textId="77777777" w:rsidR="00A40D9F" w:rsidRPr="00CB7399" w:rsidRDefault="00A40D9F" w:rsidP="00977CBF">
            <w:pPr>
              <w:pStyle w:val="Normal1"/>
              <w:pBdr>
                <w:top w:val="nil"/>
                <w:left w:val="nil"/>
                <w:bottom w:val="nil"/>
                <w:right w:val="nil"/>
                <w:between w:val="nil"/>
              </w:pBdr>
              <w:spacing w:line="276" w:lineRule="auto"/>
              <w:ind w:firstLine="6"/>
              <w:contextualSpacing/>
              <w:rPr>
                <w:sz w:val="22"/>
                <w:szCs w:val="22"/>
                <w:lang w:val="es-DO"/>
              </w:rPr>
            </w:pPr>
            <w:r w:rsidRPr="00CB7399">
              <w:rPr>
                <w:color w:val="000000"/>
                <w:sz w:val="22"/>
                <w:szCs w:val="20"/>
                <w:lang w:val="es-DO"/>
              </w:rPr>
              <w:t>- Santo Domingo</w:t>
            </w:r>
          </w:p>
          <w:p w14:paraId="2FBC0819" w14:textId="77777777" w:rsidR="00A40D9F" w:rsidRPr="00CB7399" w:rsidRDefault="00A40D9F" w:rsidP="00977CBF">
            <w:pPr>
              <w:pStyle w:val="Normal1"/>
              <w:pBdr>
                <w:top w:val="nil"/>
                <w:left w:val="nil"/>
                <w:bottom w:val="nil"/>
                <w:right w:val="nil"/>
                <w:between w:val="nil"/>
              </w:pBdr>
              <w:spacing w:after="200" w:line="276" w:lineRule="auto"/>
              <w:ind w:firstLine="6"/>
              <w:contextualSpacing/>
              <w:rPr>
                <w:sz w:val="22"/>
                <w:szCs w:val="22"/>
                <w:lang w:val="es-DO"/>
              </w:rPr>
            </w:pPr>
            <w:r w:rsidRPr="00CB7399">
              <w:rPr>
                <w:color w:val="000000"/>
                <w:sz w:val="22"/>
                <w:szCs w:val="20"/>
                <w:lang w:val="es-DO"/>
              </w:rPr>
              <w:t>- Barahona</w:t>
            </w:r>
          </w:p>
        </w:tc>
      </w:tr>
    </w:tbl>
    <w:p w14:paraId="2818B486" w14:textId="77777777" w:rsidR="00A45397" w:rsidRPr="000D4C6A" w:rsidRDefault="00A45397" w:rsidP="000D4C6A">
      <w:pPr>
        <w:pStyle w:val="Normal1"/>
        <w:jc w:val="both"/>
        <w:rPr>
          <w:b/>
          <w:lang w:val="es-DO"/>
        </w:rPr>
      </w:pPr>
    </w:p>
    <w:p w14:paraId="56D24B8D" w14:textId="77777777" w:rsidR="00A45397" w:rsidRPr="000D4C6A" w:rsidRDefault="00A45397" w:rsidP="000D4C6A">
      <w:pPr>
        <w:pStyle w:val="Normal1"/>
        <w:jc w:val="both"/>
        <w:rPr>
          <w:i/>
          <w:highlight w:val="yellow"/>
          <w:lang w:val="es-DO"/>
        </w:rPr>
      </w:pPr>
    </w:p>
    <w:p w14:paraId="5CA93604" w14:textId="77777777" w:rsidR="00A45397" w:rsidRPr="001B02A0" w:rsidRDefault="00986A15" w:rsidP="000D4C6A">
      <w:pPr>
        <w:pStyle w:val="Normal1"/>
        <w:widowControl w:val="0"/>
        <w:pBdr>
          <w:top w:val="nil"/>
          <w:left w:val="nil"/>
          <w:bottom w:val="nil"/>
          <w:right w:val="nil"/>
          <w:between w:val="nil"/>
        </w:pBdr>
        <w:spacing w:line="276" w:lineRule="auto"/>
        <w:jc w:val="both"/>
        <w:rPr>
          <w:noProof/>
          <w:lang w:val="es-DO"/>
        </w:rPr>
        <w:sectPr w:rsidR="00A45397" w:rsidRPr="001B02A0">
          <w:pgSz w:w="12240" w:h="15840"/>
          <w:pgMar w:top="1170" w:right="1440" w:bottom="1710" w:left="900" w:header="720" w:footer="720" w:gutter="0"/>
          <w:pgNumType w:start="1"/>
          <w:cols w:space="720"/>
        </w:sectPr>
      </w:pPr>
      <w:r w:rsidRPr="001B02A0">
        <w:rPr>
          <w:noProof/>
          <w:lang w:val="es-DO"/>
        </w:rPr>
        <w:br w:type="page"/>
      </w:r>
    </w:p>
    <w:p w14:paraId="628A1077" w14:textId="77777777" w:rsidR="000D4C6A" w:rsidRDefault="000D4C6A" w:rsidP="000D4C6A">
      <w:pPr>
        <w:pStyle w:val="Normal1"/>
        <w:jc w:val="both"/>
        <w:rPr>
          <w:rFonts w:eastAsia="Calibri"/>
          <w:lang w:val="es-DO"/>
        </w:rPr>
      </w:pPr>
      <w:r w:rsidRPr="000D4C6A">
        <w:rPr>
          <w:noProof/>
        </w:rPr>
        <w:drawing>
          <wp:inline distT="0" distB="0" distL="0" distR="0" wp14:anchorId="2B11419A" wp14:editId="500E7175">
            <wp:extent cx="8616172" cy="4410075"/>
            <wp:effectExtent l="0" t="0" r="0" b="0"/>
            <wp:docPr id="104" name="Picture 104" descr="theory of change diagram described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070" cy="4422307"/>
                    </a:xfrm>
                    <a:prstGeom prst="rect">
                      <a:avLst/>
                    </a:prstGeom>
                    <a:noFill/>
                    <a:ln>
                      <a:noFill/>
                    </a:ln>
                  </pic:spPr>
                </pic:pic>
              </a:graphicData>
            </a:graphic>
          </wp:inline>
        </w:drawing>
      </w:r>
    </w:p>
    <w:p w14:paraId="65A69D57" w14:textId="77777777" w:rsidR="00CB7399" w:rsidRDefault="00CB7399" w:rsidP="000D4C6A">
      <w:pPr>
        <w:pStyle w:val="Normal1"/>
        <w:jc w:val="both"/>
        <w:rPr>
          <w:rFonts w:eastAsia="Calibri"/>
          <w:lang w:val="es-DO"/>
        </w:rPr>
      </w:pPr>
    </w:p>
    <w:p w14:paraId="43EEF2F7" w14:textId="77777777" w:rsidR="00CB7399" w:rsidRPr="001B02A0" w:rsidRDefault="00CB7399" w:rsidP="000D4C6A">
      <w:pPr>
        <w:pStyle w:val="Normal1"/>
        <w:jc w:val="both"/>
        <w:rPr>
          <w:rFonts w:eastAsia="Calibri"/>
          <w:lang w:val="en-US"/>
        </w:rPr>
        <w:sectPr w:rsidR="00CB7399" w:rsidRPr="001B02A0" w:rsidSect="000D4C6A">
          <w:pgSz w:w="15840" w:h="12240" w:orient="landscape"/>
          <w:pgMar w:top="907" w:right="1166" w:bottom="1440" w:left="1714" w:header="720" w:footer="720" w:gutter="0"/>
          <w:cols w:space="720"/>
        </w:sectPr>
      </w:pPr>
      <w:r w:rsidRPr="0086433E">
        <w:rPr>
          <w:b/>
        </w:rPr>
        <w:t xml:space="preserve">Theory of </w:t>
      </w:r>
      <w:r>
        <w:rPr>
          <w:b/>
        </w:rPr>
        <w:t>C</w:t>
      </w:r>
      <w:r w:rsidRPr="0086433E">
        <w:rPr>
          <w:b/>
        </w:rPr>
        <w:t>hange</w:t>
      </w:r>
      <w:r w:rsidRPr="001B02A0">
        <w:rPr>
          <w:b/>
          <w:lang w:val="en-US"/>
        </w:rPr>
        <w:t xml:space="preserve"> Diagram</w:t>
      </w:r>
    </w:p>
    <w:p w14:paraId="40EBB7D6" w14:textId="77777777" w:rsidR="00A45397" w:rsidRPr="0086433E" w:rsidRDefault="00986A15" w:rsidP="000D4C6A">
      <w:pPr>
        <w:pStyle w:val="Normal1"/>
        <w:jc w:val="both"/>
        <w:rPr>
          <w:rFonts w:eastAsia="Calibri"/>
          <w:lang w:val="en-US"/>
        </w:rPr>
      </w:pPr>
      <w:r w:rsidRPr="0086433E">
        <w:rPr>
          <w:rFonts w:eastAsia="Calibri"/>
          <w:lang w:val="en-US"/>
        </w:rPr>
        <w:t xml:space="preserve"> </w:t>
      </w:r>
    </w:p>
    <w:p w14:paraId="2DF858DF" w14:textId="77777777" w:rsidR="00A45397" w:rsidRPr="0086433E" w:rsidRDefault="00A45397" w:rsidP="000D4C6A">
      <w:pPr>
        <w:pStyle w:val="Normal1"/>
        <w:jc w:val="both"/>
        <w:rPr>
          <w:i/>
          <w:highlight w:val="yellow"/>
          <w:lang w:val="en-US"/>
        </w:rPr>
      </w:pPr>
    </w:p>
    <w:p w14:paraId="2B762B78" w14:textId="77777777" w:rsidR="00A45397" w:rsidRPr="000D4C6A" w:rsidRDefault="00F513FD" w:rsidP="0086433E">
      <w:pPr>
        <w:pStyle w:val="Normal1"/>
        <w:widowControl w:val="0"/>
        <w:pBdr>
          <w:top w:val="nil"/>
          <w:left w:val="nil"/>
          <w:bottom w:val="nil"/>
          <w:right w:val="nil"/>
          <w:between w:val="nil"/>
        </w:pBdr>
        <w:spacing w:line="276" w:lineRule="auto"/>
        <w:jc w:val="both"/>
        <w:rPr>
          <w:b/>
        </w:rPr>
      </w:pPr>
      <w:r w:rsidRPr="000D4C6A">
        <w:rPr>
          <w:b/>
        </w:rPr>
        <w:t>Breakdown of the theory of change</w:t>
      </w:r>
      <w:r w:rsidR="00986A15" w:rsidRPr="000D4C6A">
        <w:rPr>
          <w:b/>
        </w:rPr>
        <w:t>:</w:t>
      </w:r>
    </w:p>
    <w:p w14:paraId="6F6E66DE" w14:textId="77777777" w:rsidR="00A45397" w:rsidRPr="000D4C6A" w:rsidRDefault="00A45397" w:rsidP="000D4C6A">
      <w:pPr>
        <w:pStyle w:val="Normal1"/>
        <w:jc w:val="both"/>
        <w:rPr>
          <w:b/>
        </w:rPr>
      </w:pPr>
    </w:p>
    <w:p w14:paraId="796D4F67" w14:textId="77777777" w:rsidR="00A45397" w:rsidRPr="000D4C6A" w:rsidRDefault="00986A15" w:rsidP="000D4C6A">
      <w:pPr>
        <w:pStyle w:val="Normal1"/>
        <w:jc w:val="both"/>
      </w:pPr>
      <w:r w:rsidRPr="000D4C6A">
        <w:rPr>
          <w:b/>
        </w:rPr>
        <w:t>OUTCOME 1: By 2020 the MINERD districts and Disability Care Centres have the capacity to guide and support teachers, ensuring that they offer an inclusive and quality education for children with disabilities in regular public primary schools</w:t>
      </w:r>
      <w:r w:rsidR="00977CBF">
        <w:rPr>
          <w:b/>
        </w:rPr>
        <w:t>.</w:t>
      </w:r>
    </w:p>
    <w:p w14:paraId="718C0CE3" w14:textId="77777777" w:rsidR="005D26E4" w:rsidRDefault="005D26E4" w:rsidP="000D4C6A">
      <w:pPr>
        <w:pStyle w:val="Normal1"/>
        <w:jc w:val="both"/>
        <w:rPr>
          <w:b/>
        </w:rPr>
      </w:pPr>
    </w:p>
    <w:p w14:paraId="24D76504" w14:textId="77777777" w:rsidR="00A45397" w:rsidRPr="000D4C6A" w:rsidRDefault="00986A15" w:rsidP="000D4C6A">
      <w:pPr>
        <w:pStyle w:val="Normal1"/>
        <w:jc w:val="both"/>
        <w:rPr>
          <w:b/>
        </w:rPr>
      </w:pPr>
      <w:r w:rsidRPr="000D4C6A">
        <w:rPr>
          <w:b/>
        </w:rPr>
        <w:t>Output 1.1</w:t>
      </w:r>
      <w:r w:rsidRPr="000D4C6A">
        <w:t xml:space="preserve"> </w:t>
      </w:r>
      <w:r w:rsidR="00F513FD" w:rsidRPr="000D4C6A">
        <w:t>The Ministry o</w:t>
      </w:r>
      <w:r w:rsidR="00AC632D" w:rsidRPr="000D4C6A">
        <w:t>f Education’s National Resource</w:t>
      </w:r>
      <w:r w:rsidR="00F513FD" w:rsidRPr="000D4C6A">
        <w:t xml:space="preserve"> Centre for Educational Inclusion of children and adolescents with disabilities</w:t>
      </w:r>
      <w:r w:rsidR="00AC632D" w:rsidRPr="000D4C6A">
        <w:t xml:space="preserve"> is</w:t>
      </w:r>
      <w:r w:rsidR="00F513FD" w:rsidRPr="000D4C6A">
        <w:t xml:space="preserve"> designed and up and running, with accessible learning methodologies, teaching materials, books and teacher training models.</w:t>
      </w:r>
    </w:p>
    <w:p w14:paraId="764B0A5D" w14:textId="77777777" w:rsidR="005D26E4" w:rsidRDefault="005D26E4" w:rsidP="000D4C6A">
      <w:pPr>
        <w:pStyle w:val="Normal1"/>
        <w:jc w:val="both"/>
        <w:rPr>
          <w:b/>
        </w:rPr>
      </w:pPr>
    </w:p>
    <w:p w14:paraId="37D98FAA" w14:textId="77777777" w:rsidR="00A45397" w:rsidRPr="000D4C6A" w:rsidRDefault="00986A15" w:rsidP="000D4C6A">
      <w:pPr>
        <w:pStyle w:val="Normal1"/>
        <w:jc w:val="both"/>
        <w:rPr>
          <w:b/>
        </w:rPr>
      </w:pPr>
      <w:r w:rsidRPr="000D4C6A">
        <w:rPr>
          <w:b/>
        </w:rPr>
        <w:t>Activities:</w:t>
      </w:r>
    </w:p>
    <w:p w14:paraId="30694C98" w14:textId="77777777" w:rsidR="00512AA3" w:rsidRPr="000D4C6A" w:rsidRDefault="00512AA3" w:rsidP="005D26E4">
      <w:pPr>
        <w:pStyle w:val="Normal1"/>
        <w:numPr>
          <w:ilvl w:val="2"/>
          <w:numId w:val="11"/>
        </w:numPr>
        <w:pBdr>
          <w:top w:val="nil"/>
          <w:left w:val="nil"/>
          <w:bottom w:val="nil"/>
          <w:right w:val="nil"/>
          <w:between w:val="nil"/>
        </w:pBdr>
        <w:spacing w:line="259" w:lineRule="auto"/>
        <w:contextualSpacing/>
        <w:jc w:val="both"/>
        <w:rPr>
          <w:rFonts w:eastAsia="Calibri"/>
        </w:rPr>
      </w:pPr>
      <w:r w:rsidRPr="000D4C6A">
        <w:rPr>
          <w:rFonts w:eastAsia="Calibri"/>
        </w:rPr>
        <w:t>International technical support for the design of the national resource centre for educational inclusion of children and adolescents with disabilities in mainstream schools (Resource Centre).</w:t>
      </w:r>
    </w:p>
    <w:p w14:paraId="52AC22E8" w14:textId="77777777" w:rsidR="00A45397" w:rsidRPr="000D4C6A" w:rsidRDefault="00512AA3" w:rsidP="005D26E4">
      <w:pPr>
        <w:pStyle w:val="Normal1"/>
        <w:numPr>
          <w:ilvl w:val="2"/>
          <w:numId w:val="11"/>
        </w:numPr>
        <w:pBdr>
          <w:top w:val="nil"/>
          <w:left w:val="nil"/>
          <w:bottom w:val="nil"/>
          <w:right w:val="nil"/>
          <w:between w:val="nil"/>
        </w:pBdr>
        <w:spacing w:line="259" w:lineRule="auto"/>
        <w:contextualSpacing/>
        <w:jc w:val="both"/>
        <w:rPr>
          <w:rFonts w:eastAsia="Calibri"/>
        </w:rPr>
      </w:pPr>
      <w:r w:rsidRPr="000D4C6A">
        <w:rPr>
          <w:rFonts w:eastAsia="Calibri"/>
        </w:rPr>
        <w:t>Design of an Operational Plan for ensuring the resource centre</w:t>
      </w:r>
      <w:r w:rsidR="006934D4" w:rsidRPr="000D4C6A">
        <w:rPr>
          <w:rFonts w:eastAsia="Calibri"/>
        </w:rPr>
        <w:t xml:space="preserve"> runs effectively.</w:t>
      </w:r>
    </w:p>
    <w:p w14:paraId="30C40742" w14:textId="77777777" w:rsidR="00A45397" w:rsidRPr="000D4C6A" w:rsidRDefault="006934D4" w:rsidP="005D26E4">
      <w:pPr>
        <w:pStyle w:val="Normal1"/>
        <w:numPr>
          <w:ilvl w:val="2"/>
          <w:numId w:val="11"/>
        </w:numPr>
        <w:pBdr>
          <w:top w:val="nil"/>
          <w:left w:val="nil"/>
          <w:bottom w:val="nil"/>
          <w:right w:val="nil"/>
          <w:between w:val="nil"/>
        </w:pBdr>
        <w:spacing w:line="259" w:lineRule="auto"/>
        <w:contextualSpacing/>
        <w:jc w:val="both"/>
        <w:rPr>
          <w:rFonts w:eastAsia="Calibri"/>
        </w:rPr>
      </w:pPr>
      <w:r w:rsidRPr="000D4C6A">
        <w:rPr>
          <w:rFonts w:eastAsia="Calibri"/>
        </w:rPr>
        <w:t>Design of an inclusive educational materials kit for disability (except sensory disability) prioritising intellectual disability.</w:t>
      </w:r>
    </w:p>
    <w:p w14:paraId="6B5734CF" w14:textId="77777777" w:rsidR="00A45397" w:rsidRPr="000D4C6A" w:rsidRDefault="001E41E3" w:rsidP="005D26E4">
      <w:pPr>
        <w:pStyle w:val="Normal1"/>
        <w:numPr>
          <w:ilvl w:val="2"/>
          <w:numId w:val="11"/>
        </w:numPr>
        <w:pBdr>
          <w:top w:val="nil"/>
          <w:left w:val="nil"/>
          <w:bottom w:val="nil"/>
          <w:right w:val="nil"/>
          <w:between w:val="nil"/>
        </w:pBdr>
        <w:spacing w:line="259" w:lineRule="auto"/>
        <w:contextualSpacing/>
        <w:jc w:val="both"/>
        <w:rPr>
          <w:rFonts w:eastAsia="Calibri"/>
        </w:rPr>
      </w:pPr>
      <w:r w:rsidRPr="000D4C6A">
        <w:rPr>
          <w:rFonts w:eastAsia="Calibri"/>
        </w:rPr>
        <w:t>Production of video-books with inclusive stories and other teaching materials linked to developing the skills set out in the curriculum</w:t>
      </w:r>
      <w:r w:rsidR="00986A15" w:rsidRPr="000D4C6A">
        <w:rPr>
          <w:rFonts w:eastAsia="Calibri"/>
        </w:rPr>
        <w:t>.</w:t>
      </w:r>
    </w:p>
    <w:p w14:paraId="0B91CE22" w14:textId="77777777" w:rsidR="00A45397" w:rsidRPr="000D4C6A" w:rsidRDefault="00A45397" w:rsidP="000D4C6A">
      <w:pPr>
        <w:pStyle w:val="Normal1"/>
        <w:pBdr>
          <w:top w:val="nil"/>
          <w:left w:val="nil"/>
          <w:bottom w:val="nil"/>
          <w:right w:val="nil"/>
          <w:between w:val="nil"/>
        </w:pBdr>
        <w:spacing w:after="160" w:line="259" w:lineRule="auto"/>
        <w:ind w:left="360" w:hanging="720"/>
        <w:jc w:val="both"/>
        <w:rPr>
          <w:rFonts w:eastAsia="Calibri"/>
        </w:rPr>
      </w:pPr>
    </w:p>
    <w:p w14:paraId="739D953D" w14:textId="77777777" w:rsidR="00A45397" w:rsidRPr="000D4C6A" w:rsidRDefault="00986A15" w:rsidP="000D4C6A">
      <w:pPr>
        <w:pStyle w:val="Normal1"/>
        <w:jc w:val="both"/>
        <w:rPr>
          <w:b/>
        </w:rPr>
      </w:pPr>
      <w:r w:rsidRPr="000D4C6A">
        <w:rPr>
          <w:b/>
        </w:rPr>
        <w:t xml:space="preserve">Output 1.2 </w:t>
      </w:r>
      <w:r w:rsidR="008C13E6" w:rsidRPr="000D4C6A">
        <w:t xml:space="preserve">MINERD technical teams </w:t>
      </w:r>
      <w:r w:rsidR="002C5716" w:rsidRPr="000D4C6A">
        <w:t>have</w:t>
      </w:r>
      <w:r w:rsidR="008C13E6" w:rsidRPr="000D4C6A">
        <w:t xml:space="preserve"> the capacities needed for providing support in mai</w:t>
      </w:r>
      <w:r w:rsidR="00116E6B" w:rsidRPr="000D4C6A">
        <w:t>nstream schools to guarantee</w:t>
      </w:r>
      <w:r w:rsidR="008C13E6" w:rsidRPr="000D4C6A">
        <w:t xml:space="preserve"> full participation and learning for</w:t>
      </w:r>
      <w:r w:rsidR="00116E6B" w:rsidRPr="000D4C6A">
        <w:t xml:space="preserve"> children and adolescents with disabilities</w:t>
      </w:r>
    </w:p>
    <w:p w14:paraId="7F732969" w14:textId="77777777" w:rsidR="00A45397" w:rsidRPr="000D4C6A" w:rsidRDefault="00986A15" w:rsidP="000D4C6A">
      <w:pPr>
        <w:pStyle w:val="Normal1"/>
        <w:jc w:val="both"/>
        <w:rPr>
          <w:b/>
        </w:rPr>
      </w:pPr>
      <w:r w:rsidRPr="000D4C6A">
        <w:rPr>
          <w:b/>
        </w:rPr>
        <w:t>Activities:</w:t>
      </w:r>
    </w:p>
    <w:p w14:paraId="0008A2DA" w14:textId="77777777" w:rsidR="00A45397" w:rsidRPr="000D4C6A" w:rsidRDefault="002C5716" w:rsidP="005D26E4">
      <w:pPr>
        <w:pStyle w:val="Normal1"/>
        <w:numPr>
          <w:ilvl w:val="2"/>
          <w:numId w:val="22"/>
        </w:numPr>
        <w:pBdr>
          <w:top w:val="nil"/>
          <w:left w:val="nil"/>
          <w:bottom w:val="nil"/>
          <w:right w:val="nil"/>
          <w:between w:val="nil"/>
        </w:pBdr>
        <w:spacing w:line="259" w:lineRule="auto"/>
        <w:contextualSpacing/>
        <w:jc w:val="both"/>
        <w:rPr>
          <w:rFonts w:eastAsia="Calibri"/>
        </w:rPr>
      </w:pPr>
      <w:r w:rsidRPr="000D4C6A">
        <w:rPr>
          <w:rFonts w:eastAsia="Calibri"/>
        </w:rPr>
        <w:t>Drawing up</w:t>
      </w:r>
      <w:r w:rsidR="007A078E" w:rsidRPr="000D4C6A">
        <w:rPr>
          <w:rFonts w:eastAsia="Calibri"/>
        </w:rPr>
        <w:t xml:space="preserve"> a teacher training plan</w:t>
      </w:r>
    </w:p>
    <w:p w14:paraId="665C227E" w14:textId="77777777" w:rsidR="007A078E" w:rsidRPr="000D4C6A" w:rsidRDefault="007A078E" w:rsidP="005D26E4">
      <w:pPr>
        <w:pStyle w:val="Normal1"/>
        <w:numPr>
          <w:ilvl w:val="2"/>
          <w:numId w:val="22"/>
        </w:numPr>
        <w:pBdr>
          <w:top w:val="nil"/>
          <w:left w:val="nil"/>
          <w:bottom w:val="nil"/>
          <w:right w:val="nil"/>
          <w:between w:val="nil"/>
        </w:pBdr>
        <w:spacing w:line="259" w:lineRule="auto"/>
        <w:contextualSpacing/>
        <w:jc w:val="both"/>
        <w:rPr>
          <w:rFonts w:eastAsia="Calibri"/>
        </w:rPr>
      </w:pPr>
      <w:r w:rsidRPr="000D4C6A">
        <w:rPr>
          <w:rFonts w:eastAsia="Calibri"/>
        </w:rPr>
        <w:t>Training for MINERD specialist multipliers who will train teachers</w:t>
      </w:r>
    </w:p>
    <w:p w14:paraId="77A4166F" w14:textId="77777777" w:rsidR="00A45397" w:rsidRPr="000D4C6A" w:rsidRDefault="007A078E" w:rsidP="005D26E4">
      <w:pPr>
        <w:pStyle w:val="Normal1"/>
        <w:numPr>
          <w:ilvl w:val="2"/>
          <w:numId w:val="22"/>
        </w:numPr>
        <w:pBdr>
          <w:top w:val="nil"/>
          <w:left w:val="nil"/>
          <w:bottom w:val="nil"/>
          <w:right w:val="nil"/>
          <w:between w:val="nil"/>
        </w:pBdr>
        <w:spacing w:line="259" w:lineRule="auto"/>
        <w:contextualSpacing/>
        <w:jc w:val="both"/>
        <w:rPr>
          <w:rFonts w:eastAsia="Calibri"/>
        </w:rPr>
      </w:pPr>
      <w:r w:rsidRPr="000D4C6A">
        <w:rPr>
          <w:rFonts w:eastAsia="Calibri"/>
        </w:rPr>
        <w:t>Teacher training in priority areas</w:t>
      </w:r>
      <w:r w:rsidR="00986A15" w:rsidRPr="000D4C6A">
        <w:rPr>
          <w:rFonts w:eastAsia="Calibri"/>
        </w:rPr>
        <w:t xml:space="preserve">. </w:t>
      </w:r>
    </w:p>
    <w:p w14:paraId="6CFDA5EB" w14:textId="77777777" w:rsidR="00A45397" w:rsidRPr="000D4C6A" w:rsidRDefault="00A45397" w:rsidP="000D4C6A">
      <w:pPr>
        <w:pStyle w:val="Normal1"/>
        <w:jc w:val="both"/>
        <w:rPr>
          <w:b/>
          <w:i/>
        </w:rPr>
      </w:pPr>
    </w:p>
    <w:p w14:paraId="59D3237A" w14:textId="77777777" w:rsidR="00A45397" w:rsidRPr="000D4C6A" w:rsidRDefault="00986A15" w:rsidP="000D4C6A">
      <w:pPr>
        <w:pStyle w:val="Normal1"/>
        <w:jc w:val="both"/>
        <w:rPr>
          <w:b/>
        </w:rPr>
      </w:pPr>
      <w:r w:rsidRPr="000D4C6A">
        <w:rPr>
          <w:b/>
        </w:rPr>
        <w:t xml:space="preserve">Output 1.3 </w:t>
      </w:r>
      <w:r w:rsidR="00D74ED7" w:rsidRPr="000D4C6A">
        <w:t>The educational community is made aware of inclusion and participation for children and adolescents with disabilities in mainstream schools</w:t>
      </w:r>
      <w:r w:rsidRPr="000D4C6A">
        <w:t>.</w:t>
      </w:r>
    </w:p>
    <w:p w14:paraId="1404E9F2" w14:textId="77777777" w:rsidR="00A45397" w:rsidRPr="000D4C6A" w:rsidRDefault="00986A15" w:rsidP="000D4C6A">
      <w:pPr>
        <w:pStyle w:val="Normal1"/>
        <w:jc w:val="both"/>
        <w:rPr>
          <w:b/>
        </w:rPr>
      </w:pPr>
      <w:r w:rsidRPr="000D4C6A">
        <w:rPr>
          <w:b/>
        </w:rPr>
        <w:t>Activities:</w:t>
      </w:r>
    </w:p>
    <w:p w14:paraId="1B8FAE9A" w14:textId="77777777" w:rsidR="00A45397" w:rsidRPr="005D26E4" w:rsidRDefault="00A9442A" w:rsidP="005D26E4">
      <w:pPr>
        <w:pStyle w:val="Normal1"/>
        <w:numPr>
          <w:ilvl w:val="2"/>
          <w:numId w:val="23"/>
        </w:numPr>
        <w:pBdr>
          <w:top w:val="nil"/>
          <w:left w:val="nil"/>
          <w:bottom w:val="nil"/>
          <w:right w:val="nil"/>
          <w:between w:val="nil"/>
        </w:pBdr>
        <w:spacing w:line="259" w:lineRule="auto"/>
        <w:contextualSpacing/>
        <w:jc w:val="both"/>
        <w:rPr>
          <w:rFonts w:eastAsia="Calibri"/>
        </w:rPr>
      </w:pPr>
      <w:r w:rsidRPr="005D26E4">
        <w:rPr>
          <w:rFonts w:eastAsia="Calibri"/>
        </w:rPr>
        <w:t>National</w:t>
      </w:r>
      <w:r w:rsidR="00A847DE" w:rsidRPr="005D26E4">
        <w:rPr>
          <w:rFonts w:eastAsia="Calibri"/>
        </w:rPr>
        <w:t xml:space="preserve"> technical support for the design of communication </w:t>
      </w:r>
      <w:r w:rsidR="007D613C" w:rsidRPr="005D26E4">
        <w:rPr>
          <w:rFonts w:eastAsia="Calibri"/>
        </w:rPr>
        <w:t xml:space="preserve">materials for development, which raise awareness of the national educational community about the rights of children and adolescents with </w:t>
      </w:r>
      <w:r w:rsidR="00731281" w:rsidRPr="005D26E4">
        <w:rPr>
          <w:rFonts w:eastAsia="Calibri"/>
        </w:rPr>
        <w:t>disabilities and</w:t>
      </w:r>
      <w:r w:rsidR="007D613C" w:rsidRPr="005D26E4">
        <w:rPr>
          <w:rFonts w:eastAsia="Calibri"/>
        </w:rPr>
        <w:t xml:space="preserve"> explain</w:t>
      </w:r>
      <w:r w:rsidR="00A847DE" w:rsidRPr="005D26E4">
        <w:rPr>
          <w:rFonts w:eastAsia="Calibri"/>
        </w:rPr>
        <w:t xml:space="preserve"> the implications of </w:t>
      </w:r>
      <w:r w:rsidR="00775C62" w:rsidRPr="005D26E4">
        <w:rPr>
          <w:rFonts w:eastAsia="Calibri"/>
        </w:rPr>
        <w:t xml:space="preserve">their </w:t>
      </w:r>
      <w:r w:rsidR="00A847DE" w:rsidRPr="005D26E4">
        <w:rPr>
          <w:rFonts w:eastAsia="Calibri"/>
        </w:rPr>
        <w:t xml:space="preserve">educational </w:t>
      </w:r>
      <w:r w:rsidR="00806259" w:rsidRPr="005D26E4">
        <w:rPr>
          <w:rFonts w:eastAsia="Calibri"/>
        </w:rPr>
        <w:t>inclusion</w:t>
      </w:r>
      <w:r w:rsidR="00A847DE" w:rsidRPr="005D26E4">
        <w:rPr>
          <w:rFonts w:eastAsia="Calibri"/>
        </w:rPr>
        <w:t>.</w:t>
      </w:r>
      <w:r w:rsidR="00986A15" w:rsidRPr="005D26E4">
        <w:rPr>
          <w:rFonts w:eastAsia="Calibri"/>
        </w:rPr>
        <w:t xml:space="preserve"> </w:t>
      </w:r>
    </w:p>
    <w:p w14:paraId="7229FA92" w14:textId="77777777" w:rsidR="00A45397" w:rsidRPr="000D4C6A" w:rsidRDefault="00A847DE" w:rsidP="005D26E4">
      <w:pPr>
        <w:pStyle w:val="Normal1"/>
        <w:numPr>
          <w:ilvl w:val="2"/>
          <w:numId w:val="23"/>
        </w:numPr>
        <w:pBdr>
          <w:top w:val="nil"/>
          <w:left w:val="nil"/>
          <w:bottom w:val="nil"/>
          <w:right w:val="nil"/>
          <w:between w:val="nil"/>
        </w:pBdr>
        <w:spacing w:line="259" w:lineRule="auto"/>
        <w:contextualSpacing/>
        <w:jc w:val="both"/>
        <w:rPr>
          <w:rFonts w:eastAsia="Calibri"/>
        </w:rPr>
      </w:pPr>
      <w:r w:rsidRPr="000D4C6A">
        <w:rPr>
          <w:rFonts w:eastAsia="Calibri"/>
        </w:rPr>
        <w:t>Workshops in</w:t>
      </w:r>
      <w:r w:rsidR="00986A15" w:rsidRPr="000D4C6A">
        <w:rPr>
          <w:rFonts w:eastAsia="Calibri"/>
        </w:rPr>
        <w:t xml:space="preserve"> 10</w:t>
      </w:r>
      <w:r w:rsidRPr="000D4C6A">
        <w:rPr>
          <w:rFonts w:eastAsia="Calibri"/>
        </w:rPr>
        <w:t xml:space="preserve"> priority schools using the communications materials to promote changes in attitudes, perceptions and discriminatory practices towards students with disabilities</w:t>
      </w:r>
      <w:r w:rsidR="00986A15" w:rsidRPr="000D4C6A">
        <w:rPr>
          <w:rFonts w:eastAsia="Calibri"/>
        </w:rPr>
        <w:t>.</w:t>
      </w:r>
    </w:p>
    <w:p w14:paraId="4F7EAED2" w14:textId="77777777" w:rsidR="00A45397" w:rsidRPr="000D4C6A" w:rsidRDefault="00A45397" w:rsidP="000D4C6A">
      <w:pPr>
        <w:pStyle w:val="Normal1"/>
        <w:jc w:val="both"/>
      </w:pPr>
    </w:p>
    <w:p w14:paraId="4A058AD3" w14:textId="77777777" w:rsidR="00A45397" w:rsidRPr="000D4C6A" w:rsidRDefault="002A2908" w:rsidP="000D4C6A">
      <w:pPr>
        <w:pStyle w:val="Normal1"/>
        <w:jc w:val="both"/>
        <w:rPr>
          <w:b/>
        </w:rPr>
      </w:pPr>
      <w:r w:rsidRPr="000D4C6A">
        <w:rPr>
          <w:b/>
          <w:u w:val="single"/>
        </w:rPr>
        <w:t>Shared output for all agencies:</w:t>
      </w:r>
      <w:r w:rsidR="00B367D0" w:rsidRPr="000D4C6A">
        <w:rPr>
          <w:b/>
        </w:rPr>
        <w:t xml:space="preserve"> </w:t>
      </w:r>
      <w:r w:rsidRPr="000D4C6A">
        <w:rPr>
          <w:b/>
        </w:rPr>
        <w:t>Academia and national experts acquire knowledge and awareness of educational</w:t>
      </w:r>
      <w:r w:rsidR="00806259" w:rsidRPr="000D4C6A">
        <w:rPr>
          <w:b/>
        </w:rPr>
        <w:t xml:space="preserve"> and professional-technical</w:t>
      </w:r>
      <w:r w:rsidRPr="000D4C6A">
        <w:rPr>
          <w:b/>
        </w:rPr>
        <w:t xml:space="preserve"> inclusion for students with disabilities.</w:t>
      </w:r>
    </w:p>
    <w:p w14:paraId="51ABA701" w14:textId="77777777" w:rsidR="00891138" w:rsidRPr="000D4C6A" w:rsidRDefault="00891138" w:rsidP="000D4C6A">
      <w:pPr>
        <w:pStyle w:val="Normal1"/>
        <w:numPr>
          <w:ilvl w:val="1"/>
          <w:numId w:val="15"/>
        </w:numPr>
        <w:pBdr>
          <w:top w:val="nil"/>
          <w:left w:val="nil"/>
          <w:bottom w:val="nil"/>
          <w:right w:val="nil"/>
          <w:between w:val="nil"/>
        </w:pBdr>
        <w:spacing w:line="259" w:lineRule="auto"/>
        <w:contextualSpacing/>
        <w:jc w:val="both"/>
        <w:rPr>
          <w:rFonts w:eastAsia="Calibri"/>
        </w:rPr>
      </w:pPr>
      <w:r w:rsidRPr="000D4C6A">
        <w:rPr>
          <w:rFonts w:eastAsia="Calibri"/>
        </w:rPr>
        <w:t xml:space="preserve">Support the international seminar on Educational and </w:t>
      </w:r>
      <w:r w:rsidR="00806259" w:rsidRPr="000D4C6A">
        <w:rPr>
          <w:rFonts w:eastAsia="Calibri"/>
        </w:rPr>
        <w:t>technical-</w:t>
      </w:r>
      <w:r w:rsidRPr="000D4C6A">
        <w:rPr>
          <w:rFonts w:eastAsia="Calibri"/>
        </w:rPr>
        <w:t>professional</w:t>
      </w:r>
      <w:r w:rsidR="00806259" w:rsidRPr="000D4C6A">
        <w:rPr>
          <w:rFonts w:eastAsia="Calibri"/>
        </w:rPr>
        <w:t xml:space="preserve"> i</w:t>
      </w:r>
      <w:r w:rsidRPr="000D4C6A">
        <w:rPr>
          <w:rFonts w:eastAsia="Calibri"/>
        </w:rPr>
        <w:t>nclusion organised by the ONCE Foundation for Latin America in 2020 and NGOs in the country with experts and experience.</w:t>
      </w:r>
    </w:p>
    <w:p w14:paraId="4132AFD9" w14:textId="77777777" w:rsidR="00A45397" w:rsidRPr="000D4C6A" w:rsidRDefault="00DF761F" w:rsidP="000D4C6A">
      <w:pPr>
        <w:pStyle w:val="Normal1"/>
        <w:numPr>
          <w:ilvl w:val="1"/>
          <w:numId w:val="15"/>
        </w:numPr>
        <w:pBdr>
          <w:top w:val="nil"/>
          <w:left w:val="nil"/>
          <w:bottom w:val="nil"/>
          <w:right w:val="nil"/>
          <w:between w:val="nil"/>
        </w:pBdr>
        <w:spacing w:line="259" w:lineRule="auto"/>
        <w:contextualSpacing/>
        <w:jc w:val="both"/>
        <w:rPr>
          <w:rFonts w:eastAsia="Calibri"/>
        </w:rPr>
      </w:pPr>
      <w:r w:rsidRPr="000D4C6A">
        <w:rPr>
          <w:rFonts w:eastAsia="Calibri"/>
        </w:rPr>
        <w:t>Strategic academic meeting for Agenda 2030, including INFOTEP</w:t>
      </w:r>
      <w:r w:rsidR="00986A15" w:rsidRPr="000D4C6A">
        <w:rPr>
          <w:rFonts w:eastAsia="Calibri"/>
        </w:rPr>
        <w:t>.</w:t>
      </w:r>
    </w:p>
    <w:p w14:paraId="5090F38B" w14:textId="77777777" w:rsidR="00DF761F" w:rsidRPr="000D4C6A" w:rsidRDefault="00DF761F" w:rsidP="000D4C6A">
      <w:pPr>
        <w:pStyle w:val="Normal1"/>
        <w:numPr>
          <w:ilvl w:val="1"/>
          <w:numId w:val="15"/>
        </w:numPr>
        <w:pBdr>
          <w:top w:val="nil"/>
          <w:left w:val="nil"/>
          <w:bottom w:val="nil"/>
          <w:right w:val="nil"/>
          <w:between w:val="nil"/>
        </w:pBdr>
        <w:spacing w:line="259" w:lineRule="auto"/>
        <w:contextualSpacing/>
        <w:jc w:val="both"/>
        <w:rPr>
          <w:rFonts w:eastAsia="Calibri"/>
        </w:rPr>
      </w:pPr>
      <w:r w:rsidRPr="000D4C6A">
        <w:rPr>
          <w:rFonts w:eastAsia="Calibri"/>
        </w:rPr>
        <w:t xml:space="preserve">Meetings with the Ministers of Education, Labour, Higher Education, Presidency or </w:t>
      </w:r>
      <w:r w:rsidR="00D370F0" w:rsidRPr="000D4C6A">
        <w:rPr>
          <w:rFonts w:eastAsia="Calibri"/>
        </w:rPr>
        <w:t xml:space="preserve">the </w:t>
      </w:r>
      <w:r w:rsidRPr="000D4C6A">
        <w:rPr>
          <w:rFonts w:eastAsia="Calibri"/>
        </w:rPr>
        <w:t>commissions</w:t>
      </w:r>
      <w:r w:rsidR="00F04530" w:rsidRPr="000D4C6A">
        <w:rPr>
          <w:rFonts w:eastAsia="Calibri"/>
        </w:rPr>
        <w:t xml:space="preserve"> responsible for the technical professional education qualification framework</w:t>
      </w:r>
      <w:r w:rsidR="005D26E4">
        <w:rPr>
          <w:rFonts w:eastAsia="Calibri"/>
        </w:rPr>
        <w:t>.</w:t>
      </w:r>
    </w:p>
    <w:p w14:paraId="63DC01EC" w14:textId="77777777" w:rsidR="00561177" w:rsidRPr="00561177" w:rsidRDefault="00F04530" w:rsidP="00561177">
      <w:pPr>
        <w:pStyle w:val="Normal1"/>
        <w:numPr>
          <w:ilvl w:val="1"/>
          <w:numId w:val="15"/>
        </w:numPr>
        <w:pBdr>
          <w:top w:val="nil"/>
          <w:left w:val="nil"/>
          <w:bottom w:val="nil"/>
          <w:right w:val="nil"/>
          <w:between w:val="nil"/>
        </w:pBdr>
        <w:spacing w:line="259" w:lineRule="auto"/>
        <w:contextualSpacing/>
        <w:jc w:val="both"/>
        <w:rPr>
          <w:b/>
        </w:rPr>
      </w:pPr>
      <w:r w:rsidRPr="000D4C6A">
        <w:rPr>
          <w:rFonts w:eastAsia="Calibri"/>
        </w:rPr>
        <w:t>Organise two cycles of awareness-raising training with national universities on education, work and the development of individuals with disabilities</w:t>
      </w:r>
      <w:r w:rsidR="00986A15" w:rsidRPr="000D4C6A">
        <w:rPr>
          <w:rFonts w:eastAsia="Calibri"/>
        </w:rPr>
        <w:t>.</w:t>
      </w:r>
    </w:p>
    <w:p w14:paraId="0A42A031" w14:textId="77777777" w:rsidR="00A45397" w:rsidRPr="000D4C6A" w:rsidRDefault="00561177" w:rsidP="00561177">
      <w:pPr>
        <w:pStyle w:val="Normal1"/>
        <w:pBdr>
          <w:top w:val="nil"/>
          <w:left w:val="nil"/>
          <w:bottom w:val="nil"/>
          <w:right w:val="nil"/>
          <w:between w:val="nil"/>
        </w:pBdr>
        <w:spacing w:line="259" w:lineRule="auto"/>
        <w:ind w:left="360"/>
        <w:contextualSpacing/>
        <w:jc w:val="both"/>
        <w:rPr>
          <w:b/>
        </w:rPr>
      </w:pPr>
      <w:r w:rsidRPr="000D4C6A">
        <w:rPr>
          <w:b/>
        </w:rPr>
        <w:t xml:space="preserve"> </w:t>
      </w:r>
      <w:r w:rsidR="00986A15" w:rsidRPr="000D4C6A">
        <w:rPr>
          <w:b/>
        </w:rPr>
        <w:t>OUTCOME 2:</w:t>
      </w:r>
      <w:r w:rsidR="00B367D0" w:rsidRPr="000D4C6A">
        <w:rPr>
          <w:b/>
        </w:rPr>
        <w:t xml:space="preserve"> </w:t>
      </w:r>
      <w:r w:rsidR="00986A15" w:rsidRPr="000D4C6A">
        <w:rPr>
          <w:b/>
        </w:rPr>
        <w:t>By 2020 INFOTEP offers technical-professional training accessible to PWD and the Ministry of Labour is aligned with regulations of Law 05-13 to improve access to decent jobs with a gender approach</w:t>
      </w:r>
    </w:p>
    <w:p w14:paraId="39082908" w14:textId="77777777" w:rsidR="000D4C6A" w:rsidRPr="000D4C6A" w:rsidRDefault="000D4C6A" w:rsidP="000D4C6A">
      <w:pPr>
        <w:pStyle w:val="Normal1"/>
        <w:jc w:val="both"/>
      </w:pPr>
    </w:p>
    <w:p w14:paraId="091AD859" w14:textId="77777777" w:rsidR="00A45397" w:rsidRPr="000D4C6A" w:rsidRDefault="00986A15" w:rsidP="000D4C6A">
      <w:pPr>
        <w:pStyle w:val="Normal1"/>
        <w:jc w:val="both"/>
        <w:rPr>
          <w:b/>
          <w:u w:val="single"/>
        </w:rPr>
      </w:pPr>
      <w:r w:rsidRPr="000D4C6A">
        <w:rPr>
          <w:b/>
          <w:u w:val="single"/>
        </w:rPr>
        <w:t xml:space="preserve">Outputs: </w:t>
      </w:r>
    </w:p>
    <w:p w14:paraId="65EA89E6" w14:textId="77777777" w:rsidR="00A45397" w:rsidRPr="000D4C6A" w:rsidRDefault="00986A15" w:rsidP="000D4C6A">
      <w:pPr>
        <w:pStyle w:val="Normal1"/>
        <w:jc w:val="both"/>
      </w:pPr>
      <w:r w:rsidRPr="000D4C6A">
        <w:rPr>
          <w:b/>
        </w:rPr>
        <w:t>Output 2.1:</w:t>
      </w:r>
      <w:r w:rsidRPr="000D4C6A">
        <w:t xml:space="preserve"> </w:t>
      </w:r>
      <w:r w:rsidR="00F04530" w:rsidRPr="000D4C6A">
        <w:t xml:space="preserve">INFOTEP’s </w:t>
      </w:r>
      <w:r w:rsidR="00806259" w:rsidRPr="000D4C6A">
        <w:t>technical-</w:t>
      </w:r>
      <w:r w:rsidR="00F04530" w:rsidRPr="000D4C6A">
        <w:t>professional training offer is revised and adapted to respond to the training needs of people with disabilities</w:t>
      </w:r>
      <w:r w:rsidRPr="000D4C6A">
        <w:t xml:space="preserve">. </w:t>
      </w:r>
    </w:p>
    <w:p w14:paraId="71B925E7" w14:textId="77777777" w:rsidR="00A45397" w:rsidRPr="000D4C6A" w:rsidRDefault="00986A15" w:rsidP="000D4C6A">
      <w:pPr>
        <w:pStyle w:val="Normal1"/>
        <w:jc w:val="both"/>
        <w:rPr>
          <w:b/>
        </w:rPr>
      </w:pPr>
      <w:r w:rsidRPr="000D4C6A">
        <w:rPr>
          <w:b/>
        </w:rPr>
        <w:t>Activities:</w:t>
      </w:r>
    </w:p>
    <w:p w14:paraId="66EFF797" w14:textId="77777777" w:rsidR="005D26E4" w:rsidRDefault="00986A15" w:rsidP="005D26E4">
      <w:pPr>
        <w:pStyle w:val="Normal1"/>
        <w:numPr>
          <w:ilvl w:val="2"/>
          <w:numId w:val="24"/>
        </w:numPr>
        <w:pBdr>
          <w:top w:val="nil"/>
          <w:left w:val="nil"/>
          <w:bottom w:val="nil"/>
          <w:right w:val="nil"/>
          <w:between w:val="nil"/>
        </w:pBdr>
        <w:contextualSpacing/>
        <w:jc w:val="both"/>
        <w:rPr>
          <w:rFonts w:eastAsia="Calibri"/>
        </w:rPr>
      </w:pPr>
      <w:r w:rsidRPr="000D4C6A">
        <w:rPr>
          <w:rFonts w:eastAsia="Calibri"/>
        </w:rPr>
        <w:t xml:space="preserve">Mapping of gaps in universal access and improvement of INFOTEP’s technical-professional training; </w:t>
      </w:r>
    </w:p>
    <w:p w14:paraId="1EFA529F" w14:textId="77777777" w:rsidR="00806259" w:rsidRPr="005D26E4" w:rsidRDefault="00806259" w:rsidP="005D26E4">
      <w:pPr>
        <w:pStyle w:val="Normal1"/>
        <w:numPr>
          <w:ilvl w:val="2"/>
          <w:numId w:val="24"/>
        </w:numPr>
        <w:pBdr>
          <w:top w:val="nil"/>
          <w:left w:val="nil"/>
          <w:bottom w:val="nil"/>
          <w:right w:val="nil"/>
          <w:between w:val="nil"/>
        </w:pBdr>
        <w:contextualSpacing/>
        <w:jc w:val="both"/>
        <w:rPr>
          <w:rFonts w:eastAsia="Calibri"/>
        </w:rPr>
      </w:pPr>
      <w:r w:rsidRPr="005D26E4">
        <w:rPr>
          <w:rFonts w:eastAsia="Calibri"/>
        </w:rPr>
        <w:t xml:space="preserve">Providing teacher training spaces to encourage reflection about the concept of attention to diversity for students with disabilities with the aim of overcoming the obstacles to successful educational careers. </w:t>
      </w:r>
    </w:p>
    <w:p w14:paraId="04404D6C" w14:textId="77777777" w:rsidR="00A45397" w:rsidRPr="000D4C6A" w:rsidRDefault="00A45397" w:rsidP="000D4C6A">
      <w:pPr>
        <w:pStyle w:val="Normal1"/>
        <w:jc w:val="both"/>
      </w:pPr>
    </w:p>
    <w:p w14:paraId="31E6C96E" w14:textId="77777777" w:rsidR="00A45397" w:rsidRPr="000D4C6A" w:rsidRDefault="00986A15" w:rsidP="000D4C6A">
      <w:pPr>
        <w:pStyle w:val="Normal1"/>
        <w:jc w:val="both"/>
      </w:pPr>
      <w:r w:rsidRPr="000D4C6A">
        <w:rPr>
          <w:b/>
        </w:rPr>
        <w:t>Output 2.2:</w:t>
      </w:r>
      <w:r w:rsidRPr="000D4C6A">
        <w:t xml:space="preserve"> </w:t>
      </w:r>
      <w:r w:rsidR="00F64F9F" w:rsidRPr="000D4C6A">
        <w:t xml:space="preserve">The </w:t>
      </w:r>
      <w:r w:rsidRPr="000D4C6A">
        <w:t>Ministry of Labour</w:t>
      </w:r>
      <w:r w:rsidR="00F64F9F" w:rsidRPr="000D4C6A">
        <w:t>’s</w:t>
      </w:r>
      <w:r w:rsidRPr="000D4C6A">
        <w:t xml:space="preserve"> </w:t>
      </w:r>
      <w:r w:rsidR="00806259" w:rsidRPr="000D4C6A">
        <w:t xml:space="preserve">accessible employment manual </w:t>
      </w:r>
      <w:r w:rsidR="00F64F9F" w:rsidRPr="000D4C6A">
        <w:t xml:space="preserve">is </w:t>
      </w:r>
      <w:r w:rsidR="00806259" w:rsidRPr="000D4C6A">
        <w:t>in line with the regulations of Law</w:t>
      </w:r>
      <w:r w:rsidRPr="000D4C6A">
        <w:t xml:space="preserve"> 05-13. </w:t>
      </w:r>
    </w:p>
    <w:p w14:paraId="7DCA4657" w14:textId="77777777" w:rsidR="00A45397" w:rsidRPr="000D4C6A" w:rsidRDefault="00986A15" w:rsidP="000D4C6A">
      <w:pPr>
        <w:pStyle w:val="Normal1"/>
        <w:jc w:val="both"/>
        <w:rPr>
          <w:b/>
        </w:rPr>
      </w:pPr>
      <w:r w:rsidRPr="000D4C6A">
        <w:rPr>
          <w:b/>
        </w:rPr>
        <w:t>Activities:</w:t>
      </w:r>
    </w:p>
    <w:p w14:paraId="53F97F73" w14:textId="77777777" w:rsidR="00A45397" w:rsidRPr="005D26E4" w:rsidRDefault="00986A15" w:rsidP="005D26E4">
      <w:pPr>
        <w:pStyle w:val="Normal1"/>
        <w:numPr>
          <w:ilvl w:val="2"/>
          <w:numId w:val="25"/>
        </w:numPr>
        <w:pBdr>
          <w:top w:val="nil"/>
          <w:left w:val="nil"/>
          <w:bottom w:val="nil"/>
          <w:right w:val="nil"/>
          <w:between w:val="nil"/>
        </w:pBdr>
        <w:contextualSpacing/>
        <w:jc w:val="both"/>
        <w:rPr>
          <w:rFonts w:eastAsia="Calibri"/>
        </w:rPr>
      </w:pPr>
      <w:r w:rsidRPr="000D4C6A">
        <w:rPr>
          <w:rFonts w:eastAsia="Calibri"/>
        </w:rPr>
        <w:t>Develop Training Toolkits for Employment by the Ministry of Labour</w:t>
      </w:r>
    </w:p>
    <w:p w14:paraId="259B44C2" w14:textId="77777777" w:rsidR="00A45397" w:rsidRPr="005D26E4" w:rsidRDefault="00986A15" w:rsidP="005D26E4">
      <w:pPr>
        <w:pStyle w:val="Normal1"/>
        <w:numPr>
          <w:ilvl w:val="2"/>
          <w:numId w:val="25"/>
        </w:numPr>
        <w:pBdr>
          <w:top w:val="nil"/>
          <w:left w:val="nil"/>
          <w:bottom w:val="nil"/>
          <w:right w:val="nil"/>
          <w:between w:val="nil"/>
        </w:pBdr>
        <w:contextualSpacing/>
        <w:jc w:val="both"/>
        <w:rPr>
          <w:rFonts w:eastAsia="Calibri"/>
        </w:rPr>
      </w:pPr>
      <w:r w:rsidRPr="000D4C6A">
        <w:rPr>
          <w:rFonts w:eastAsia="Calibri"/>
        </w:rPr>
        <w:t>Implementation of Ministry of Labour’s accessible employment manual in line with the regulations of Law 05-13</w:t>
      </w:r>
      <w:r w:rsidR="00267899" w:rsidRPr="000D4C6A">
        <w:rPr>
          <w:rFonts w:eastAsia="Calibri"/>
        </w:rPr>
        <w:t>.</w:t>
      </w:r>
    </w:p>
    <w:p w14:paraId="50A9821E" w14:textId="77777777" w:rsidR="00A45397" w:rsidRPr="000D4C6A" w:rsidRDefault="00A45397" w:rsidP="000D4C6A">
      <w:pPr>
        <w:pStyle w:val="Normal1"/>
        <w:jc w:val="both"/>
      </w:pPr>
    </w:p>
    <w:p w14:paraId="11F1A938" w14:textId="77777777" w:rsidR="009B4D53" w:rsidRPr="000D4C6A" w:rsidRDefault="00986A15" w:rsidP="000D4C6A">
      <w:pPr>
        <w:pStyle w:val="Normal1"/>
        <w:jc w:val="both"/>
      </w:pPr>
      <w:r w:rsidRPr="000D4C6A">
        <w:rPr>
          <w:b/>
        </w:rPr>
        <w:t>Output 2.3:</w:t>
      </w:r>
      <w:r w:rsidRPr="000D4C6A">
        <w:t xml:space="preserve"> </w:t>
      </w:r>
      <w:r w:rsidR="009B4D53" w:rsidRPr="000D4C6A">
        <w:t>Strategic alliances formed with the public and private sector for promoting workplace inclusion for people with disabilities</w:t>
      </w:r>
      <w:r w:rsidR="005D26E4">
        <w:t>.</w:t>
      </w:r>
    </w:p>
    <w:p w14:paraId="7EF58788" w14:textId="77777777" w:rsidR="00A45397" w:rsidRPr="000D4C6A" w:rsidRDefault="00986A15" w:rsidP="000D4C6A">
      <w:pPr>
        <w:pStyle w:val="Normal1"/>
        <w:jc w:val="both"/>
        <w:rPr>
          <w:b/>
        </w:rPr>
      </w:pPr>
      <w:r w:rsidRPr="000D4C6A">
        <w:rPr>
          <w:b/>
        </w:rPr>
        <w:t>Activities:</w:t>
      </w:r>
    </w:p>
    <w:p w14:paraId="2C5D6378" w14:textId="77777777" w:rsidR="00A45397" w:rsidRPr="000D4C6A" w:rsidRDefault="00986A15" w:rsidP="005D26E4">
      <w:pPr>
        <w:pStyle w:val="Normal1"/>
        <w:numPr>
          <w:ilvl w:val="2"/>
          <w:numId w:val="26"/>
        </w:numPr>
        <w:pBdr>
          <w:top w:val="nil"/>
          <w:left w:val="nil"/>
          <w:bottom w:val="nil"/>
          <w:right w:val="nil"/>
          <w:between w:val="nil"/>
        </w:pBdr>
        <w:contextualSpacing/>
        <w:jc w:val="both"/>
        <w:rPr>
          <w:rFonts w:eastAsia="Calibri"/>
        </w:rPr>
      </w:pPr>
      <w:r w:rsidRPr="000D4C6A">
        <w:rPr>
          <w:rFonts w:eastAsia="Calibri"/>
        </w:rPr>
        <w:t>Preparation of a joint strategy with the Public Administration Ministry for promoting affirmative actions</w:t>
      </w:r>
    </w:p>
    <w:p w14:paraId="15BDBE33" w14:textId="77777777" w:rsidR="00A45397" w:rsidRPr="000D4C6A" w:rsidRDefault="00986A15" w:rsidP="005D26E4">
      <w:pPr>
        <w:pStyle w:val="Normal1"/>
        <w:numPr>
          <w:ilvl w:val="2"/>
          <w:numId w:val="26"/>
        </w:numPr>
        <w:pBdr>
          <w:top w:val="nil"/>
          <w:left w:val="nil"/>
          <w:bottom w:val="nil"/>
          <w:right w:val="nil"/>
          <w:between w:val="nil"/>
        </w:pBdr>
        <w:contextualSpacing/>
        <w:jc w:val="both"/>
        <w:rPr>
          <w:rFonts w:eastAsia="Calibri"/>
        </w:rPr>
      </w:pPr>
      <w:r w:rsidRPr="000D4C6A">
        <w:rPr>
          <w:rFonts w:eastAsia="Calibri"/>
        </w:rPr>
        <w:t>Advocacy with public and private sector about persons with disabilities’ right to decent employment with a gender-based approach involving all DPOs in the campaign</w:t>
      </w:r>
    </w:p>
    <w:p w14:paraId="2B366892" w14:textId="77777777" w:rsidR="00A45397" w:rsidRPr="000D4C6A" w:rsidRDefault="00A45397" w:rsidP="000D4C6A">
      <w:pPr>
        <w:pStyle w:val="Normal1"/>
        <w:pBdr>
          <w:top w:val="nil"/>
          <w:left w:val="nil"/>
          <w:bottom w:val="nil"/>
          <w:right w:val="nil"/>
          <w:between w:val="nil"/>
        </w:pBdr>
        <w:spacing w:after="160" w:line="259" w:lineRule="auto"/>
        <w:contextualSpacing/>
        <w:jc w:val="both"/>
        <w:rPr>
          <w:rFonts w:eastAsia="Calibri"/>
        </w:rPr>
      </w:pPr>
    </w:p>
    <w:p w14:paraId="61566BCC" w14:textId="77777777" w:rsidR="00A45397" w:rsidRPr="000D4C6A" w:rsidRDefault="00A45397" w:rsidP="000D4C6A">
      <w:pPr>
        <w:pStyle w:val="Normal1"/>
        <w:jc w:val="both"/>
      </w:pPr>
    </w:p>
    <w:p w14:paraId="4B726B3E" w14:textId="77777777" w:rsidR="00F64F9F" w:rsidRPr="000D4C6A" w:rsidRDefault="00F64F9F" w:rsidP="000D4C6A">
      <w:pPr>
        <w:pStyle w:val="Normal1"/>
        <w:jc w:val="both"/>
        <w:rPr>
          <w:b/>
        </w:rPr>
      </w:pPr>
      <w:r w:rsidRPr="000D4C6A">
        <w:rPr>
          <w:b/>
          <w:u w:val="single"/>
        </w:rPr>
        <w:t>Shared output for all agencies:</w:t>
      </w:r>
      <w:r w:rsidR="00B367D0" w:rsidRPr="000D4C6A">
        <w:rPr>
          <w:b/>
        </w:rPr>
        <w:t xml:space="preserve"> </w:t>
      </w:r>
      <w:r w:rsidRPr="000D4C6A">
        <w:rPr>
          <w:b/>
        </w:rPr>
        <w:t>Academia and national experts acquire knowledge and awareness of educational and professional-technical inclusion for students with disabilities.</w:t>
      </w:r>
    </w:p>
    <w:p w14:paraId="7F890635" w14:textId="77777777" w:rsidR="005D26E4" w:rsidRDefault="00F64F9F"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0D4C6A">
        <w:rPr>
          <w:rFonts w:eastAsia="Calibri"/>
        </w:rPr>
        <w:t>Support the international seminar on Educational and technical-professional inclusion organised by the ONCE Foundation for Latin America in 2020 and NGOs in the country with experts and experience.</w:t>
      </w:r>
    </w:p>
    <w:p w14:paraId="46C0138B" w14:textId="77777777" w:rsidR="005D26E4" w:rsidRDefault="00F64F9F"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5D26E4">
        <w:rPr>
          <w:rFonts w:eastAsia="Calibri"/>
        </w:rPr>
        <w:t>Strategic academic meeting for Agenda 2030, including INFOTEP.</w:t>
      </w:r>
    </w:p>
    <w:p w14:paraId="51BA91BD" w14:textId="77777777" w:rsidR="005D26E4" w:rsidRDefault="00F64F9F"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5D26E4">
        <w:rPr>
          <w:rFonts w:eastAsia="Calibri"/>
        </w:rPr>
        <w:t>Meetings with the Ministers of Education, Labour, Higher Education, Presidency or commissions responsible for the technical professional education qualification framework</w:t>
      </w:r>
      <w:r w:rsidR="005D26E4">
        <w:rPr>
          <w:rFonts w:eastAsia="Calibri"/>
        </w:rPr>
        <w:t xml:space="preserve">. </w:t>
      </w:r>
    </w:p>
    <w:p w14:paraId="7D75DC1E" w14:textId="77777777" w:rsidR="00F64F9F" w:rsidRPr="005D26E4" w:rsidRDefault="00F64F9F"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5D26E4">
        <w:rPr>
          <w:rFonts w:eastAsia="Calibri"/>
        </w:rPr>
        <w:t>Organise two cycles of awareness-raising training with national universities on education, work and the development of individuals with disabilities.</w:t>
      </w:r>
    </w:p>
    <w:p w14:paraId="2D8A70A6" w14:textId="77777777" w:rsidR="00F64F9F" w:rsidRPr="000D4C6A" w:rsidRDefault="00F64F9F" w:rsidP="000D4C6A">
      <w:pPr>
        <w:pStyle w:val="Normal1"/>
        <w:spacing w:after="200" w:line="276" w:lineRule="auto"/>
        <w:jc w:val="both"/>
        <w:rPr>
          <w:rFonts w:eastAsia="Abadi MT Condensed Light"/>
        </w:rPr>
      </w:pPr>
    </w:p>
    <w:p w14:paraId="33104CA0" w14:textId="77777777" w:rsidR="00F64F9F" w:rsidRPr="000D4C6A" w:rsidRDefault="00F64F9F" w:rsidP="000D4C6A">
      <w:pPr>
        <w:pStyle w:val="Normal1"/>
        <w:spacing w:after="200" w:line="276" w:lineRule="auto"/>
        <w:jc w:val="both"/>
        <w:rPr>
          <w:rFonts w:eastAsia="Abadi MT Condensed Light"/>
        </w:rPr>
      </w:pPr>
    </w:p>
    <w:p w14:paraId="13585212" w14:textId="77777777" w:rsidR="00A45397" w:rsidRPr="005D26E4" w:rsidRDefault="00986A15" w:rsidP="000D4C6A">
      <w:pPr>
        <w:pStyle w:val="Normal1"/>
        <w:spacing w:after="200" w:line="276" w:lineRule="auto"/>
        <w:jc w:val="both"/>
        <w:rPr>
          <w:rFonts w:eastAsia="Abadi MT Condensed Light"/>
          <w:b/>
        </w:rPr>
      </w:pPr>
      <w:r w:rsidRPr="005D26E4">
        <w:rPr>
          <w:rFonts w:eastAsia="Abadi MT Condensed Light"/>
          <w:b/>
        </w:rPr>
        <w:t>OUTCOME 3:</w:t>
      </w:r>
      <w:r w:rsidR="00B367D0" w:rsidRPr="005D26E4">
        <w:rPr>
          <w:rFonts w:eastAsia="Abadi MT Condensed Light"/>
          <w:b/>
        </w:rPr>
        <w:t xml:space="preserve"> </w:t>
      </w:r>
      <w:r w:rsidRPr="005D26E4">
        <w:rPr>
          <w:rFonts w:eastAsia="Abadi MT Condensed Light"/>
          <w:b/>
        </w:rPr>
        <w:t>By 2020 PWD have enhanced capacities for active participation in the community.</w:t>
      </w:r>
    </w:p>
    <w:p w14:paraId="3E513C01" w14:textId="77777777" w:rsidR="005D26E4" w:rsidRPr="000D4C6A" w:rsidRDefault="005D26E4" w:rsidP="005D26E4">
      <w:pPr>
        <w:pStyle w:val="Normal1"/>
        <w:jc w:val="both"/>
        <w:rPr>
          <w:b/>
          <w:u w:val="single"/>
        </w:rPr>
      </w:pPr>
      <w:r w:rsidRPr="000D4C6A">
        <w:rPr>
          <w:b/>
          <w:u w:val="single"/>
        </w:rPr>
        <w:t xml:space="preserve">Outputs: </w:t>
      </w:r>
    </w:p>
    <w:p w14:paraId="4D77C66F" w14:textId="77777777" w:rsidR="00A45397" w:rsidRPr="000D4C6A" w:rsidRDefault="00986A15" w:rsidP="000D4C6A">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badi MT Condensed Light"/>
        </w:rPr>
      </w:pPr>
      <w:r w:rsidRPr="005D26E4">
        <w:rPr>
          <w:rFonts w:eastAsia="Abadi MT Condensed Light"/>
          <w:b/>
        </w:rPr>
        <w:t>Output 3.1:</w:t>
      </w:r>
      <w:r w:rsidRPr="000D4C6A">
        <w:rPr>
          <w:rFonts w:eastAsia="Abadi MT Condensed Light"/>
        </w:rPr>
        <w:t xml:space="preserve"> The government and PWD have develop</w:t>
      </w:r>
      <w:r w:rsidR="00E071CA" w:rsidRPr="000D4C6A">
        <w:rPr>
          <w:rFonts w:eastAsia="Abadi MT Condensed Light"/>
        </w:rPr>
        <w:t>ed</w:t>
      </w:r>
      <w:r w:rsidRPr="000D4C6A">
        <w:rPr>
          <w:rFonts w:eastAsia="Abadi MT Condensed Light"/>
        </w:rPr>
        <w:t xml:space="preserve"> a join</w:t>
      </w:r>
      <w:r w:rsidR="00E071CA" w:rsidRPr="000D4C6A">
        <w:rPr>
          <w:rFonts w:eastAsia="Abadi MT Condensed Light"/>
        </w:rPr>
        <w:t>t</w:t>
      </w:r>
      <w:r w:rsidRPr="000D4C6A">
        <w:rPr>
          <w:rFonts w:eastAsia="Abadi MT Condensed Light"/>
        </w:rPr>
        <w:t xml:space="preserve"> strategy to reduce discrimination against women with disabilities.</w:t>
      </w:r>
    </w:p>
    <w:p w14:paraId="07046286" w14:textId="77777777" w:rsidR="005D26E4" w:rsidRDefault="005D26E4" w:rsidP="005D26E4">
      <w:pPr>
        <w:pStyle w:val="Normal1"/>
        <w:jc w:val="both"/>
        <w:rPr>
          <w:rFonts w:eastAsia="Abadi MT Condensed Light"/>
          <w:b/>
        </w:rPr>
      </w:pPr>
    </w:p>
    <w:p w14:paraId="4E446C1F" w14:textId="77777777" w:rsidR="00A45397" w:rsidRPr="000D4C6A" w:rsidRDefault="00986A15" w:rsidP="005D26E4">
      <w:pPr>
        <w:pStyle w:val="Normal1"/>
        <w:jc w:val="both"/>
        <w:rPr>
          <w:rFonts w:eastAsia="Abadi MT Condensed Light"/>
          <w:b/>
        </w:rPr>
      </w:pPr>
      <w:r w:rsidRPr="000D4C6A">
        <w:rPr>
          <w:rFonts w:eastAsia="Abadi MT Condensed Light"/>
          <w:b/>
        </w:rPr>
        <w:t>Activities:</w:t>
      </w:r>
    </w:p>
    <w:p w14:paraId="31F4B901" w14:textId="77777777" w:rsidR="00A45397" w:rsidRPr="000D4C6A" w:rsidRDefault="00A45397" w:rsidP="000D4C6A">
      <w:pPr>
        <w:pStyle w:val="Normal1"/>
        <w:ind w:left="-142"/>
        <w:jc w:val="both"/>
        <w:rPr>
          <w:rFonts w:eastAsia="Abadi MT Condensed Light"/>
        </w:rPr>
      </w:pPr>
    </w:p>
    <w:p w14:paraId="146A29BE" w14:textId="77777777" w:rsidR="005D26E4" w:rsidRDefault="00986A15" w:rsidP="005D26E4">
      <w:pPr>
        <w:pStyle w:val="Normal1"/>
        <w:numPr>
          <w:ilvl w:val="2"/>
          <w:numId w:val="28"/>
        </w:numPr>
        <w:pBdr>
          <w:top w:val="nil"/>
          <w:left w:val="nil"/>
          <w:bottom w:val="nil"/>
          <w:right w:val="nil"/>
          <w:between w:val="nil"/>
        </w:pBdr>
        <w:contextualSpacing/>
        <w:jc w:val="both"/>
        <w:rPr>
          <w:rFonts w:eastAsia="Calibri"/>
        </w:rPr>
      </w:pPr>
      <w:r w:rsidRPr="005D26E4">
        <w:rPr>
          <w:rFonts w:eastAsia="Calibri"/>
        </w:rPr>
        <w:t>Promote advocacy actions that directly improve the involvement of health authorities and other key partners in the development of people with disabilities.</w:t>
      </w:r>
    </w:p>
    <w:p w14:paraId="47D01159" w14:textId="77777777" w:rsidR="005D26E4" w:rsidRDefault="00986A15" w:rsidP="005D26E4">
      <w:pPr>
        <w:pStyle w:val="Normal1"/>
        <w:numPr>
          <w:ilvl w:val="2"/>
          <w:numId w:val="28"/>
        </w:numPr>
        <w:pBdr>
          <w:top w:val="nil"/>
          <w:left w:val="nil"/>
          <w:bottom w:val="nil"/>
          <w:right w:val="nil"/>
          <w:between w:val="nil"/>
        </w:pBdr>
        <w:contextualSpacing/>
        <w:jc w:val="both"/>
        <w:rPr>
          <w:rFonts w:eastAsia="Calibri"/>
        </w:rPr>
      </w:pPr>
      <w:r w:rsidRPr="005D26E4">
        <w:rPr>
          <w:rFonts w:eastAsia="Calibri"/>
        </w:rPr>
        <w:t>Advocacy with the public and private sector about women with disabilities right to sexual and reproductive health access and education.</w:t>
      </w:r>
    </w:p>
    <w:p w14:paraId="14366D6F" w14:textId="77777777" w:rsidR="00561177" w:rsidRPr="00561177" w:rsidRDefault="00986A15" w:rsidP="00561177">
      <w:pPr>
        <w:pStyle w:val="Normal1"/>
        <w:numPr>
          <w:ilvl w:val="2"/>
          <w:numId w:val="28"/>
        </w:numPr>
        <w:pBdr>
          <w:top w:val="nil"/>
          <w:left w:val="nil"/>
          <w:bottom w:val="nil"/>
          <w:right w:val="nil"/>
          <w:between w:val="nil"/>
        </w:pBdr>
        <w:contextualSpacing/>
        <w:jc w:val="both"/>
      </w:pPr>
      <w:r w:rsidRPr="005D26E4">
        <w:rPr>
          <w:rFonts w:eastAsia="Calibri"/>
        </w:rPr>
        <w:t>Preparation of a joint strategy with the Ministry of Health and Education to promote actions that create awareness towards women with disabilities right to health and education.</w:t>
      </w:r>
    </w:p>
    <w:p w14:paraId="0710F699" w14:textId="77777777" w:rsidR="00A45397" w:rsidRPr="000D4C6A" w:rsidRDefault="00561177" w:rsidP="00561177">
      <w:pPr>
        <w:pStyle w:val="Normal1"/>
        <w:pBdr>
          <w:top w:val="nil"/>
          <w:left w:val="nil"/>
          <w:bottom w:val="nil"/>
          <w:right w:val="nil"/>
          <w:between w:val="nil"/>
        </w:pBdr>
        <w:ind w:left="720"/>
        <w:contextualSpacing/>
        <w:jc w:val="both"/>
      </w:pPr>
      <w:r w:rsidRPr="005D26E4">
        <w:rPr>
          <w:rFonts w:eastAsia="Abadi MT Condensed Light"/>
          <w:b/>
        </w:rPr>
        <w:t xml:space="preserve"> </w:t>
      </w:r>
      <w:r w:rsidR="00986A15" w:rsidRPr="005D26E4">
        <w:rPr>
          <w:rFonts w:eastAsia="Abadi MT Condensed Light"/>
          <w:b/>
        </w:rPr>
        <w:t>Output 3.2:</w:t>
      </w:r>
      <w:r w:rsidR="00986A15" w:rsidRPr="005D26E4">
        <w:rPr>
          <w:rFonts w:eastAsia="Abadi MT Condensed Light"/>
        </w:rPr>
        <w:t xml:space="preserve"> </w:t>
      </w:r>
      <w:r w:rsidR="00986A15" w:rsidRPr="000D4C6A">
        <w:rPr>
          <w:rFonts w:eastAsia="Arial"/>
          <w:highlight w:val="white"/>
        </w:rPr>
        <w:t>National program</w:t>
      </w:r>
      <w:r w:rsidR="00891138" w:rsidRPr="000D4C6A">
        <w:rPr>
          <w:rFonts w:eastAsia="Arial"/>
          <w:highlight w:val="white"/>
        </w:rPr>
        <w:t>me</w:t>
      </w:r>
      <w:r w:rsidR="00986A15" w:rsidRPr="000D4C6A">
        <w:rPr>
          <w:rFonts w:eastAsia="Arial"/>
          <w:highlight w:val="white"/>
        </w:rPr>
        <w:t xml:space="preserve"> for the social development of PWD with a focus on community participation and gender equity implemented.</w:t>
      </w:r>
    </w:p>
    <w:p w14:paraId="30D0F2B2" w14:textId="77777777" w:rsidR="00A45397" w:rsidRPr="000D4C6A" w:rsidRDefault="00986A15" w:rsidP="005D26E4">
      <w:pPr>
        <w:pStyle w:val="Normal1"/>
        <w:jc w:val="both"/>
        <w:rPr>
          <w:rFonts w:eastAsia="Abadi MT Condensed Light"/>
          <w:b/>
        </w:rPr>
      </w:pPr>
      <w:r w:rsidRPr="005D26E4">
        <w:rPr>
          <w:rFonts w:eastAsia="Abadi MT Condensed Light"/>
          <w:b/>
        </w:rPr>
        <w:t>Activities:</w:t>
      </w:r>
    </w:p>
    <w:p w14:paraId="5AFB6975" w14:textId="77777777" w:rsidR="00A45397" w:rsidRPr="000D4C6A" w:rsidRDefault="00A45397" w:rsidP="000D4C6A">
      <w:pPr>
        <w:pStyle w:val="Normal1"/>
        <w:ind w:left="-142"/>
        <w:jc w:val="both"/>
        <w:rPr>
          <w:rFonts w:eastAsia="Abadi MT Condensed Light"/>
        </w:rPr>
      </w:pPr>
    </w:p>
    <w:p w14:paraId="7A09A2B0" w14:textId="77777777" w:rsidR="00A45397" w:rsidRPr="005D26E4" w:rsidRDefault="00986A15" w:rsidP="005D26E4">
      <w:pPr>
        <w:pStyle w:val="Normal1"/>
        <w:numPr>
          <w:ilvl w:val="2"/>
          <w:numId w:val="29"/>
        </w:numPr>
        <w:pBdr>
          <w:top w:val="nil"/>
          <w:left w:val="nil"/>
          <w:bottom w:val="nil"/>
          <w:right w:val="nil"/>
          <w:between w:val="nil"/>
        </w:pBdr>
        <w:contextualSpacing/>
        <w:jc w:val="both"/>
        <w:rPr>
          <w:rFonts w:eastAsia="Calibri"/>
        </w:rPr>
      </w:pPr>
      <w:r w:rsidRPr="005D26E4">
        <w:rPr>
          <w:rFonts w:eastAsia="Calibri"/>
        </w:rPr>
        <w:t>Design and implement an individual development program for people with disabilities based on the philosophy of independent living, including a gender-based approach.</w:t>
      </w:r>
    </w:p>
    <w:p w14:paraId="5EB33D6F" w14:textId="77777777" w:rsidR="00A45397" w:rsidRPr="005D26E4" w:rsidRDefault="00986A15" w:rsidP="005D26E4">
      <w:pPr>
        <w:pStyle w:val="Normal1"/>
        <w:numPr>
          <w:ilvl w:val="2"/>
          <w:numId w:val="29"/>
        </w:numPr>
        <w:pBdr>
          <w:top w:val="nil"/>
          <w:left w:val="nil"/>
          <w:bottom w:val="nil"/>
          <w:right w:val="nil"/>
          <w:between w:val="nil"/>
        </w:pBdr>
        <w:contextualSpacing/>
        <w:jc w:val="both"/>
        <w:rPr>
          <w:rFonts w:eastAsia="Calibri"/>
        </w:rPr>
      </w:pPr>
      <w:r w:rsidRPr="005D26E4">
        <w:rPr>
          <w:rFonts w:eastAsia="Calibri"/>
        </w:rPr>
        <w:t>Create incentive to promote community participation and the integration of people with disabilities within the social circle.</w:t>
      </w:r>
    </w:p>
    <w:p w14:paraId="1D48C323" w14:textId="77777777" w:rsidR="00A45397" w:rsidRPr="005D26E4" w:rsidRDefault="00986A15" w:rsidP="005D26E4">
      <w:pPr>
        <w:pStyle w:val="Normal1"/>
        <w:numPr>
          <w:ilvl w:val="2"/>
          <w:numId w:val="29"/>
        </w:numPr>
        <w:pBdr>
          <w:top w:val="nil"/>
          <w:left w:val="nil"/>
          <w:bottom w:val="nil"/>
          <w:right w:val="nil"/>
          <w:between w:val="nil"/>
        </w:pBdr>
        <w:contextualSpacing/>
        <w:jc w:val="both"/>
        <w:rPr>
          <w:rFonts w:eastAsia="Calibri"/>
        </w:rPr>
      </w:pPr>
      <w:r w:rsidRPr="005D26E4">
        <w:rPr>
          <w:rFonts w:eastAsia="Calibri"/>
        </w:rPr>
        <w:t xml:space="preserve">Develop partnerships with education institutions </w:t>
      </w:r>
      <w:proofErr w:type="gramStart"/>
      <w:r w:rsidRPr="005D26E4">
        <w:rPr>
          <w:rFonts w:eastAsia="Calibri"/>
        </w:rPr>
        <w:t>in order to</w:t>
      </w:r>
      <w:proofErr w:type="gramEnd"/>
      <w:r w:rsidRPr="005D26E4">
        <w:rPr>
          <w:rFonts w:eastAsia="Calibri"/>
        </w:rPr>
        <w:t xml:space="preserve"> provide technical training opportunities for the participants of the independent living program.</w:t>
      </w:r>
    </w:p>
    <w:p w14:paraId="0B72DA34" w14:textId="77777777" w:rsidR="00A45397" w:rsidRPr="000D4C6A" w:rsidRDefault="00A45397" w:rsidP="000D4C6A">
      <w:pPr>
        <w:pStyle w:val="Normal1"/>
        <w:jc w:val="both"/>
        <w:rPr>
          <w:rFonts w:eastAsia="Abadi MT Condensed Light"/>
        </w:rPr>
      </w:pPr>
    </w:p>
    <w:p w14:paraId="5029B11D" w14:textId="77777777" w:rsidR="00A45397" w:rsidRPr="000D4C6A" w:rsidRDefault="00A45397" w:rsidP="000D4C6A">
      <w:pPr>
        <w:pStyle w:val="Normal1"/>
        <w:jc w:val="both"/>
        <w:rPr>
          <w:rFonts w:eastAsia="Abadi MT Condensed Light"/>
        </w:rPr>
      </w:pPr>
    </w:p>
    <w:p w14:paraId="6A7C9686" w14:textId="77777777" w:rsidR="00A45397" w:rsidRPr="000D4C6A" w:rsidRDefault="00986A15" w:rsidP="000D4C6A">
      <w:pPr>
        <w:pStyle w:val="Normal1"/>
        <w:jc w:val="both"/>
        <w:rPr>
          <w:rFonts w:eastAsia="Abadi MT Condensed Light"/>
        </w:rPr>
      </w:pPr>
      <w:r w:rsidRPr="005D26E4">
        <w:rPr>
          <w:rFonts w:eastAsia="Abadi MT Condensed Light"/>
          <w:b/>
        </w:rPr>
        <w:t>Output 3.3:</w:t>
      </w:r>
      <w:r w:rsidRPr="000D4C6A">
        <w:rPr>
          <w:rFonts w:eastAsia="Abadi MT Condensed Light"/>
        </w:rPr>
        <w:t xml:space="preserve"> By 2020, a national disability assessment system is created and validated. </w:t>
      </w:r>
    </w:p>
    <w:p w14:paraId="48A78F96" w14:textId="77777777" w:rsidR="005D26E4" w:rsidRPr="000D4C6A" w:rsidRDefault="005D26E4" w:rsidP="005D26E4">
      <w:pPr>
        <w:pStyle w:val="Normal1"/>
        <w:jc w:val="both"/>
        <w:rPr>
          <w:rFonts w:eastAsia="Abadi MT Condensed Light"/>
          <w:b/>
        </w:rPr>
      </w:pPr>
      <w:r w:rsidRPr="005D26E4">
        <w:rPr>
          <w:rFonts w:eastAsia="Abadi MT Condensed Light"/>
          <w:b/>
        </w:rPr>
        <w:t>Activities:</w:t>
      </w:r>
    </w:p>
    <w:p w14:paraId="5F3C3F76" w14:textId="77777777" w:rsidR="00A45397" w:rsidRPr="000D4C6A" w:rsidRDefault="00A45397" w:rsidP="000D4C6A">
      <w:pPr>
        <w:pStyle w:val="Normal1"/>
        <w:jc w:val="both"/>
        <w:rPr>
          <w:rFonts w:eastAsia="Abadi MT Condensed Light"/>
        </w:rPr>
      </w:pPr>
    </w:p>
    <w:p w14:paraId="255B8722" w14:textId="77777777" w:rsidR="00561177" w:rsidRPr="00561177" w:rsidRDefault="00986A15" w:rsidP="00561177">
      <w:pPr>
        <w:pStyle w:val="Normal1"/>
        <w:numPr>
          <w:ilvl w:val="2"/>
          <w:numId w:val="30"/>
        </w:numPr>
        <w:pBdr>
          <w:top w:val="nil"/>
          <w:left w:val="nil"/>
          <w:bottom w:val="nil"/>
          <w:right w:val="nil"/>
          <w:between w:val="nil"/>
        </w:pBdr>
        <w:contextualSpacing/>
        <w:jc w:val="both"/>
        <w:rPr>
          <w:b/>
        </w:rPr>
      </w:pPr>
      <w:r w:rsidRPr="005D26E4">
        <w:rPr>
          <w:rFonts w:eastAsia="Calibri"/>
        </w:rPr>
        <w:t>Develop workshops to validate a proposal for the disability assessment system with key institutions and in conjunction with OPD.</w:t>
      </w:r>
    </w:p>
    <w:p w14:paraId="435BE118" w14:textId="77777777" w:rsidR="005D26E4" w:rsidRPr="000D4C6A" w:rsidRDefault="00561177" w:rsidP="00561177">
      <w:pPr>
        <w:pStyle w:val="Normal1"/>
        <w:pBdr>
          <w:top w:val="nil"/>
          <w:left w:val="nil"/>
          <w:bottom w:val="nil"/>
          <w:right w:val="nil"/>
          <w:between w:val="nil"/>
        </w:pBdr>
        <w:ind w:left="720"/>
        <w:contextualSpacing/>
        <w:jc w:val="both"/>
        <w:rPr>
          <w:b/>
        </w:rPr>
      </w:pPr>
      <w:r w:rsidRPr="000D4C6A">
        <w:rPr>
          <w:b/>
          <w:u w:val="single"/>
        </w:rPr>
        <w:t xml:space="preserve"> </w:t>
      </w:r>
      <w:r w:rsidR="005D26E4" w:rsidRPr="000D4C6A">
        <w:rPr>
          <w:b/>
          <w:u w:val="single"/>
        </w:rPr>
        <w:t>Shared output for all agencies:</w:t>
      </w:r>
      <w:r w:rsidR="005D26E4" w:rsidRPr="000D4C6A">
        <w:rPr>
          <w:b/>
        </w:rPr>
        <w:t xml:space="preserve"> Academia and national experts acquire knowledge and awareness of educational and professional-technical inclusion for students with disabilities.</w:t>
      </w:r>
    </w:p>
    <w:p w14:paraId="36D722F9" w14:textId="77777777" w:rsidR="005D26E4" w:rsidRDefault="005D26E4"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0D4C6A">
        <w:rPr>
          <w:rFonts w:eastAsia="Calibri"/>
        </w:rPr>
        <w:t>Support the international seminar on Educational and technical-professional inclusion organised by the ONCE Foundation for Latin America in 2020 and NGOs in the country with experts and experience.</w:t>
      </w:r>
    </w:p>
    <w:p w14:paraId="76656858" w14:textId="77777777" w:rsidR="005D26E4" w:rsidRDefault="005D26E4"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5D26E4">
        <w:rPr>
          <w:rFonts w:eastAsia="Calibri"/>
        </w:rPr>
        <w:t>Strategic academic meeting for Agenda 2030, including INFOTEP.</w:t>
      </w:r>
    </w:p>
    <w:p w14:paraId="2B60F985" w14:textId="77777777" w:rsidR="005D26E4" w:rsidRDefault="005D26E4"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5D26E4">
        <w:rPr>
          <w:rFonts w:eastAsia="Calibri"/>
        </w:rPr>
        <w:t>Meetings with the Ministers of Education, Labour, Higher Education, Presidency or commissions responsible for the technical professional education qualification framework</w:t>
      </w:r>
      <w:r>
        <w:rPr>
          <w:rFonts w:eastAsia="Calibri"/>
        </w:rPr>
        <w:t xml:space="preserve">. </w:t>
      </w:r>
    </w:p>
    <w:p w14:paraId="42513F67" w14:textId="77777777" w:rsidR="005D26E4" w:rsidRPr="005D26E4" w:rsidRDefault="005D26E4" w:rsidP="005D26E4">
      <w:pPr>
        <w:pStyle w:val="Normal1"/>
        <w:numPr>
          <w:ilvl w:val="2"/>
          <w:numId w:val="27"/>
        </w:numPr>
        <w:pBdr>
          <w:top w:val="nil"/>
          <w:left w:val="nil"/>
          <w:bottom w:val="nil"/>
          <w:right w:val="nil"/>
          <w:between w:val="nil"/>
        </w:pBdr>
        <w:spacing w:line="259" w:lineRule="auto"/>
        <w:contextualSpacing/>
        <w:jc w:val="both"/>
        <w:rPr>
          <w:rFonts w:eastAsia="Calibri"/>
        </w:rPr>
      </w:pPr>
      <w:r w:rsidRPr="005D26E4">
        <w:rPr>
          <w:rFonts w:eastAsia="Calibri"/>
        </w:rPr>
        <w:t>Organise two cycles of awareness-raising training with national universities on education, work and the development of individuals with disabilities.</w:t>
      </w:r>
    </w:p>
    <w:p w14:paraId="41FA3553" w14:textId="77777777" w:rsidR="00A45397" w:rsidRPr="000D4C6A" w:rsidRDefault="00A45397" w:rsidP="000D4C6A">
      <w:pPr>
        <w:pStyle w:val="Normal1"/>
        <w:jc w:val="both"/>
        <w:rPr>
          <w:b/>
        </w:rPr>
      </w:pPr>
    </w:p>
    <w:p w14:paraId="36DC8200" w14:textId="77777777" w:rsidR="00A45397" w:rsidRPr="000D4C6A" w:rsidRDefault="00A45397" w:rsidP="000D4C6A">
      <w:pPr>
        <w:pStyle w:val="Normal1"/>
        <w:jc w:val="both"/>
        <w:rPr>
          <w:b/>
        </w:rPr>
      </w:pPr>
    </w:p>
    <w:p w14:paraId="44741377" w14:textId="77777777" w:rsidR="00A45397" w:rsidRPr="000D4C6A" w:rsidRDefault="00986A15" w:rsidP="000D4C6A">
      <w:pPr>
        <w:pStyle w:val="Normal1"/>
        <w:jc w:val="both"/>
        <w:rPr>
          <w:i/>
        </w:rPr>
      </w:pPr>
      <w:r w:rsidRPr="000D4C6A">
        <w:rPr>
          <w:b/>
        </w:rPr>
        <w:t>2.3 Other programmatic considerations</w:t>
      </w:r>
    </w:p>
    <w:p w14:paraId="341B916D" w14:textId="77777777" w:rsidR="00A45397" w:rsidRPr="000D4C6A" w:rsidRDefault="00A45397" w:rsidP="000D4C6A">
      <w:pPr>
        <w:pStyle w:val="Normal1"/>
        <w:jc w:val="both"/>
        <w:rPr>
          <w:i/>
        </w:rPr>
      </w:pPr>
    </w:p>
    <w:p w14:paraId="20A6CA3B" w14:textId="77777777" w:rsidR="00A45397" w:rsidRPr="000D4C6A" w:rsidRDefault="00986A15" w:rsidP="000D4C6A">
      <w:pPr>
        <w:pStyle w:val="Normal1"/>
        <w:jc w:val="both"/>
        <w:rPr>
          <w:b/>
        </w:rPr>
      </w:pPr>
      <w:r w:rsidRPr="000D4C6A">
        <w:rPr>
          <w:b/>
        </w:rPr>
        <w:t>Table 1.</w:t>
      </w:r>
    </w:p>
    <w:p w14:paraId="39A905C9" w14:textId="77777777" w:rsidR="00A45397" w:rsidRPr="000D4C6A" w:rsidRDefault="00A45397" w:rsidP="000D4C6A">
      <w:pPr>
        <w:pStyle w:val="Normal1"/>
        <w:jc w:val="both"/>
        <w:rPr>
          <w:b/>
        </w:rPr>
      </w:pPr>
    </w:p>
    <w:tbl>
      <w:tblPr>
        <w:tblStyle w:val="a2"/>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70"/>
      </w:tblGrid>
      <w:tr w:rsidR="000D4C6A" w:rsidRPr="000D4C6A" w14:paraId="6692E778" w14:textId="77777777" w:rsidTr="00561177">
        <w:tc>
          <w:tcPr>
            <w:tcW w:w="9870" w:type="dxa"/>
            <w:tcBorders>
              <w:top w:val="single" w:sz="4" w:space="0" w:color="000000"/>
              <w:left w:val="single" w:sz="4" w:space="0" w:color="000000"/>
              <w:bottom w:val="single" w:sz="4" w:space="0" w:color="000000"/>
              <w:right w:val="single" w:sz="4" w:space="0" w:color="000000"/>
            </w:tcBorders>
            <w:shd w:val="clear" w:color="auto" w:fill="A6A6A6"/>
          </w:tcPr>
          <w:p w14:paraId="244FCD62" w14:textId="77777777" w:rsidR="00A45397" w:rsidRPr="000D4C6A" w:rsidRDefault="00986A15" w:rsidP="000D4C6A">
            <w:pPr>
              <w:pStyle w:val="Normal1"/>
              <w:numPr>
                <w:ilvl w:val="0"/>
                <w:numId w:val="12"/>
              </w:numPr>
              <w:pBdr>
                <w:top w:val="nil"/>
                <w:left w:val="nil"/>
                <w:bottom w:val="nil"/>
                <w:right w:val="nil"/>
                <w:between w:val="nil"/>
              </w:pBdr>
              <w:spacing w:after="200" w:line="276" w:lineRule="auto"/>
              <w:contextualSpacing/>
              <w:jc w:val="both"/>
              <w:rPr>
                <w:rFonts w:eastAsia="Calibri"/>
                <w:i/>
              </w:rPr>
            </w:pPr>
            <w:r w:rsidRPr="000D4C6A">
              <w:rPr>
                <w:rFonts w:eastAsia="Calibri"/>
                <w:b/>
                <w:i/>
              </w:rPr>
              <w:t>Mix of targeting and mainstreaming</w:t>
            </w:r>
            <w:r w:rsidRPr="000D4C6A">
              <w:rPr>
                <w:rFonts w:eastAsia="Calibri"/>
                <w:i/>
              </w:rPr>
              <w:t xml:space="preserve"> </w:t>
            </w:r>
          </w:p>
          <w:p w14:paraId="2486E884" w14:textId="77777777" w:rsidR="00A45397" w:rsidRPr="000D4C6A" w:rsidRDefault="00986A15" w:rsidP="000D4C6A">
            <w:pPr>
              <w:pStyle w:val="Normal1"/>
              <w:jc w:val="both"/>
            </w:pPr>
            <w:r w:rsidRPr="000D4C6A">
              <w:rPr>
                <w:i/>
              </w:rPr>
              <w:t xml:space="preserve">How will the proposed project mix targeting and mainstreaming strategies </w:t>
            </w:r>
            <w:proofErr w:type="gramStart"/>
            <w:r w:rsidRPr="000D4C6A">
              <w:rPr>
                <w:i/>
              </w:rPr>
              <w:t>in order to</w:t>
            </w:r>
            <w:proofErr w:type="gramEnd"/>
            <w:r w:rsidRPr="000D4C6A">
              <w:rPr>
                <w:i/>
              </w:rPr>
              <w:t xml:space="preserve"> generate structural transformation?</w:t>
            </w:r>
          </w:p>
        </w:tc>
      </w:tr>
      <w:tr w:rsidR="000D4C6A" w:rsidRPr="000D4C6A" w14:paraId="53BBC5FD" w14:textId="77777777" w:rsidTr="00561177">
        <w:tc>
          <w:tcPr>
            <w:tcW w:w="9870" w:type="dxa"/>
            <w:tcBorders>
              <w:top w:val="single" w:sz="4" w:space="0" w:color="000000"/>
              <w:left w:val="single" w:sz="4" w:space="0" w:color="000000"/>
              <w:bottom w:val="single" w:sz="4" w:space="0" w:color="000000"/>
              <w:right w:val="single" w:sz="4" w:space="0" w:color="000000"/>
            </w:tcBorders>
          </w:tcPr>
          <w:p w14:paraId="2CC6C66E" w14:textId="77777777" w:rsidR="00A45397" w:rsidRPr="000D4C6A" w:rsidRDefault="00A45397" w:rsidP="000D4C6A">
            <w:pPr>
              <w:pStyle w:val="Normal1"/>
              <w:jc w:val="both"/>
            </w:pPr>
          </w:p>
          <w:p w14:paraId="60B729A6" w14:textId="77777777" w:rsidR="00A45397" w:rsidRPr="000D4C6A" w:rsidRDefault="00986A15" w:rsidP="000D4C6A">
            <w:pPr>
              <w:pStyle w:val="Normal1"/>
              <w:jc w:val="both"/>
            </w:pPr>
            <w:r w:rsidRPr="000D4C6A">
              <w:t>The Project will promote organisational and oversight capacities for groups of persons with disabilities, so that they may contribute to meeting their set objectives and continue working to guarantee their rights. There will also be a focus on strengthening relevant public policies for the social inclusion of persons with disabilities in the areas of education, employment and social participation. One of the areas of added value in this project is the creation of spaces for dialogue and coordination between the government and DPOs with a view to establishing partnerships.</w:t>
            </w:r>
          </w:p>
          <w:p w14:paraId="6DC5AE47" w14:textId="77777777" w:rsidR="00A45397" w:rsidRPr="000D4C6A" w:rsidRDefault="00A45397" w:rsidP="000D4C6A">
            <w:pPr>
              <w:pStyle w:val="Normal1"/>
              <w:jc w:val="both"/>
            </w:pPr>
          </w:p>
        </w:tc>
      </w:tr>
      <w:tr w:rsidR="000D4C6A" w:rsidRPr="000D4C6A" w14:paraId="4F06415C" w14:textId="77777777" w:rsidTr="00561177">
        <w:tc>
          <w:tcPr>
            <w:tcW w:w="9870" w:type="dxa"/>
            <w:tcBorders>
              <w:top w:val="single" w:sz="4" w:space="0" w:color="000000"/>
              <w:left w:val="single" w:sz="4" w:space="0" w:color="000000"/>
              <w:bottom w:val="single" w:sz="4" w:space="0" w:color="000000"/>
              <w:right w:val="single" w:sz="4" w:space="0" w:color="000000"/>
            </w:tcBorders>
            <w:shd w:val="clear" w:color="auto" w:fill="A6A6A6"/>
          </w:tcPr>
          <w:p w14:paraId="65A75FD6" w14:textId="77777777" w:rsidR="00AE2F82" w:rsidRPr="000D4C6A" w:rsidRDefault="00986A15" w:rsidP="00AE2F82">
            <w:pPr>
              <w:pStyle w:val="Normal1"/>
              <w:numPr>
                <w:ilvl w:val="0"/>
                <w:numId w:val="31"/>
              </w:numPr>
              <w:pBdr>
                <w:top w:val="nil"/>
                <w:left w:val="nil"/>
                <w:bottom w:val="nil"/>
                <w:right w:val="nil"/>
                <w:between w:val="nil"/>
              </w:pBdr>
              <w:spacing w:after="200" w:line="276" w:lineRule="auto"/>
              <w:contextualSpacing/>
              <w:jc w:val="both"/>
              <w:rPr>
                <w:rFonts w:eastAsia="Calibri"/>
                <w:i/>
              </w:rPr>
            </w:pPr>
            <w:r w:rsidRPr="000D4C6A">
              <w:rPr>
                <w:rFonts w:eastAsia="Calibri"/>
                <w:b/>
                <w:i/>
              </w:rPr>
              <w:t>Scalability</w:t>
            </w:r>
            <w:r w:rsidR="00AE2F82">
              <w:rPr>
                <w:rFonts w:eastAsia="Calibri"/>
                <w:b/>
                <w:i/>
              </w:rPr>
              <w:t xml:space="preserve"> </w:t>
            </w:r>
            <w:proofErr w:type="gramStart"/>
            <w:r w:rsidR="00AE2F82">
              <w:rPr>
                <w:rFonts w:eastAsia="Calibri"/>
                <w:b/>
                <w:i/>
              </w:rPr>
              <w:t xml:space="preserve">and </w:t>
            </w:r>
            <w:r w:rsidR="00AE2F82" w:rsidRPr="000D4C6A">
              <w:rPr>
                <w:rFonts w:eastAsia="Calibri"/>
                <w:b/>
                <w:i/>
              </w:rPr>
              <w:t xml:space="preserve"> Sustainability</w:t>
            </w:r>
            <w:proofErr w:type="gramEnd"/>
            <w:r w:rsidR="00AE2F82" w:rsidRPr="000D4C6A">
              <w:rPr>
                <w:rFonts w:eastAsia="Calibri"/>
                <w:b/>
                <w:i/>
              </w:rPr>
              <w:t xml:space="preserve"> </w:t>
            </w:r>
          </w:p>
          <w:p w14:paraId="61148848" w14:textId="77777777" w:rsidR="00B072CE" w:rsidRPr="00CB7399" w:rsidRDefault="00AE2F82" w:rsidP="00B90B3C">
            <w:pPr>
              <w:pStyle w:val="Normal1"/>
              <w:pBdr>
                <w:top w:val="nil"/>
                <w:left w:val="nil"/>
                <w:bottom w:val="nil"/>
                <w:right w:val="nil"/>
                <w:between w:val="nil"/>
              </w:pBdr>
              <w:spacing w:after="200" w:line="276" w:lineRule="auto"/>
              <w:ind w:left="360"/>
              <w:contextualSpacing/>
              <w:jc w:val="both"/>
              <w:rPr>
                <w:rFonts w:eastAsia="Calibri"/>
              </w:rPr>
            </w:pPr>
            <w:r>
              <w:rPr>
                <w:i/>
              </w:rPr>
              <w:t>Ho</w:t>
            </w:r>
            <w:r w:rsidRPr="000D4C6A">
              <w:rPr>
                <w:i/>
              </w:rPr>
              <w:t>w does the project intend to create the conditions for the long-term sustainability of the project results?</w:t>
            </w:r>
          </w:p>
          <w:p w14:paraId="6BBD0F71" w14:textId="77777777" w:rsidR="00A45397" w:rsidRPr="000D4C6A" w:rsidRDefault="00986A15" w:rsidP="000D4C6A">
            <w:pPr>
              <w:pStyle w:val="Normal1"/>
              <w:jc w:val="both"/>
              <w:rPr>
                <w:b/>
              </w:rPr>
            </w:pPr>
            <w:r w:rsidRPr="000D4C6A">
              <w:rPr>
                <w:i/>
              </w:rPr>
              <w:t>How will the project create the conditions for scalability of results and successful approaches tested through project activities?</w:t>
            </w:r>
          </w:p>
        </w:tc>
      </w:tr>
      <w:tr w:rsidR="000D4C6A" w:rsidRPr="000D4C6A" w14:paraId="112118E9" w14:textId="77777777" w:rsidTr="00561177">
        <w:tc>
          <w:tcPr>
            <w:tcW w:w="9870" w:type="dxa"/>
            <w:tcBorders>
              <w:top w:val="single" w:sz="4" w:space="0" w:color="000000"/>
              <w:bottom w:val="single" w:sz="4" w:space="0" w:color="000000"/>
            </w:tcBorders>
          </w:tcPr>
          <w:p w14:paraId="3E06420F" w14:textId="77777777" w:rsidR="00A45397" w:rsidRPr="000D4C6A" w:rsidRDefault="00686593" w:rsidP="000D4C6A">
            <w:pPr>
              <w:pStyle w:val="Normal1"/>
              <w:pBdr>
                <w:top w:val="nil"/>
                <w:left w:val="nil"/>
                <w:bottom w:val="nil"/>
                <w:right w:val="nil"/>
                <w:between w:val="nil"/>
              </w:pBdr>
              <w:spacing w:after="200"/>
              <w:jc w:val="both"/>
              <w:rPr>
                <w:rFonts w:eastAsia="Calibri"/>
              </w:rPr>
            </w:pPr>
            <w:r>
              <w:rPr>
                <w:rFonts w:eastAsia="Calibri"/>
              </w:rPr>
              <w:t xml:space="preserve"> This project aims to strengthen governments capacity to respond to the different issues addressed in the project’s components, however, future intervention might be done in specific geographical regions of the country according to national priorities. </w:t>
            </w:r>
          </w:p>
        </w:tc>
      </w:tr>
      <w:tr w:rsidR="000D4C6A" w:rsidRPr="000D4C6A" w14:paraId="58E159C6" w14:textId="77777777" w:rsidTr="00561177">
        <w:tc>
          <w:tcPr>
            <w:tcW w:w="9870" w:type="dxa"/>
            <w:tcBorders>
              <w:top w:val="single" w:sz="4" w:space="0" w:color="000000"/>
              <w:left w:val="single" w:sz="4" w:space="0" w:color="000000"/>
              <w:bottom w:val="single" w:sz="4" w:space="0" w:color="000000"/>
              <w:right w:val="single" w:sz="4" w:space="0" w:color="000000"/>
            </w:tcBorders>
            <w:shd w:val="clear" w:color="auto" w:fill="A6A6A6"/>
          </w:tcPr>
          <w:p w14:paraId="3DC565DB" w14:textId="77777777" w:rsidR="00A45397" w:rsidRPr="000D4C6A" w:rsidRDefault="00A45397" w:rsidP="000D4C6A">
            <w:pPr>
              <w:pStyle w:val="Normal1"/>
              <w:jc w:val="both"/>
            </w:pPr>
          </w:p>
        </w:tc>
      </w:tr>
      <w:tr w:rsidR="00A45397" w:rsidRPr="000D4C6A" w14:paraId="538711CF" w14:textId="77777777" w:rsidTr="00561177">
        <w:tc>
          <w:tcPr>
            <w:tcW w:w="9870" w:type="dxa"/>
            <w:tcBorders>
              <w:top w:val="single" w:sz="4" w:space="0" w:color="000000"/>
              <w:left w:val="single" w:sz="4" w:space="0" w:color="000000"/>
              <w:bottom w:val="single" w:sz="4" w:space="0" w:color="000000"/>
              <w:right w:val="single" w:sz="4" w:space="0" w:color="000000"/>
            </w:tcBorders>
          </w:tcPr>
          <w:p w14:paraId="583DEB40" w14:textId="77777777" w:rsidR="00A45397" w:rsidRPr="000D4C6A" w:rsidRDefault="00A45397" w:rsidP="000D4C6A">
            <w:pPr>
              <w:pStyle w:val="Normal1"/>
              <w:jc w:val="both"/>
            </w:pPr>
          </w:p>
          <w:p w14:paraId="5A76ECC9" w14:textId="77777777" w:rsidR="00A45397" w:rsidRPr="000D4C6A" w:rsidRDefault="00986A15" w:rsidP="000D4C6A">
            <w:pPr>
              <w:pStyle w:val="Normal1"/>
              <w:jc w:val="both"/>
            </w:pPr>
            <w:r w:rsidRPr="000D4C6A">
              <w:t>All project actions were designed purposely to be implemented by national institutions with the support of UN agencies. There will be a strong focus on policy, government and civil society capacity development to ensure ownership and sustainability of results, including resource allocation and use of tools and laws developed or influenced by the project. All partnerships brokered by the project will foster coordination across government sectors, DPOs and the UN System. It is expected that the project will be a catalyst to launch specific efforts regarding the disability targets of the 2030 Agenda, as well as the implementation of CRPD committee recommendations and UNDAF outcomes.</w:t>
            </w:r>
          </w:p>
          <w:p w14:paraId="1F66C27F" w14:textId="77777777" w:rsidR="008F0E31" w:rsidRPr="000D4C6A" w:rsidRDefault="008F0E31" w:rsidP="000D4C6A">
            <w:pPr>
              <w:pStyle w:val="Normal1"/>
              <w:jc w:val="both"/>
            </w:pPr>
          </w:p>
          <w:p w14:paraId="4440560E" w14:textId="77777777" w:rsidR="00244B2F" w:rsidRPr="000D4C6A" w:rsidRDefault="00244B2F" w:rsidP="000D4C6A">
            <w:pPr>
              <w:pStyle w:val="Normal1"/>
              <w:jc w:val="both"/>
            </w:pPr>
            <w:r w:rsidRPr="000D4C6A">
              <w:t>The Dominican Republic is committed, through the regulatory frameworks and a range of governmental plans (Development Strategy, Educational Pact, Presidential Goals to 2020, MINERD Strategic Plan 2017-2020), to</w:t>
            </w:r>
            <w:r w:rsidR="00E00AD9" w:rsidRPr="000D4C6A">
              <w:t xml:space="preserve"> supporting the vulnerable population, specifically </w:t>
            </w:r>
            <w:r w:rsidRPr="000D4C6A">
              <w:t>students with disabilities</w:t>
            </w:r>
            <w:r w:rsidR="00E00AD9" w:rsidRPr="000D4C6A">
              <w:t>,</w:t>
            </w:r>
            <w:r w:rsidRPr="000D4C6A">
              <w:t xml:space="preserve"> and to ensuring, as established by the Convention on People with Disabilities, their right to a quality, inclusive education.</w:t>
            </w:r>
          </w:p>
          <w:p w14:paraId="733241B5" w14:textId="77777777" w:rsidR="008F0E31" w:rsidRPr="000D4C6A" w:rsidRDefault="008F0E31" w:rsidP="000D4C6A">
            <w:pPr>
              <w:pStyle w:val="Normal1"/>
              <w:jc w:val="both"/>
            </w:pPr>
          </w:p>
          <w:p w14:paraId="6A0FA8CC" w14:textId="77777777" w:rsidR="00244B2F" w:rsidRPr="000D4C6A" w:rsidRDefault="00244B2F" w:rsidP="000D4C6A">
            <w:pPr>
              <w:pStyle w:val="Normal1"/>
              <w:jc w:val="both"/>
            </w:pPr>
            <w:r w:rsidRPr="000D4C6A">
              <w:t>As part of this commitment, the Ministry of Education, since 2002, has the Olga Estrella Nati</w:t>
            </w:r>
            <w:r w:rsidR="00B81EA4" w:rsidRPr="000D4C6A">
              <w:t>onal Visual Disability Resource</w:t>
            </w:r>
            <w:r w:rsidRPr="000D4C6A">
              <w:t xml:space="preserve"> Centre, which designs, transcribes and prints materials in Braille (as well as other resources for students with impaired vision) to guarantee public accessibility to curricular contents.</w:t>
            </w:r>
          </w:p>
          <w:p w14:paraId="75CB979C" w14:textId="77777777" w:rsidR="008F0E31" w:rsidRPr="000D4C6A" w:rsidRDefault="008F0E31" w:rsidP="000D4C6A">
            <w:pPr>
              <w:pStyle w:val="Normal1"/>
              <w:jc w:val="both"/>
            </w:pPr>
          </w:p>
          <w:p w14:paraId="1E844564" w14:textId="77777777" w:rsidR="008F0E31" w:rsidRPr="000D4C6A" w:rsidRDefault="00244B2F" w:rsidP="000D4C6A">
            <w:pPr>
              <w:pStyle w:val="Normal1"/>
              <w:jc w:val="both"/>
            </w:pPr>
            <w:r w:rsidRPr="000D4C6A">
              <w:t xml:space="preserve">This model for </w:t>
            </w:r>
            <w:r w:rsidR="00C54DDE" w:rsidRPr="000D4C6A">
              <w:t>supporting</w:t>
            </w:r>
            <w:r w:rsidRPr="000D4C6A">
              <w:t xml:space="preserve"> the visually impaired population has proved effective in guaranteeing that students with disability can carry out their studies at the country’s public and private schools. Given this situation, </w:t>
            </w:r>
            <w:r w:rsidR="008F0E31" w:rsidRPr="000D4C6A">
              <w:t>in its 2017-2020 Strategic Plan</w:t>
            </w:r>
            <w:r w:rsidRPr="000D4C6A">
              <w:t xml:space="preserve"> the Ministry of Education agreed to extend the services offered at this centre to other disabilities.</w:t>
            </w:r>
          </w:p>
          <w:p w14:paraId="5366E1C5" w14:textId="77777777" w:rsidR="008F0E31" w:rsidRPr="000D4C6A" w:rsidRDefault="008F0E31" w:rsidP="000D4C6A">
            <w:pPr>
              <w:pStyle w:val="Normal1"/>
              <w:jc w:val="both"/>
            </w:pPr>
          </w:p>
          <w:p w14:paraId="2CF0379B" w14:textId="77777777" w:rsidR="00244B2F" w:rsidRPr="000D4C6A" w:rsidRDefault="00244B2F" w:rsidP="000D4C6A">
            <w:pPr>
              <w:pStyle w:val="Normal1"/>
              <w:jc w:val="both"/>
            </w:pPr>
            <w:r w:rsidRPr="000D4C6A">
              <w:t>In the framework of this project, with UNICEF’s support, the Ministry of Education will extend the Olga Estrella Nati</w:t>
            </w:r>
            <w:r w:rsidR="00B81EA4" w:rsidRPr="000D4C6A">
              <w:t>onal Visual Disability Resource</w:t>
            </w:r>
            <w:r w:rsidRPr="000D4C6A">
              <w:t xml:space="preserve"> Centre and convert it into a National Centre for Educational Inclusion of children and adolescents with disabilities, with an initial emphasis on the extension of services to the population with intellectual disabilities, as it is one of the most excluded groups. </w:t>
            </w:r>
            <w:proofErr w:type="gramStart"/>
            <w:r w:rsidRPr="000D4C6A">
              <w:t>In order to</w:t>
            </w:r>
            <w:proofErr w:type="gramEnd"/>
            <w:r w:rsidRPr="000D4C6A">
              <w:t xml:space="preserve"> achieve this, the MINERD technical team in the country needs to be strengthened in specific response tools.</w:t>
            </w:r>
          </w:p>
          <w:p w14:paraId="16920483" w14:textId="77777777" w:rsidR="00B76BD0" w:rsidRPr="000D4C6A" w:rsidRDefault="00B76BD0" w:rsidP="000D4C6A">
            <w:pPr>
              <w:pStyle w:val="Normal1"/>
              <w:jc w:val="both"/>
            </w:pPr>
          </w:p>
          <w:p w14:paraId="7AC3C8D6" w14:textId="77777777" w:rsidR="00B76BD0" w:rsidRPr="000D4C6A" w:rsidRDefault="00244B2F" w:rsidP="000D4C6A">
            <w:pPr>
              <w:pStyle w:val="Normal1"/>
              <w:jc w:val="both"/>
            </w:pPr>
            <w:r w:rsidRPr="000D4C6A">
              <w:t>At present, MINERD has been assigned funds for modifying the infrastructure, paying human resources and the possibility of inserting this extension of services into new legislation (Departmental Order) to ensure its sustainability.</w:t>
            </w:r>
          </w:p>
          <w:p w14:paraId="43FCC33C" w14:textId="77777777" w:rsidR="00B76BD0" w:rsidRPr="000D4C6A" w:rsidRDefault="00B76BD0" w:rsidP="000D4C6A">
            <w:pPr>
              <w:pStyle w:val="Normal1"/>
              <w:jc w:val="both"/>
            </w:pPr>
          </w:p>
          <w:p w14:paraId="52DABAA0" w14:textId="77777777" w:rsidR="00244B2F" w:rsidRPr="000D4C6A" w:rsidRDefault="00244B2F" w:rsidP="000D4C6A">
            <w:pPr>
              <w:pStyle w:val="Normal1"/>
              <w:jc w:val="both"/>
            </w:pPr>
            <w:r w:rsidRPr="000D4C6A">
              <w:t>As well as government funding, the Centre will continue to receive technical and financial support from FOAL for educational inclusion for visually disabled students. Under this care model, 500 children and adolescents with visual disabilities are currently receiving inclusive education, with appropriate teaching reso</w:t>
            </w:r>
            <w:r w:rsidR="00B81EA4" w:rsidRPr="000D4C6A">
              <w:t>urces and support from itinerant</w:t>
            </w:r>
            <w:r w:rsidRPr="000D4C6A">
              <w:t xml:space="preserve"> teachers who support their teachers. The teaching staff </w:t>
            </w:r>
            <w:r w:rsidR="008F0E31" w:rsidRPr="000D4C6A">
              <w:t>in the resource centre is made up of</w:t>
            </w:r>
            <w:r w:rsidR="00B81EA4" w:rsidRPr="000D4C6A">
              <w:t xml:space="preserve"> 42 itinerant</w:t>
            </w:r>
            <w:r w:rsidRPr="000D4C6A">
              <w:t xml:space="preserve"> teachers and 27 who are based at the centre, as well as the administrative staff.</w:t>
            </w:r>
          </w:p>
          <w:p w14:paraId="2C366032" w14:textId="77777777" w:rsidR="00B76BD0" w:rsidRPr="000D4C6A" w:rsidRDefault="00B76BD0" w:rsidP="000D4C6A">
            <w:pPr>
              <w:pStyle w:val="Normal1"/>
              <w:jc w:val="both"/>
            </w:pPr>
          </w:p>
          <w:p w14:paraId="3D15305C" w14:textId="77777777" w:rsidR="00A45397" w:rsidRPr="000D4C6A" w:rsidRDefault="00244B2F" w:rsidP="000D4C6A">
            <w:pPr>
              <w:pStyle w:val="Normal1"/>
              <w:jc w:val="both"/>
            </w:pPr>
            <w:bookmarkStart w:id="2" w:name="_Hlk528661796"/>
            <w:r w:rsidRPr="000D4C6A">
              <w:t>The sustainability of the proposal made with a view to developing the disability assessment system and the design of individual development programmes based on the independent living philosophy is supported by the involvement of key actors and the institutionalisation of the project within the national programmes</w:t>
            </w:r>
            <w:bookmarkEnd w:id="2"/>
            <w:r w:rsidRPr="000D4C6A">
              <w:t>. CONADIS has already incorporated these programmes as part of its contributions to vulnerable populations, which with the help of this project will become strengthened when the other disabilities are tackled. Likewise, the development of a disability assessment system is an output that CONADIS proposed two years ago and which PAHO/WHO made a commitment to supporting.</w:t>
            </w:r>
          </w:p>
          <w:p w14:paraId="70ED1D39" w14:textId="77777777" w:rsidR="00A45397" w:rsidRPr="000D4C6A" w:rsidRDefault="00A45397" w:rsidP="000D4C6A">
            <w:pPr>
              <w:pStyle w:val="Normal1"/>
              <w:jc w:val="both"/>
            </w:pPr>
          </w:p>
        </w:tc>
      </w:tr>
    </w:tbl>
    <w:p w14:paraId="7FC32702" w14:textId="77777777" w:rsidR="00A45397" w:rsidRPr="000D4C6A" w:rsidRDefault="00A45397" w:rsidP="000D4C6A">
      <w:pPr>
        <w:pStyle w:val="Normal1"/>
        <w:jc w:val="both"/>
        <w:rPr>
          <w:i/>
        </w:rPr>
      </w:pPr>
    </w:p>
    <w:p w14:paraId="7CBC7EBE" w14:textId="77777777" w:rsidR="00A45397" w:rsidRPr="000D4C6A" w:rsidRDefault="00986A15" w:rsidP="000D4C6A">
      <w:pPr>
        <w:pStyle w:val="Normal1"/>
        <w:jc w:val="both"/>
        <w:rPr>
          <w:b/>
        </w:rPr>
      </w:pPr>
      <w:r w:rsidRPr="000D4C6A">
        <w:rPr>
          <w:b/>
        </w:rPr>
        <w:t>Table 1.1</w:t>
      </w:r>
    </w:p>
    <w:p w14:paraId="66574B83" w14:textId="77777777" w:rsidR="00A45397" w:rsidRPr="000D4C6A" w:rsidRDefault="00986A15" w:rsidP="000D4C6A">
      <w:pPr>
        <w:pStyle w:val="Normal1"/>
        <w:jc w:val="both"/>
      </w:pPr>
      <w:r w:rsidRPr="000D4C6A">
        <w:rPr>
          <w:b/>
        </w:rPr>
        <w:t xml:space="preserve">Risk Management Strategy </w:t>
      </w:r>
    </w:p>
    <w:p w14:paraId="3DF8D09C" w14:textId="77777777" w:rsidR="00A45397" w:rsidRPr="000D4C6A" w:rsidRDefault="00A45397" w:rsidP="000D4C6A">
      <w:pPr>
        <w:pStyle w:val="Normal1"/>
        <w:jc w:val="both"/>
      </w:pPr>
    </w:p>
    <w:tbl>
      <w:tblPr>
        <w:tblStyle w:val="a3"/>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02"/>
        <w:gridCol w:w="1988"/>
        <w:gridCol w:w="1228"/>
        <w:gridCol w:w="1728"/>
        <w:gridCol w:w="1943"/>
        <w:gridCol w:w="1486"/>
      </w:tblGrid>
      <w:tr w:rsidR="00D63578" w14:paraId="6F41F07A" w14:textId="77777777" w:rsidTr="00561177">
        <w:tc>
          <w:tcPr>
            <w:tcW w:w="1502" w:type="dxa"/>
            <w:shd w:val="clear" w:color="auto" w:fill="A6A6A6"/>
          </w:tcPr>
          <w:p w14:paraId="0D67B95B" w14:textId="77777777" w:rsidR="00D63578" w:rsidRPr="00A45397" w:rsidRDefault="00D63578" w:rsidP="00977CBF">
            <w:pPr>
              <w:pStyle w:val="Normal1"/>
              <w:jc w:val="both"/>
            </w:pPr>
            <w:r>
              <w:rPr>
                <w:b/>
                <w:i/>
                <w:color w:val="FFFFFF"/>
                <w:sz w:val="20"/>
                <w:szCs w:val="20"/>
              </w:rPr>
              <w:t>Type of risk*</w:t>
            </w:r>
          </w:p>
          <w:p w14:paraId="5F3E92E0" w14:textId="77777777" w:rsidR="00D63578" w:rsidRPr="00A45397" w:rsidRDefault="00D63578" w:rsidP="00977CBF">
            <w:pPr>
              <w:pStyle w:val="Normal1"/>
              <w:jc w:val="both"/>
            </w:pPr>
            <w:r>
              <w:rPr>
                <w:b/>
                <w:i/>
                <w:color w:val="FFFFFF"/>
                <w:sz w:val="20"/>
                <w:szCs w:val="20"/>
              </w:rPr>
              <w:t>(contextual</w:t>
            </w:r>
          </w:p>
          <w:p w14:paraId="7E958BC4" w14:textId="77777777" w:rsidR="00D63578" w:rsidRDefault="00D63578" w:rsidP="00977CBF">
            <w:pPr>
              <w:pStyle w:val="Normal1"/>
              <w:jc w:val="both"/>
              <w:rPr>
                <w:i/>
                <w:sz w:val="20"/>
                <w:szCs w:val="20"/>
              </w:rPr>
            </w:pPr>
            <w:r>
              <w:rPr>
                <w:b/>
                <w:i/>
                <w:color w:val="FFFFFF"/>
                <w:sz w:val="20"/>
                <w:szCs w:val="20"/>
              </w:rPr>
              <w:t>programmatic, institutional)</w:t>
            </w:r>
          </w:p>
        </w:tc>
        <w:tc>
          <w:tcPr>
            <w:tcW w:w="1988" w:type="dxa"/>
            <w:shd w:val="clear" w:color="auto" w:fill="A6A6A6"/>
          </w:tcPr>
          <w:p w14:paraId="4A1FC9BA" w14:textId="77777777" w:rsidR="00D63578" w:rsidRDefault="00D63578" w:rsidP="00977CBF">
            <w:pPr>
              <w:pStyle w:val="Normal1"/>
              <w:jc w:val="center"/>
              <w:rPr>
                <w:b/>
                <w:i/>
                <w:sz w:val="20"/>
                <w:szCs w:val="20"/>
              </w:rPr>
            </w:pPr>
            <w:r>
              <w:rPr>
                <w:b/>
                <w:i/>
                <w:color w:val="FFFFFF"/>
                <w:sz w:val="20"/>
                <w:szCs w:val="20"/>
              </w:rPr>
              <w:t>Risk</w:t>
            </w:r>
          </w:p>
        </w:tc>
        <w:tc>
          <w:tcPr>
            <w:tcW w:w="1228" w:type="dxa"/>
            <w:shd w:val="clear" w:color="auto" w:fill="A6A6A6"/>
          </w:tcPr>
          <w:p w14:paraId="408AB139" w14:textId="77777777" w:rsidR="00D63578" w:rsidRDefault="00D63578" w:rsidP="00977CBF">
            <w:pPr>
              <w:pStyle w:val="Normal1"/>
              <w:jc w:val="both"/>
              <w:rPr>
                <w:b/>
                <w:i/>
                <w:sz w:val="20"/>
                <w:szCs w:val="20"/>
              </w:rPr>
            </w:pPr>
            <w:r>
              <w:rPr>
                <w:b/>
                <w:i/>
                <w:color w:val="FFFFFF"/>
                <w:sz w:val="20"/>
                <w:szCs w:val="20"/>
              </w:rPr>
              <w:t>Likelihood (L, M, H)</w:t>
            </w:r>
          </w:p>
        </w:tc>
        <w:tc>
          <w:tcPr>
            <w:tcW w:w="1728" w:type="dxa"/>
            <w:shd w:val="clear" w:color="auto" w:fill="A6A6A6"/>
          </w:tcPr>
          <w:p w14:paraId="23BDAA94" w14:textId="77777777" w:rsidR="00D63578" w:rsidRDefault="00D63578" w:rsidP="00977CBF">
            <w:pPr>
              <w:pStyle w:val="Normal1"/>
              <w:jc w:val="both"/>
              <w:rPr>
                <w:i/>
                <w:sz w:val="20"/>
                <w:szCs w:val="20"/>
              </w:rPr>
            </w:pPr>
            <w:r>
              <w:rPr>
                <w:b/>
                <w:i/>
                <w:color w:val="FFFFFF"/>
                <w:sz w:val="20"/>
                <w:szCs w:val="20"/>
              </w:rPr>
              <w:t>Impact on result</w:t>
            </w:r>
          </w:p>
        </w:tc>
        <w:tc>
          <w:tcPr>
            <w:tcW w:w="1943" w:type="dxa"/>
            <w:shd w:val="clear" w:color="auto" w:fill="A6A6A6"/>
          </w:tcPr>
          <w:p w14:paraId="3E45C58F" w14:textId="77777777" w:rsidR="00D63578" w:rsidRDefault="00D63578" w:rsidP="00977CBF">
            <w:pPr>
              <w:pStyle w:val="Normal1"/>
              <w:jc w:val="both"/>
              <w:rPr>
                <w:i/>
                <w:sz w:val="20"/>
                <w:szCs w:val="20"/>
              </w:rPr>
            </w:pPr>
            <w:r>
              <w:rPr>
                <w:b/>
                <w:i/>
                <w:color w:val="FFFFFF"/>
                <w:sz w:val="20"/>
                <w:szCs w:val="20"/>
              </w:rPr>
              <w:t>Mitigation strategies</w:t>
            </w:r>
          </w:p>
        </w:tc>
        <w:tc>
          <w:tcPr>
            <w:tcW w:w="1486" w:type="dxa"/>
            <w:shd w:val="clear" w:color="auto" w:fill="A6A6A6"/>
          </w:tcPr>
          <w:p w14:paraId="15B8D7F8" w14:textId="77777777" w:rsidR="00D63578" w:rsidRDefault="00D63578" w:rsidP="00977CBF">
            <w:pPr>
              <w:pStyle w:val="Normal1"/>
              <w:jc w:val="both"/>
              <w:rPr>
                <w:i/>
                <w:sz w:val="20"/>
                <w:szCs w:val="20"/>
              </w:rPr>
            </w:pPr>
            <w:r>
              <w:rPr>
                <w:b/>
                <w:i/>
                <w:color w:val="FFFFFF"/>
                <w:sz w:val="20"/>
                <w:szCs w:val="20"/>
              </w:rPr>
              <w:t>Risk treatment owners</w:t>
            </w:r>
          </w:p>
        </w:tc>
      </w:tr>
      <w:tr w:rsidR="00D63578" w14:paraId="664BEFD9" w14:textId="77777777" w:rsidTr="00561177">
        <w:tc>
          <w:tcPr>
            <w:tcW w:w="1502" w:type="dxa"/>
          </w:tcPr>
          <w:p w14:paraId="4FB358AD" w14:textId="77777777" w:rsidR="00D63578" w:rsidRDefault="00D63578" w:rsidP="00977CBF">
            <w:pPr>
              <w:pStyle w:val="Normal1"/>
              <w:jc w:val="both"/>
              <w:rPr>
                <w:i/>
                <w:sz w:val="18"/>
                <w:szCs w:val="18"/>
              </w:rPr>
            </w:pPr>
          </w:p>
          <w:p w14:paraId="2E5DD577" w14:textId="77777777" w:rsidR="00D63578" w:rsidRDefault="00D63578" w:rsidP="00977CBF">
            <w:pPr>
              <w:pStyle w:val="Normal1"/>
              <w:jc w:val="both"/>
              <w:rPr>
                <w:i/>
                <w:sz w:val="18"/>
                <w:szCs w:val="18"/>
              </w:rPr>
            </w:pPr>
            <w:r>
              <w:rPr>
                <w:i/>
                <w:sz w:val="18"/>
                <w:szCs w:val="18"/>
              </w:rPr>
              <w:t xml:space="preserve">Programmatic </w:t>
            </w:r>
          </w:p>
        </w:tc>
        <w:tc>
          <w:tcPr>
            <w:tcW w:w="1988" w:type="dxa"/>
          </w:tcPr>
          <w:p w14:paraId="60D3104B" w14:textId="77777777" w:rsidR="00D63578" w:rsidRDefault="00D63578" w:rsidP="00977CBF">
            <w:pPr>
              <w:pStyle w:val="Normal1"/>
              <w:rPr>
                <w:sz w:val="20"/>
                <w:szCs w:val="20"/>
              </w:rPr>
            </w:pPr>
          </w:p>
          <w:p w14:paraId="1C24F3D3" w14:textId="77777777" w:rsidR="00D63578" w:rsidRDefault="00D63578" w:rsidP="00977CBF">
            <w:pPr>
              <w:pStyle w:val="Normal1"/>
              <w:rPr>
                <w:sz w:val="20"/>
                <w:szCs w:val="20"/>
              </w:rPr>
            </w:pPr>
            <w:r>
              <w:rPr>
                <w:sz w:val="20"/>
                <w:szCs w:val="20"/>
              </w:rPr>
              <w:t>Mainstream schools oppose the provision of inclusive educational services to children with disabilities</w:t>
            </w:r>
          </w:p>
          <w:p w14:paraId="50AAB2AE" w14:textId="77777777" w:rsidR="00D63578" w:rsidRDefault="00D63578" w:rsidP="00977CBF">
            <w:pPr>
              <w:pStyle w:val="Normal1"/>
              <w:rPr>
                <w:b/>
                <w:sz w:val="20"/>
                <w:szCs w:val="20"/>
              </w:rPr>
            </w:pPr>
          </w:p>
          <w:p w14:paraId="3F958C8F" w14:textId="77777777" w:rsidR="00D63578" w:rsidRDefault="00D63578" w:rsidP="00977CBF">
            <w:pPr>
              <w:pStyle w:val="Normal1"/>
              <w:rPr>
                <w:b/>
                <w:sz w:val="20"/>
                <w:szCs w:val="20"/>
              </w:rPr>
            </w:pPr>
          </w:p>
        </w:tc>
        <w:tc>
          <w:tcPr>
            <w:tcW w:w="1228" w:type="dxa"/>
          </w:tcPr>
          <w:p w14:paraId="673E3180" w14:textId="77777777" w:rsidR="00D63578" w:rsidRDefault="00D63578" w:rsidP="00977CBF">
            <w:pPr>
              <w:pStyle w:val="Normal1"/>
              <w:rPr>
                <w:sz w:val="20"/>
                <w:szCs w:val="20"/>
              </w:rPr>
            </w:pPr>
            <w:r>
              <w:rPr>
                <w:sz w:val="20"/>
                <w:szCs w:val="20"/>
              </w:rPr>
              <w:t>M</w:t>
            </w:r>
          </w:p>
        </w:tc>
        <w:tc>
          <w:tcPr>
            <w:tcW w:w="1728" w:type="dxa"/>
          </w:tcPr>
          <w:p w14:paraId="57FDD663" w14:textId="77777777" w:rsidR="00D63578" w:rsidRDefault="00D63578" w:rsidP="00977CBF">
            <w:pPr>
              <w:pStyle w:val="Normal1"/>
              <w:rPr>
                <w:sz w:val="20"/>
                <w:szCs w:val="20"/>
              </w:rPr>
            </w:pPr>
          </w:p>
          <w:p w14:paraId="40167A78" w14:textId="77777777" w:rsidR="00D63578" w:rsidRDefault="00D63578" w:rsidP="00977CBF">
            <w:pPr>
              <w:pStyle w:val="Normal1"/>
              <w:rPr>
                <w:sz w:val="20"/>
                <w:szCs w:val="20"/>
              </w:rPr>
            </w:pPr>
            <w:r>
              <w:rPr>
                <w:sz w:val="20"/>
                <w:szCs w:val="20"/>
              </w:rPr>
              <w:t xml:space="preserve">Reduced number of children who access quality and inclusive education </w:t>
            </w:r>
          </w:p>
          <w:p w14:paraId="396513A7" w14:textId="77777777" w:rsidR="00D63578" w:rsidRDefault="00D63578" w:rsidP="00977CBF">
            <w:pPr>
              <w:pStyle w:val="Normal1"/>
              <w:rPr>
                <w:sz w:val="20"/>
                <w:szCs w:val="20"/>
              </w:rPr>
            </w:pPr>
          </w:p>
        </w:tc>
        <w:tc>
          <w:tcPr>
            <w:tcW w:w="1943" w:type="dxa"/>
          </w:tcPr>
          <w:p w14:paraId="75AFC123" w14:textId="77777777" w:rsidR="00D63578" w:rsidRDefault="00D63578" w:rsidP="00977CBF">
            <w:pPr>
              <w:pStyle w:val="Normal1"/>
              <w:rPr>
                <w:sz w:val="20"/>
                <w:szCs w:val="20"/>
              </w:rPr>
            </w:pPr>
            <w:r>
              <w:rPr>
                <w:sz w:val="20"/>
                <w:szCs w:val="20"/>
              </w:rPr>
              <w:t>Advocacy to reduce stigma and discrimination, with an emphasis on schools that exhibit greatest opposition to educational inclusion.</w:t>
            </w:r>
          </w:p>
        </w:tc>
        <w:tc>
          <w:tcPr>
            <w:tcW w:w="1486" w:type="dxa"/>
          </w:tcPr>
          <w:p w14:paraId="729142E3" w14:textId="77777777" w:rsidR="00D63578" w:rsidRDefault="00D63578" w:rsidP="00977CBF">
            <w:pPr>
              <w:pStyle w:val="Normal1"/>
              <w:rPr>
                <w:sz w:val="20"/>
                <w:szCs w:val="20"/>
              </w:rPr>
            </w:pPr>
          </w:p>
          <w:p w14:paraId="49C00350" w14:textId="77777777" w:rsidR="00D63578" w:rsidRDefault="00D63578" w:rsidP="00977CBF">
            <w:pPr>
              <w:pStyle w:val="Normal1"/>
              <w:rPr>
                <w:sz w:val="20"/>
                <w:szCs w:val="20"/>
              </w:rPr>
            </w:pPr>
            <w:r>
              <w:rPr>
                <w:sz w:val="20"/>
                <w:szCs w:val="20"/>
              </w:rPr>
              <w:t xml:space="preserve">School principals and teachers, families of children without disabilities </w:t>
            </w:r>
          </w:p>
        </w:tc>
      </w:tr>
      <w:tr w:rsidR="00D63578" w14:paraId="2C063951" w14:textId="77777777" w:rsidTr="00561177">
        <w:tc>
          <w:tcPr>
            <w:tcW w:w="1502" w:type="dxa"/>
          </w:tcPr>
          <w:p w14:paraId="0A3D453B" w14:textId="77777777" w:rsidR="00D63578" w:rsidRDefault="00D63578" w:rsidP="00977CBF">
            <w:pPr>
              <w:pStyle w:val="Normal1"/>
              <w:jc w:val="both"/>
              <w:rPr>
                <w:i/>
                <w:sz w:val="18"/>
                <w:szCs w:val="18"/>
              </w:rPr>
            </w:pPr>
          </w:p>
          <w:p w14:paraId="6B95A366" w14:textId="77777777" w:rsidR="00D63578" w:rsidRDefault="00D63578" w:rsidP="00977CBF">
            <w:pPr>
              <w:pStyle w:val="Normal1"/>
              <w:jc w:val="both"/>
              <w:rPr>
                <w:i/>
                <w:sz w:val="18"/>
                <w:szCs w:val="18"/>
              </w:rPr>
            </w:pPr>
            <w:r>
              <w:rPr>
                <w:i/>
                <w:sz w:val="18"/>
                <w:szCs w:val="18"/>
              </w:rPr>
              <w:t>Programmatic</w:t>
            </w:r>
          </w:p>
        </w:tc>
        <w:tc>
          <w:tcPr>
            <w:tcW w:w="1988" w:type="dxa"/>
          </w:tcPr>
          <w:p w14:paraId="66AA7E62" w14:textId="77777777" w:rsidR="00D63578" w:rsidRDefault="00D63578" w:rsidP="00977CBF">
            <w:pPr>
              <w:pStyle w:val="Normal1"/>
              <w:rPr>
                <w:sz w:val="20"/>
                <w:szCs w:val="20"/>
              </w:rPr>
            </w:pPr>
          </w:p>
          <w:p w14:paraId="35BF5908" w14:textId="77777777" w:rsidR="00D63578" w:rsidRDefault="00D63578" w:rsidP="00977CBF">
            <w:pPr>
              <w:pStyle w:val="Normal1"/>
              <w:rPr>
                <w:sz w:val="20"/>
                <w:szCs w:val="20"/>
              </w:rPr>
            </w:pPr>
            <w:r>
              <w:rPr>
                <w:sz w:val="20"/>
                <w:szCs w:val="20"/>
              </w:rPr>
              <w:t>The Ministry of Education does not deliver on school infrastructure adaptation for accessibility.</w:t>
            </w:r>
          </w:p>
          <w:p w14:paraId="08C7632C" w14:textId="77777777" w:rsidR="00D63578" w:rsidRDefault="00D63578" w:rsidP="00977CBF">
            <w:pPr>
              <w:pStyle w:val="Normal1"/>
              <w:rPr>
                <w:b/>
                <w:sz w:val="20"/>
                <w:szCs w:val="20"/>
              </w:rPr>
            </w:pPr>
          </w:p>
        </w:tc>
        <w:tc>
          <w:tcPr>
            <w:tcW w:w="1228" w:type="dxa"/>
          </w:tcPr>
          <w:p w14:paraId="64344B99" w14:textId="77777777" w:rsidR="00D63578" w:rsidRDefault="00D63578" w:rsidP="00977CBF">
            <w:pPr>
              <w:pStyle w:val="Normal1"/>
              <w:rPr>
                <w:sz w:val="20"/>
                <w:szCs w:val="20"/>
              </w:rPr>
            </w:pPr>
            <w:r>
              <w:rPr>
                <w:sz w:val="20"/>
                <w:szCs w:val="20"/>
              </w:rPr>
              <w:t>M</w:t>
            </w:r>
          </w:p>
        </w:tc>
        <w:tc>
          <w:tcPr>
            <w:tcW w:w="1728" w:type="dxa"/>
          </w:tcPr>
          <w:p w14:paraId="45452AC3" w14:textId="77777777" w:rsidR="00D63578" w:rsidRDefault="00D63578" w:rsidP="00977CBF">
            <w:pPr>
              <w:pStyle w:val="Normal1"/>
              <w:rPr>
                <w:sz w:val="20"/>
                <w:szCs w:val="20"/>
              </w:rPr>
            </w:pPr>
          </w:p>
          <w:p w14:paraId="09865030" w14:textId="77777777" w:rsidR="00D63578" w:rsidRDefault="00D63578" w:rsidP="00977CBF">
            <w:pPr>
              <w:pStyle w:val="Normal1"/>
              <w:rPr>
                <w:sz w:val="20"/>
                <w:szCs w:val="20"/>
              </w:rPr>
            </w:pPr>
            <w:r>
              <w:rPr>
                <w:sz w:val="20"/>
                <w:szCs w:val="20"/>
              </w:rPr>
              <w:t>Reduced number of children fully participate in school due to physical barriers</w:t>
            </w:r>
          </w:p>
        </w:tc>
        <w:tc>
          <w:tcPr>
            <w:tcW w:w="1943" w:type="dxa"/>
          </w:tcPr>
          <w:p w14:paraId="00BEF0A6" w14:textId="77777777" w:rsidR="00D63578" w:rsidRDefault="00D63578" w:rsidP="00977CBF">
            <w:pPr>
              <w:pStyle w:val="Normal1"/>
              <w:rPr>
                <w:sz w:val="20"/>
                <w:szCs w:val="20"/>
              </w:rPr>
            </w:pPr>
          </w:p>
          <w:p w14:paraId="3822AE0D" w14:textId="77777777" w:rsidR="00D63578" w:rsidRDefault="00D63578" w:rsidP="00977CBF">
            <w:pPr>
              <w:pStyle w:val="Normal1"/>
              <w:rPr>
                <w:sz w:val="20"/>
                <w:szCs w:val="20"/>
              </w:rPr>
            </w:pPr>
            <w:r>
              <w:rPr>
                <w:sz w:val="20"/>
                <w:szCs w:val="20"/>
              </w:rPr>
              <w:t>Political influencing/advocacy</w:t>
            </w:r>
          </w:p>
          <w:p w14:paraId="257C06D6" w14:textId="77777777" w:rsidR="00D63578" w:rsidRDefault="00D63578" w:rsidP="00977CBF">
            <w:pPr>
              <w:pStyle w:val="Normal1"/>
              <w:rPr>
                <w:sz w:val="20"/>
                <w:szCs w:val="20"/>
              </w:rPr>
            </w:pPr>
          </w:p>
          <w:p w14:paraId="221F0414" w14:textId="77777777" w:rsidR="00D63578" w:rsidRDefault="00D63578" w:rsidP="00977CBF">
            <w:pPr>
              <w:pStyle w:val="Normal1"/>
              <w:rPr>
                <w:sz w:val="20"/>
                <w:szCs w:val="20"/>
              </w:rPr>
            </w:pPr>
          </w:p>
        </w:tc>
        <w:tc>
          <w:tcPr>
            <w:tcW w:w="1486" w:type="dxa"/>
          </w:tcPr>
          <w:p w14:paraId="1AEC3FEB" w14:textId="77777777" w:rsidR="00D63578" w:rsidRDefault="00D63578" w:rsidP="00977CBF">
            <w:pPr>
              <w:pStyle w:val="Normal1"/>
              <w:rPr>
                <w:sz w:val="20"/>
                <w:szCs w:val="20"/>
              </w:rPr>
            </w:pPr>
          </w:p>
          <w:p w14:paraId="745CED3D" w14:textId="77777777" w:rsidR="00D63578" w:rsidRDefault="00D63578" w:rsidP="00977CBF">
            <w:pPr>
              <w:pStyle w:val="Normal1"/>
              <w:rPr>
                <w:sz w:val="20"/>
                <w:szCs w:val="20"/>
              </w:rPr>
            </w:pPr>
            <w:r>
              <w:rPr>
                <w:sz w:val="20"/>
                <w:szCs w:val="20"/>
              </w:rPr>
              <w:t xml:space="preserve">Ministry of Education </w:t>
            </w:r>
          </w:p>
        </w:tc>
      </w:tr>
      <w:tr w:rsidR="00D63578" w14:paraId="6534646B" w14:textId="77777777" w:rsidTr="00561177">
        <w:tc>
          <w:tcPr>
            <w:tcW w:w="1502" w:type="dxa"/>
          </w:tcPr>
          <w:p w14:paraId="05D1B185" w14:textId="77777777" w:rsidR="00D63578" w:rsidRDefault="00D63578" w:rsidP="00977CBF">
            <w:pPr>
              <w:pStyle w:val="Normal1"/>
              <w:jc w:val="both"/>
              <w:rPr>
                <w:i/>
                <w:sz w:val="20"/>
                <w:szCs w:val="20"/>
              </w:rPr>
            </w:pPr>
            <w:r>
              <w:rPr>
                <w:i/>
                <w:sz w:val="20"/>
                <w:szCs w:val="20"/>
              </w:rPr>
              <w:t>Programmatic</w:t>
            </w:r>
          </w:p>
        </w:tc>
        <w:tc>
          <w:tcPr>
            <w:tcW w:w="1988" w:type="dxa"/>
          </w:tcPr>
          <w:p w14:paraId="5893EDAB" w14:textId="77777777" w:rsidR="00D63578" w:rsidRDefault="00D63578" w:rsidP="00977CBF">
            <w:pPr>
              <w:pStyle w:val="Normal1"/>
              <w:rPr>
                <w:sz w:val="20"/>
                <w:szCs w:val="20"/>
              </w:rPr>
            </w:pPr>
          </w:p>
          <w:p w14:paraId="3E11955C" w14:textId="77777777" w:rsidR="00D63578" w:rsidRDefault="00D63578" w:rsidP="00977CBF">
            <w:pPr>
              <w:pStyle w:val="Normal1"/>
              <w:rPr>
                <w:sz w:val="20"/>
                <w:szCs w:val="20"/>
              </w:rPr>
            </w:pPr>
            <w:r>
              <w:rPr>
                <w:sz w:val="20"/>
                <w:szCs w:val="20"/>
              </w:rPr>
              <w:t>Employers do not adopt the Ministry of Labour’s accessible employment manual for hiring staff.</w:t>
            </w:r>
          </w:p>
        </w:tc>
        <w:tc>
          <w:tcPr>
            <w:tcW w:w="1228" w:type="dxa"/>
          </w:tcPr>
          <w:p w14:paraId="439BB4E7" w14:textId="77777777" w:rsidR="00D63578" w:rsidRDefault="00D63578" w:rsidP="00977CBF">
            <w:pPr>
              <w:pStyle w:val="Normal1"/>
              <w:rPr>
                <w:sz w:val="20"/>
                <w:szCs w:val="20"/>
              </w:rPr>
            </w:pPr>
            <w:r>
              <w:rPr>
                <w:sz w:val="20"/>
                <w:szCs w:val="20"/>
              </w:rPr>
              <w:t>M</w:t>
            </w:r>
          </w:p>
        </w:tc>
        <w:tc>
          <w:tcPr>
            <w:tcW w:w="1728" w:type="dxa"/>
          </w:tcPr>
          <w:p w14:paraId="4777CA86" w14:textId="77777777" w:rsidR="00D63578" w:rsidRDefault="00D63578" w:rsidP="00977CBF">
            <w:pPr>
              <w:pStyle w:val="Normal1"/>
              <w:rPr>
                <w:sz w:val="20"/>
                <w:szCs w:val="20"/>
              </w:rPr>
            </w:pPr>
            <w:r>
              <w:rPr>
                <w:sz w:val="20"/>
                <w:szCs w:val="20"/>
              </w:rPr>
              <w:t>Partial achievement of objective regarding implementation of accessible employment manual</w:t>
            </w:r>
          </w:p>
        </w:tc>
        <w:tc>
          <w:tcPr>
            <w:tcW w:w="1943" w:type="dxa"/>
          </w:tcPr>
          <w:p w14:paraId="59A150E4" w14:textId="77777777" w:rsidR="00D63578" w:rsidRDefault="00D63578" w:rsidP="00977CBF">
            <w:pPr>
              <w:pStyle w:val="Normal1"/>
              <w:rPr>
                <w:sz w:val="20"/>
                <w:szCs w:val="20"/>
              </w:rPr>
            </w:pPr>
          </w:p>
          <w:p w14:paraId="1CA92F58" w14:textId="77777777" w:rsidR="00D63578" w:rsidRDefault="00D63578" w:rsidP="00977CBF">
            <w:pPr>
              <w:pStyle w:val="Normal1"/>
              <w:rPr>
                <w:sz w:val="20"/>
                <w:szCs w:val="20"/>
              </w:rPr>
            </w:pPr>
            <w:r>
              <w:rPr>
                <w:sz w:val="20"/>
                <w:szCs w:val="20"/>
              </w:rPr>
              <w:t>Political influencing/advocacy</w:t>
            </w:r>
          </w:p>
          <w:p w14:paraId="218A07C1" w14:textId="77777777" w:rsidR="00D63578" w:rsidRDefault="00D63578" w:rsidP="00977CBF">
            <w:pPr>
              <w:pStyle w:val="Normal1"/>
              <w:rPr>
                <w:sz w:val="20"/>
                <w:szCs w:val="20"/>
              </w:rPr>
            </w:pPr>
          </w:p>
          <w:p w14:paraId="47584736" w14:textId="77777777" w:rsidR="00D63578" w:rsidRDefault="00D63578" w:rsidP="00977CBF">
            <w:pPr>
              <w:pStyle w:val="Normal1"/>
              <w:rPr>
                <w:sz w:val="20"/>
                <w:szCs w:val="20"/>
              </w:rPr>
            </w:pPr>
          </w:p>
          <w:p w14:paraId="20B0C321" w14:textId="77777777" w:rsidR="00D63578" w:rsidRDefault="00D63578" w:rsidP="00977CBF">
            <w:pPr>
              <w:pStyle w:val="Normal1"/>
              <w:rPr>
                <w:sz w:val="20"/>
                <w:szCs w:val="20"/>
              </w:rPr>
            </w:pPr>
            <w:r>
              <w:rPr>
                <w:sz w:val="20"/>
                <w:szCs w:val="20"/>
              </w:rPr>
              <w:t xml:space="preserve">Social surveillance </w:t>
            </w:r>
          </w:p>
        </w:tc>
        <w:tc>
          <w:tcPr>
            <w:tcW w:w="1486" w:type="dxa"/>
          </w:tcPr>
          <w:p w14:paraId="383A7AAB" w14:textId="77777777" w:rsidR="00D63578" w:rsidRDefault="00D63578" w:rsidP="00977CBF">
            <w:pPr>
              <w:pStyle w:val="Normal1"/>
              <w:rPr>
                <w:sz w:val="20"/>
                <w:szCs w:val="20"/>
              </w:rPr>
            </w:pPr>
          </w:p>
          <w:p w14:paraId="3680B602" w14:textId="77777777" w:rsidR="00D63578" w:rsidRDefault="00D63578" w:rsidP="00977CBF">
            <w:pPr>
              <w:pStyle w:val="Normal1"/>
              <w:rPr>
                <w:sz w:val="20"/>
                <w:szCs w:val="20"/>
              </w:rPr>
            </w:pPr>
            <w:r>
              <w:rPr>
                <w:sz w:val="20"/>
                <w:szCs w:val="20"/>
              </w:rPr>
              <w:t xml:space="preserve">Ministry of Labour and private sector </w:t>
            </w:r>
          </w:p>
          <w:p w14:paraId="02D333F0" w14:textId="77777777" w:rsidR="00D63578" w:rsidRDefault="00D63578" w:rsidP="00977CBF">
            <w:pPr>
              <w:pStyle w:val="Normal1"/>
              <w:rPr>
                <w:sz w:val="20"/>
                <w:szCs w:val="20"/>
              </w:rPr>
            </w:pPr>
          </w:p>
          <w:p w14:paraId="7B7C1D0E" w14:textId="77777777" w:rsidR="00D63578" w:rsidRDefault="00D63578" w:rsidP="00977CBF">
            <w:pPr>
              <w:pStyle w:val="Normal1"/>
              <w:rPr>
                <w:sz w:val="20"/>
                <w:szCs w:val="20"/>
              </w:rPr>
            </w:pPr>
            <w:r>
              <w:rPr>
                <w:sz w:val="20"/>
                <w:szCs w:val="20"/>
              </w:rPr>
              <w:t>DPOs</w:t>
            </w:r>
          </w:p>
          <w:p w14:paraId="63739BFF" w14:textId="77777777" w:rsidR="00D63578" w:rsidRDefault="00D63578" w:rsidP="00977CBF">
            <w:pPr>
              <w:pStyle w:val="Normal1"/>
              <w:rPr>
                <w:sz w:val="20"/>
                <w:szCs w:val="20"/>
              </w:rPr>
            </w:pPr>
          </w:p>
        </w:tc>
      </w:tr>
      <w:tr w:rsidR="00D63578" w14:paraId="42AC60E8" w14:textId="77777777" w:rsidTr="00561177">
        <w:tc>
          <w:tcPr>
            <w:tcW w:w="1502" w:type="dxa"/>
          </w:tcPr>
          <w:p w14:paraId="25FD5475" w14:textId="77777777" w:rsidR="00D63578" w:rsidRDefault="00D63578" w:rsidP="00977CBF">
            <w:pPr>
              <w:pStyle w:val="Normal1"/>
              <w:jc w:val="both"/>
              <w:rPr>
                <w:i/>
                <w:sz w:val="20"/>
                <w:szCs w:val="20"/>
              </w:rPr>
            </w:pPr>
            <w:r>
              <w:rPr>
                <w:i/>
                <w:sz w:val="20"/>
                <w:szCs w:val="20"/>
              </w:rPr>
              <w:t>Programmatic</w:t>
            </w:r>
          </w:p>
        </w:tc>
        <w:tc>
          <w:tcPr>
            <w:tcW w:w="1988" w:type="dxa"/>
          </w:tcPr>
          <w:p w14:paraId="029DE273" w14:textId="77777777" w:rsidR="00D63578" w:rsidRDefault="00D63578" w:rsidP="00977CBF">
            <w:pPr>
              <w:pStyle w:val="Normal1"/>
              <w:rPr>
                <w:sz w:val="20"/>
                <w:szCs w:val="20"/>
              </w:rPr>
            </w:pPr>
            <w:r>
              <w:rPr>
                <w:sz w:val="20"/>
                <w:szCs w:val="20"/>
              </w:rPr>
              <w:t>Physical access barriers remain in public spaces.</w:t>
            </w:r>
          </w:p>
        </w:tc>
        <w:tc>
          <w:tcPr>
            <w:tcW w:w="1228" w:type="dxa"/>
          </w:tcPr>
          <w:p w14:paraId="7E05165D" w14:textId="77777777" w:rsidR="00D63578" w:rsidRDefault="00D63578" w:rsidP="00977CBF">
            <w:pPr>
              <w:pStyle w:val="Normal1"/>
              <w:rPr>
                <w:sz w:val="20"/>
                <w:szCs w:val="20"/>
              </w:rPr>
            </w:pPr>
            <w:r>
              <w:rPr>
                <w:sz w:val="20"/>
                <w:szCs w:val="20"/>
              </w:rPr>
              <w:t>M</w:t>
            </w:r>
          </w:p>
        </w:tc>
        <w:tc>
          <w:tcPr>
            <w:tcW w:w="1728" w:type="dxa"/>
          </w:tcPr>
          <w:p w14:paraId="2437DDA8" w14:textId="77777777" w:rsidR="00D63578" w:rsidRDefault="00D63578" w:rsidP="00977CBF">
            <w:pPr>
              <w:pStyle w:val="Normal1"/>
              <w:rPr>
                <w:sz w:val="20"/>
                <w:szCs w:val="20"/>
              </w:rPr>
            </w:pPr>
            <w:r>
              <w:rPr>
                <w:sz w:val="20"/>
                <w:szCs w:val="20"/>
              </w:rPr>
              <w:t xml:space="preserve">Social participation of PWD is hampered </w:t>
            </w:r>
          </w:p>
        </w:tc>
        <w:tc>
          <w:tcPr>
            <w:tcW w:w="1943" w:type="dxa"/>
          </w:tcPr>
          <w:p w14:paraId="0E3F47C8" w14:textId="77777777" w:rsidR="00D63578" w:rsidRDefault="00D63578" w:rsidP="00977CBF">
            <w:pPr>
              <w:pStyle w:val="Normal1"/>
              <w:rPr>
                <w:sz w:val="20"/>
                <w:szCs w:val="20"/>
              </w:rPr>
            </w:pPr>
            <w:r>
              <w:rPr>
                <w:sz w:val="20"/>
                <w:szCs w:val="20"/>
              </w:rPr>
              <w:t>Political influencing/advocacy</w:t>
            </w:r>
          </w:p>
          <w:p w14:paraId="2CB17DA7" w14:textId="77777777" w:rsidR="00D63578" w:rsidRDefault="00D63578" w:rsidP="00977CBF">
            <w:pPr>
              <w:pStyle w:val="Normal1"/>
              <w:rPr>
                <w:sz w:val="20"/>
                <w:szCs w:val="20"/>
              </w:rPr>
            </w:pPr>
          </w:p>
        </w:tc>
        <w:tc>
          <w:tcPr>
            <w:tcW w:w="1486" w:type="dxa"/>
          </w:tcPr>
          <w:p w14:paraId="302E39C6" w14:textId="77777777" w:rsidR="00D63578" w:rsidRDefault="00D63578" w:rsidP="00977CBF">
            <w:pPr>
              <w:pStyle w:val="Normal1"/>
              <w:rPr>
                <w:sz w:val="20"/>
                <w:szCs w:val="20"/>
              </w:rPr>
            </w:pPr>
            <w:r>
              <w:rPr>
                <w:sz w:val="20"/>
                <w:szCs w:val="20"/>
              </w:rPr>
              <w:t xml:space="preserve">CONADIS </w:t>
            </w:r>
          </w:p>
          <w:p w14:paraId="786B2D0E" w14:textId="77777777" w:rsidR="00D63578" w:rsidRDefault="00D63578" w:rsidP="00977CBF">
            <w:pPr>
              <w:pStyle w:val="Normal1"/>
              <w:rPr>
                <w:sz w:val="20"/>
                <w:szCs w:val="20"/>
              </w:rPr>
            </w:pPr>
            <w:r>
              <w:rPr>
                <w:sz w:val="20"/>
                <w:szCs w:val="20"/>
              </w:rPr>
              <w:t xml:space="preserve">Ministry of Public Works </w:t>
            </w:r>
          </w:p>
        </w:tc>
      </w:tr>
      <w:tr w:rsidR="00D63578" w14:paraId="5407AA4F" w14:textId="77777777" w:rsidTr="00561177">
        <w:tc>
          <w:tcPr>
            <w:tcW w:w="1502" w:type="dxa"/>
          </w:tcPr>
          <w:p w14:paraId="6A0E70A2" w14:textId="77777777" w:rsidR="00D63578" w:rsidRDefault="00D63578" w:rsidP="00977CBF">
            <w:pPr>
              <w:pStyle w:val="Normal1"/>
              <w:jc w:val="both"/>
              <w:rPr>
                <w:i/>
                <w:sz w:val="20"/>
                <w:szCs w:val="20"/>
              </w:rPr>
            </w:pPr>
            <w:r>
              <w:rPr>
                <w:i/>
                <w:sz w:val="20"/>
                <w:szCs w:val="20"/>
              </w:rPr>
              <w:t xml:space="preserve">Programmatic </w:t>
            </w:r>
          </w:p>
        </w:tc>
        <w:tc>
          <w:tcPr>
            <w:tcW w:w="1988" w:type="dxa"/>
          </w:tcPr>
          <w:p w14:paraId="4703D436" w14:textId="77777777" w:rsidR="00D63578" w:rsidRDefault="00D63578" w:rsidP="00977CBF">
            <w:pPr>
              <w:pStyle w:val="Normal1"/>
              <w:rPr>
                <w:sz w:val="20"/>
                <w:szCs w:val="20"/>
              </w:rPr>
            </w:pPr>
            <w:r>
              <w:rPr>
                <w:sz w:val="20"/>
                <w:szCs w:val="20"/>
              </w:rPr>
              <w:t>Government institutions oppose the adoption of the disability assessment and functioning system.</w:t>
            </w:r>
          </w:p>
        </w:tc>
        <w:tc>
          <w:tcPr>
            <w:tcW w:w="1228" w:type="dxa"/>
          </w:tcPr>
          <w:p w14:paraId="78F101E4" w14:textId="77777777" w:rsidR="00D63578" w:rsidRDefault="00D63578" w:rsidP="00977CBF">
            <w:pPr>
              <w:pStyle w:val="Normal1"/>
              <w:rPr>
                <w:sz w:val="20"/>
                <w:szCs w:val="20"/>
              </w:rPr>
            </w:pPr>
            <w:r>
              <w:rPr>
                <w:sz w:val="20"/>
                <w:szCs w:val="20"/>
              </w:rPr>
              <w:t>M</w:t>
            </w:r>
          </w:p>
        </w:tc>
        <w:tc>
          <w:tcPr>
            <w:tcW w:w="1728" w:type="dxa"/>
          </w:tcPr>
          <w:p w14:paraId="50E285B5" w14:textId="77777777" w:rsidR="00D63578" w:rsidRDefault="00D63578" w:rsidP="00977CBF">
            <w:pPr>
              <w:pStyle w:val="Normal1"/>
              <w:rPr>
                <w:sz w:val="20"/>
                <w:szCs w:val="20"/>
              </w:rPr>
            </w:pPr>
            <w:r>
              <w:rPr>
                <w:sz w:val="20"/>
                <w:szCs w:val="20"/>
              </w:rPr>
              <w:t>A reduction in the opportunities for social inclusion of PWD</w:t>
            </w:r>
          </w:p>
        </w:tc>
        <w:tc>
          <w:tcPr>
            <w:tcW w:w="1943" w:type="dxa"/>
          </w:tcPr>
          <w:p w14:paraId="1D305097" w14:textId="77777777" w:rsidR="00D63578" w:rsidRDefault="00D63578" w:rsidP="00977CBF">
            <w:pPr>
              <w:pStyle w:val="Normal1"/>
              <w:rPr>
                <w:sz w:val="20"/>
                <w:szCs w:val="20"/>
              </w:rPr>
            </w:pPr>
            <w:r>
              <w:rPr>
                <w:sz w:val="20"/>
                <w:szCs w:val="20"/>
              </w:rPr>
              <w:t>Political influencing/advocacy</w:t>
            </w:r>
          </w:p>
          <w:p w14:paraId="6190708B" w14:textId="77777777" w:rsidR="00D63578" w:rsidRDefault="00D63578" w:rsidP="00977CBF">
            <w:pPr>
              <w:pStyle w:val="Normal1"/>
              <w:rPr>
                <w:sz w:val="20"/>
                <w:szCs w:val="20"/>
              </w:rPr>
            </w:pPr>
          </w:p>
          <w:p w14:paraId="7D3A6D78" w14:textId="77777777" w:rsidR="00D63578" w:rsidRDefault="00D63578" w:rsidP="00977CBF">
            <w:pPr>
              <w:pStyle w:val="Normal1"/>
              <w:rPr>
                <w:sz w:val="20"/>
                <w:szCs w:val="20"/>
              </w:rPr>
            </w:pPr>
            <w:r>
              <w:rPr>
                <w:sz w:val="20"/>
                <w:szCs w:val="20"/>
              </w:rPr>
              <w:t xml:space="preserve">Technical assistance </w:t>
            </w:r>
          </w:p>
        </w:tc>
        <w:tc>
          <w:tcPr>
            <w:tcW w:w="1486" w:type="dxa"/>
          </w:tcPr>
          <w:p w14:paraId="458680CA" w14:textId="77777777" w:rsidR="00D63578" w:rsidRDefault="00D63578" w:rsidP="00977CBF">
            <w:pPr>
              <w:pStyle w:val="Normal1"/>
              <w:rPr>
                <w:sz w:val="20"/>
                <w:szCs w:val="20"/>
              </w:rPr>
            </w:pPr>
            <w:r>
              <w:rPr>
                <w:sz w:val="20"/>
                <w:szCs w:val="20"/>
              </w:rPr>
              <w:t xml:space="preserve">CONADIS and public bodies </w:t>
            </w:r>
          </w:p>
        </w:tc>
      </w:tr>
      <w:tr w:rsidR="00D63578" w14:paraId="3B488C71" w14:textId="77777777" w:rsidTr="00561177">
        <w:tc>
          <w:tcPr>
            <w:tcW w:w="1502" w:type="dxa"/>
          </w:tcPr>
          <w:p w14:paraId="451D8C3D" w14:textId="77777777" w:rsidR="00D63578" w:rsidRDefault="00D63578" w:rsidP="00977CBF">
            <w:pPr>
              <w:pStyle w:val="Normal1"/>
              <w:jc w:val="both"/>
              <w:rPr>
                <w:i/>
                <w:sz w:val="20"/>
                <w:szCs w:val="20"/>
              </w:rPr>
            </w:pPr>
            <w:r>
              <w:rPr>
                <w:i/>
                <w:sz w:val="20"/>
                <w:szCs w:val="20"/>
              </w:rPr>
              <w:t xml:space="preserve">Contextual </w:t>
            </w:r>
          </w:p>
        </w:tc>
        <w:tc>
          <w:tcPr>
            <w:tcW w:w="1988" w:type="dxa"/>
          </w:tcPr>
          <w:p w14:paraId="1999DD73" w14:textId="77777777" w:rsidR="00D63578" w:rsidRDefault="00D63578" w:rsidP="00977CBF">
            <w:pPr>
              <w:pStyle w:val="Normal1"/>
              <w:rPr>
                <w:sz w:val="20"/>
                <w:szCs w:val="20"/>
              </w:rPr>
            </w:pPr>
            <w:r>
              <w:rPr>
                <w:sz w:val="20"/>
                <w:szCs w:val="20"/>
              </w:rPr>
              <w:t>Occurrence of natural disaster events in the country</w:t>
            </w:r>
          </w:p>
        </w:tc>
        <w:tc>
          <w:tcPr>
            <w:tcW w:w="1228" w:type="dxa"/>
          </w:tcPr>
          <w:p w14:paraId="3ED13DB9" w14:textId="77777777" w:rsidR="00D63578" w:rsidRDefault="00D63578" w:rsidP="00977CBF">
            <w:pPr>
              <w:pStyle w:val="Normal1"/>
              <w:rPr>
                <w:sz w:val="20"/>
                <w:szCs w:val="20"/>
              </w:rPr>
            </w:pPr>
            <w:r>
              <w:rPr>
                <w:sz w:val="20"/>
                <w:szCs w:val="20"/>
              </w:rPr>
              <w:t>M</w:t>
            </w:r>
          </w:p>
        </w:tc>
        <w:tc>
          <w:tcPr>
            <w:tcW w:w="1728" w:type="dxa"/>
          </w:tcPr>
          <w:p w14:paraId="7C39BDD7" w14:textId="77777777" w:rsidR="00D63578" w:rsidRDefault="00D63578" w:rsidP="00977CBF">
            <w:pPr>
              <w:pStyle w:val="Normal1"/>
              <w:rPr>
                <w:sz w:val="20"/>
                <w:szCs w:val="20"/>
              </w:rPr>
            </w:pPr>
            <w:r>
              <w:rPr>
                <w:sz w:val="20"/>
                <w:szCs w:val="20"/>
              </w:rPr>
              <w:t>Temporary delays in implementation of project activities</w:t>
            </w:r>
          </w:p>
        </w:tc>
        <w:tc>
          <w:tcPr>
            <w:tcW w:w="1943" w:type="dxa"/>
          </w:tcPr>
          <w:p w14:paraId="4E34E6ED" w14:textId="77777777" w:rsidR="00D63578" w:rsidRDefault="00D63578" w:rsidP="00977CBF">
            <w:pPr>
              <w:pStyle w:val="Normal1"/>
              <w:rPr>
                <w:sz w:val="20"/>
                <w:szCs w:val="20"/>
              </w:rPr>
            </w:pPr>
            <w:r>
              <w:rPr>
                <w:sz w:val="20"/>
                <w:szCs w:val="20"/>
              </w:rPr>
              <w:t>Notify UNPRPD and make reasonable adjustments to the implementation cycle</w:t>
            </w:r>
          </w:p>
        </w:tc>
        <w:tc>
          <w:tcPr>
            <w:tcW w:w="1486" w:type="dxa"/>
          </w:tcPr>
          <w:p w14:paraId="5E8BFBD2" w14:textId="77777777" w:rsidR="00D63578" w:rsidRDefault="00D63578" w:rsidP="00977CBF">
            <w:pPr>
              <w:pStyle w:val="Normal1"/>
              <w:rPr>
                <w:sz w:val="20"/>
                <w:szCs w:val="20"/>
              </w:rPr>
            </w:pPr>
            <w:r>
              <w:rPr>
                <w:sz w:val="20"/>
                <w:szCs w:val="20"/>
              </w:rPr>
              <w:t>PAHO/WHO, UNDP, UNICEF</w:t>
            </w:r>
          </w:p>
        </w:tc>
      </w:tr>
    </w:tbl>
    <w:p w14:paraId="6940AD21" w14:textId="77777777" w:rsidR="00A45397" w:rsidRPr="000D4C6A" w:rsidRDefault="00A45397" w:rsidP="000D4C6A">
      <w:pPr>
        <w:pStyle w:val="Normal1"/>
        <w:jc w:val="both"/>
      </w:pPr>
    </w:p>
    <w:p w14:paraId="713EC245" w14:textId="77777777" w:rsidR="00A45397" w:rsidRPr="00D63578" w:rsidRDefault="00986A15" w:rsidP="000D4C6A">
      <w:pPr>
        <w:pStyle w:val="Normal1"/>
        <w:jc w:val="both"/>
        <w:rPr>
          <w:sz w:val="18"/>
        </w:rPr>
      </w:pPr>
      <w:r w:rsidRPr="00D63578">
        <w:rPr>
          <w:sz w:val="18"/>
        </w:rPr>
        <w:t>* Please specify here the type of risk and refer to the following definitions:</w:t>
      </w:r>
    </w:p>
    <w:p w14:paraId="0FAFD7DE" w14:textId="77777777" w:rsidR="00A45397" w:rsidRPr="00D63578" w:rsidRDefault="00986A15" w:rsidP="000D4C6A">
      <w:pPr>
        <w:pStyle w:val="Normal1"/>
        <w:jc w:val="both"/>
        <w:rPr>
          <w:sz w:val="18"/>
        </w:rPr>
      </w:pPr>
      <w:r w:rsidRPr="00D63578">
        <w:rPr>
          <w:sz w:val="18"/>
        </w:rPr>
        <w:t>Contextual: risk of state failure, return to conflict, development failure, humanitarian crisis; factors over which external actors have limited control.</w:t>
      </w:r>
    </w:p>
    <w:p w14:paraId="67F90A6E" w14:textId="77777777" w:rsidR="00A45397" w:rsidRPr="00D63578" w:rsidRDefault="00986A15" w:rsidP="000D4C6A">
      <w:pPr>
        <w:pStyle w:val="Normal1"/>
        <w:jc w:val="both"/>
        <w:rPr>
          <w:sz w:val="18"/>
        </w:rPr>
      </w:pPr>
      <w:r w:rsidRPr="00D63578">
        <w:rPr>
          <w:sz w:val="18"/>
        </w:rPr>
        <w:t>Programmatic: risk of failure to achieve the aims and objectives; risk of causing harm through engagements.</w:t>
      </w:r>
    </w:p>
    <w:p w14:paraId="5812134C" w14:textId="77777777" w:rsidR="00A45397" w:rsidRDefault="00986A15" w:rsidP="000D4C6A">
      <w:pPr>
        <w:pStyle w:val="Normal1"/>
        <w:jc w:val="both"/>
        <w:rPr>
          <w:sz w:val="18"/>
        </w:rPr>
      </w:pPr>
      <w:r w:rsidRPr="00D63578">
        <w:rPr>
          <w:sz w:val="18"/>
        </w:rPr>
        <w:t>Institutional: risk to the donor agency, security, fiduciary failure, reputational loss, domestic political damage etc.</w:t>
      </w:r>
    </w:p>
    <w:p w14:paraId="487B35AF" w14:textId="77777777" w:rsidR="00D63578" w:rsidRPr="00D63578" w:rsidRDefault="00D63578" w:rsidP="000D4C6A">
      <w:pPr>
        <w:pStyle w:val="Normal1"/>
        <w:jc w:val="both"/>
        <w:rPr>
          <w:sz w:val="18"/>
        </w:rPr>
      </w:pPr>
    </w:p>
    <w:p w14:paraId="39C743B4" w14:textId="77777777" w:rsidR="00A45397" w:rsidRPr="000D4C6A" w:rsidRDefault="00A45397" w:rsidP="000D4C6A">
      <w:pPr>
        <w:pStyle w:val="Normal1"/>
        <w:jc w:val="both"/>
      </w:pPr>
    </w:p>
    <w:p w14:paraId="2C7D3505" w14:textId="77777777" w:rsidR="00A45397" w:rsidRPr="000D4C6A" w:rsidRDefault="00986A15" w:rsidP="000D4C6A">
      <w:pPr>
        <w:pStyle w:val="Normal1"/>
        <w:jc w:val="both"/>
      </w:pPr>
      <w:r w:rsidRPr="000D4C6A">
        <w:rPr>
          <w:b/>
        </w:rPr>
        <w:t>2.4 Result chain of the intervention</w:t>
      </w:r>
    </w:p>
    <w:p w14:paraId="5A67D87B" w14:textId="77777777" w:rsidR="00A45397" w:rsidRPr="000D4C6A" w:rsidRDefault="00A45397" w:rsidP="000D4C6A">
      <w:pPr>
        <w:pStyle w:val="Normal1"/>
        <w:pBdr>
          <w:top w:val="nil"/>
          <w:left w:val="nil"/>
          <w:bottom w:val="nil"/>
          <w:right w:val="nil"/>
          <w:between w:val="nil"/>
        </w:pBdr>
        <w:ind w:left="360" w:hanging="720"/>
        <w:jc w:val="both"/>
        <w:rPr>
          <w:rFonts w:eastAsia="Calibri"/>
          <w:i/>
        </w:rPr>
      </w:pPr>
    </w:p>
    <w:p w14:paraId="5CE8D474" w14:textId="77777777" w:rsidR="00A45397" w:rsidRPr="000D4C6A" w:rsidRDefault="00986A15" w:rsidP="000D4C6A">
      <w:pPr>
        <w:pStyle w:val="Normal1"/>
        <w:jc w:val="both"/>
        <w:rPr>
          <w:b/>
        </w:rPr>
      </w:pPr>
      <w:r w:rsidRPr="000D4C6A">
        <w:rPr>
          <w:b/>
        </w:rPr>
        <w:t xml:space="preserve">Table 2. Expected impact </w:t>
      </w:r>
    </w:p>
    <w:tbl>
      <w:tblPr>
        <w:tblStyle w:val="a4"/>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70"/>
      </w:tblGrid>
      <w:tr w:rsidR="000D4C6A" w:rsidRPr="000D4C6A" w14:paraId="60DF043A" w14:textId="77777777" w:rsidTr="00561177">
        <w:tc>
          <w:tcPr>
            <w:tcW w:w="9870" w:type="dxa"/>
            <w:tcBorders>
              <w:top w:val="single" w:sz="4" w:space="0" w:color="000000"/>
              <w:left w:val="single" w:sz="4" w:space="0" w:color="000000"/>
              <w:bottom w:val="single" w:sz="4" w:space="0" w:color="000000"/>
              <w:right w:val="single" w:sz="4" w:space="0" w:color="000000"/>
            </w:tcBorders>
            <w:shd w:val="clear" w:color="auto" w:fill="A6A6A6"/>
          </w:tcPr>
          <w:p w14:paraId="6B2B43F3" w14:textId="77777777" w:rsidR="00A45397" w:rsidRPr="000D4C6A" w:rsidRDefault="00986A15" w:rsidP="000D4C6A">
            <w:pPr>
              <w:pStyle w:val="Normal1"/>
              <w:spacing w:before="60" w:after="60"/>
              <w:jc w:val="both"/>
            </w:pPr>
            <w:r w:rsidRPr="000D4C6A">
              <w:rPr>
                <w:b/>
              </w:rPr>
              <w:t xml:space="preserve">Impact: </w:t>
            </w:r>
          </w:p>
          <w:p w14:paraId="75DAAB00" w14:textId="77777777" w:rsidR="00A45397" w:rsidRPr="000D4C6A" w:rsidRDefault="00986A15" w:rsidP="000D4C6A">
            <w:pPr>
              <w:pStyle w:val="Normal1"/>
              <w:spacing w:before="60" w:after="60"/>
              <w:jc w:val="both"/>
              <w:rPr>
                <w:b/>
              </w:rPr>
            </w:pPr>
            <w:r w:rsidRPr="000D4C6A">
              <w:t>What rights will be advanced? For whom?</w:t>
            </w:r>
          </w:p>
        </w:tc>
      </w:tr>
      <w:tr w:rsidR="00A45397" w:rsidRPr="000D4C6A" w14:paraId="44335FA0" w14:textId="77777777" w:rsidTr="00561177">
        <w:tc>
          <w:tcPr>
            <w:tcW w:w="9870" w:type="dxa"/>
            <w:tcBorders>
              <w:top w:val="single" w:sz="4" w:space="0" w:color="000000"/>
              <w:left w:val="single" w:sz="4" w:space="0" w:color="000000"/>
              <w:bottom w:val="single" w:sz="4" w:space="0" w:color="000000"/>
              <w:right w:val="single" w:sz="4" w:space="0" w:color="000000"/>
            </w:tcBorders>
          </w:tcPr>
          <w:p w14:paraId="66B20E31" w14:textId="77777777" w:rsidR="00A45397" w:rsidRPr="000D4C6A" w:rsidRDefault="00A45397" w:rsidP="000D4C6A">
            <w:pPr>
              <w:pStyle w:val="Normal1"/>
              <w:jc w:val="both"/>
            </w:pPr>
          </w:p>
          <w:p w14:paraId="57D767EF" w14:textId="77777777" w:rsidR="00A45397" w:rsidRDefault="00986A15" w:rsidP="00D63578">
            <w:pPr>
              <w:pStyle w:val="Normal1"/>
              <w:jc w:val="both"/>
            </w:pPr>
            <w:r w:rsidRPr="000D4C6A">
              <w:t>Impact: By 2020 PWD in the Dominican Republic have improved their access to quality education, decent work opportunities and social participation throughout their life cycle.</w:t>
            </w:r>
          </w:p>
          <w:p w14:paraId="7DBB1882" w14:textId="77777777" w:rsidR="00D63578" w:rsidRPr="000D4C6A" w:rsidRDefault="00D63578" w:rsidP="00D63578">
            <w:pPr>
              <w:pStyle w:val="Normal1"/>
              <w:jc w:val="both"/>
            </w:pPr>
          </w:p>
          <w:p w14:paraId="0DA82785" w14:textId="77777777" w:rsidR="00A45397" w:rsidRPr="000D4C6A" w:rsidRDefault="00986A15" w:rsidP="000D4C6A">
            <w:pPr>
              <w:pStyle w:val="Normal1"/>
              <w:jc w:val="both"/>
            </w:pPr>
            <w:r w:rsidRPr="000D4C6A">
              <w:t>Based on all focus areas to be addressed in the project (quality and inclusive education, decent employment and social participation) the following rights will be addressed: The right to respect physical and mental integrity, the right to live in the community, the right to education, the right to health, the right to work, the right to an adequate standard of living and the right to participate in cultural life (see others).</w:t>
            </w:r>
          </w:p>
          <w:p w14:paraId="0700C933" w14:textId="77777777" w:rsidR="00A45397" w:rsidRPr="000D4C6A" w:rsidRDefault="00A45397" w:rsidP="000D4C6A">
            <w:pPr>
              <w:pStyle w:val="Normal1"/>
              <w:jc w:val="both"/>
              <w:rPr>
                <w:b/>
              </w:rPr>
            </w:pPr>
          </w:p>
        </w:tc>
      </w:tr>
    </w:tbl>
    <w:p w14:paraId="01E85C83" w14:textId="77777777" w:rsidR="00A45397" w:rsidRPr="000D4C6A" w:rsidRDefault="00A45397" w:rsidP="000D4C6A">
      <w:pPr>
        <w:pStyle w:val="Normal1"/>
        <w:jc w:val="both"/>
        <w:rPr>
          <w:b/>
          <w:i/>
        </w:rPr>
      </w:pPr>
    </w:p>
    <w:p w14:paraId="4A31C9D5" w14:textId="77777777" w:rsidR="00A45397" w:rsidRPr="000D4C6A" w:rsidRDefault="00986A15" w:rsidP="000D4C6A">
      <w:pPr>
        <w:pStyle w:val="Normal1"/>
        <w:jc w:val="both"/>
      </w:pPr>
      <w:r w:rsidRPr="000D4C6A">
        <w:rPr>
          <w:b/>
        </w:rPr>
        <w:t>Table 3. Expected outcomes (there will be as many such tables as the outcomes envisaged by the project)</w:t>
      </w:r>
    </w:p>
    <w:p w14:paraId="7318CBB7" w14:textId="77777777" w:rsidR="00A45397" w:rsidRPr="000D4C6A" w:rsidRDefault="00A45397" w:rsidP="000D4C6A">
      <w:pPr>
        <w:pStyle w:val="Normal1"/>
        <w:jc w:val="both"/>
        <w:rPr>
          <w:i/>
        </w:rPr>
      </w:pPr>
    </w:p>
    <w:tbl>
      <w:tblPr>
        <w:tblStyle w:val="a5"/>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35"/>
        <w:gridCol w:w="4935"/>
      </w:tblGrid>
      <w:tr w:rsidR="000D4C6A" w:rsidRPr="000D4C6A" w14:paraId="1B4959F0" w14:textId="77777777" w:rsidTr="00561177">
        <w:tc>
          <w:tcPr>
            <w:tcW w:w="4935" w:type="dxa"/>
            <w:shd w:val="clear" w:color="auto" w:fill="A6A6A6"/>
            <w:vAlign w:val="center"/>
          </w:tcPr>
          <w:p w14:paraId="194C2C6F" w14:textId="77777777" w:rsidR="00A45397" w:rsidRPr="000D4C6A" w:rsidRDefault="00986A15" w:rsidP="00977CBF">
            <w:pPr>
              <w:pStyle w:val="Normal1"/>
              <w:pBdr>
                <w:top w:val="nil"/>
                <w:left w:val="nil"/>
                <w:bottom w:val="nil"/>
                <w:right w:val="nil"/>
                <w:between w:val="nil"/>
              </w:pBdr>
              <w:spacing w:before="60" w:after="200" w:line="276" w:lineRule="auto"/>
              <w:ind w:hanging="720"/>
              <w:jc w:val="center"/>
              <w:rPr>
                <w:rFonts w:eastAsia="Calibri"/>
                <w:b/>
              </w:rPr>
            </w:pPr>
            <w:r w:rsidRPr="000D4C6A">
              <w:rPr>
                <w:rFonts w:eastAsia="Calibri"/>
                <w:b/>
              </w:rPr>
              <w:t>Outcome 1</w:t>
            </w:r>
          </w:p>
          <w:p w14:paraId="1A516908" w14:textId="77777777" w:rsidR="00A45397" w:rsidRPr="000D4C6A" w:rsidRDefault="00986A15" w:rsidP="000D4C6A">
            <w:pPr>
              <w:pStyle w:val="Normal1"/>
              <w:spacing w:before="60"/>
              <w:jc w:val="both"/>
              <w:rPr>
                <w:b/>
              </w:rPr>
            </w:pPr>
            <w:r w:rsidRPr="000D4C6A">
              <w:t>What structural shifts will be achieved?</w:t>
            </w:r>
          </w:p>
        </w:tc>
        <w:tc>
          <w:tcPr>
            <w:tcW w:w="4935" w:type="dxa"/>
            <w:shd w:val="clear" w:color="auto" w:fill="A6A6A6"/>
          </w:tcPr>
          <w:p w14:paraId="40370F0E" w14:textId="77777777" w:rsidR="00A45397" w:rsidRPr="000D4C6A" w:rsidRDefault="00A45397" w:rsidP="000D4C6A">
            <w:pPr>
              <w:pStyle w:val="Normal1"/>
              <w:pBdr>
                <w:top w:val="nil"/>
                <w:left w:val="nil"/>
                <w:bottom w:val="nil"/>
                <w:right w:val="nil"/>
                <w:between w:val="nil"/>
              </w:pBdr>
              <w:spacing w:before="60" w:after="200" w:line="276" w:lineRule="auto"/>
              <w:ind w:hanging="720"/>
              <w:jc w:val="both"/>
              <w:rPr>
                <w:rFonts w:eastAsia="Calibri"/>
                <w:i/>
              </w:rPr>
            </w:pPr>
          </w:p>
        </w:tc>
      </w:tr>
      <w:tr w:rsidR="000D4C6A" w:rsidRPr="000D4C6A" w14:paraId="44E240C9" w14:textId="77777777" w:rsidTr="00561177">
        <w:tc>
          <w:tcPr>
            <w:tcW w:w="4935" w:type="dxa"/>
          </w:tcPr>
          <w:p w14:paraId="680C1B76" w14:textId="77777777" w:rsidR="00A45397" w:rsidRPr="000D4C6A" w:rsidRDefault="00986A15" w:rsidP="000D4C6A">
            <w:pPr>
              <w:pStyle w:val="Normal1"/>
              <w:jc w:val="both"/>
              <w:rPr>
                <w:i/>
              </w:rPr>
            </w:pPr>
            <w:r w:rsidRPr="000D4C6A">
              <w:rPr>
                <w:b/>
              </w:rPr>
              <w:t>Outcome formulation</w:t>
            </w:r>
          </w:p>
        </w:tc>
        <w:tc>
          <w:tcPr>
            <w:tcW w:w="4935" w:type="dxa"/>
          </w:tcPr>
          <w:p w14:paraId="33865E73" w14:textId="77777777" w:rsidR="00A45397" w:rsidRPr="000D4C6A" w:rsidRDefault="00986A15" w:rsidP="000D4C6A">
            <w:pPr>
              <w:pStyle w:val="Normal1"/>
              <w:jc w:val="both"/>
              <w:rPr>
                <w:i/>
              </w:rPr>
            </w:pPr>
            <w:r w:rsidRPr="000D4C6A">
              <w:rPr>
                <w:b/>
              </w:rPr>
              <w:t>Type of lever*</w:t>
            </w:r>
          </w:p>
        </w:tc>
      </w:tr>
      <w:tr w:rsidR="000D4C6A" w:rsidRPr="000D4C6A" w14:paraId="3F1D9927" w14:textId="77777777" w:rsidTr="00561177">
        <w:tc>
          <w:tcPr>
            <w:tcW w:w="4935" w:type="dxa"/>
          </w:tcPr>
          <w:p w14:paraId="36DC4526" w14:textId="77777777" w:rsidR="00A45397" w:rsidRPr="000D4C6A" w:rsidRDefault="00986A15" w:rsidP="000D4C6A">
            <w:pPr>
              <w:pStyle w:val="Normal1"/>
              <w:jc w:val="both"/>
            </w:pPr>
            <w:r w:rsidRPr="000D4C6A">
              <w:t>1</w:t>
            </w:r>
            <w:r w:rsidR="00665EE8" w:rsidRPr="000D4C6A">
              <w:t xml:space="preserve">. </w:t>
            </w:r>
            <w:r w:rsidR="00977CBF" w:rsidRPr="00977CBF">
              <w:t xml:space="preserve">MINERD districts and Disability </w:t>
            </w:r>
            <w:r w:rsidR="002F4D43">
              <w:t xml:space="preserve">Resource </w:t>
            </w:r>
            <w:r w:rsidR="00A04222" w:rsidRPr="00A04222">
              <w:t>Centres for the Attention to Diversity</w:t>
            </w:r>
            <w:r w:rsidR="00521ECD">
              <w:t xml:space="preserve"> CADs</w:t>
            </w:r>
            <w:r w:rsidR="00A04222" w:rsidRPr="00A04222">
              <w:t xml:space="preserve"> </w:t>
            </w:r>
            <w:r w:rsidR="00977CBF" w:rsidRPr="00977CBF">
              <w:t>have the capacity to guide and support teachers, ensuring that they offer an inclusive and quality education for children with disabilities in regular public primary schools.</w:t>
            </w:r>
          </w:p>
        </w:tc>
        <w:tc>
          <w:tcPr>
            <w:tcW w:w="4935" w:type="dxa"/>
          </w:tcPr>
          <w:p w14:paraId="3B558C63" w14:textId="636CB95D"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 xml:space="preserve">- LEG: Legislation and policy </w:t>
            </w:r>
            <w:bookmarkStart w:id="3" w:name="_GoBack"/>
            <w:bookmarkEnd w:id="3"/>
          </w:p>
          <w:p w14:paraId="5BF773AD" w14:textId="77777777" w:rsidR="00A45397" w:rsidRPr="000D4C6A" w:rsidRDefault="00986A15" w:rsidP="000D4C6A">
            <w:pPr>
              <w:pStyle w:val="Normal1"/>
              <w:jc w:val="both"/>
            </w:pPr>
            <w:r w:rsidRPr="000D4C6A">
              <w:t>- CAP: Capacity of key actors (duty bearers or right holders)</w:t>
            </w:r>
          </w:p>
        </w:tc>
      </w:tr>
      <w:tr w:rsidR="000D4C6A" w:rsidRPr="000D4C6A" w14:paraId="0F9D4296" w14:textId="77777777" w:rsidTr="00561177">
        <w:trPr>
          <w:trHeight w:val="340"/>
        </w:trPr>
        <w:tc>
          <w:tcPr>
            <w:tcW w:w="4935" w:type="dxa"/>
            <w:shd w:val="clear" w:color="auto" w:fill="A6A6A6"/>
          </w:tcPr>
          <w:p w14:paraId="6D8936D2" w14:textId="77777777" w:rsidR="00A45397" w:rsidRPr="000D4C6A" w:rsidRDefault="00986A15" w:rsidP="000D4C6A">
            <w:pPr>
              <w:pStyle w:val="Normal1"/>
              <w:jc w:val="both"/>
            </w:pPr>
            <w:r w:rsidRPr="000D4C6A">
              <w:rPr>
                <w:b/>
              </w:rPr>
              <w:t>Outputs</w:t>
            </w:r>
          </w:p>
          <w:p w14:paraId="44090555" w14:textId="77777777" w:rsidR="00A45397" w:rsidRPr="000D4C6A" w:rsidRDefault="00986A15" w:rsidP="000D4C6A">
            <w:pPr>
              <w:pStyle w:val="Normal1"/>
              <w:pBdr>
                <w:top w:val="nil"/>
                <w:left w:val="nil"/>
                <w:bottom w:val="nil"/>
                <w:right w:val="nil"/>
                <w:between w:val="nil"/>
              </w:pBdr>
              <w:spacing w:before="60" w:after="200" w:line="276" w:lineRule="auto"/>
              <w:ind w:hanging="720"/>
              <w:jc w:val="both"/>
              <w:rPr>
                <w:rFonts w:eastAsia="Calibri"/>
                <w:b/>
              </w:rPr>
            </w:pPr>
            <w:r w:rsidRPr="000D4C6A">
              <w:rPr>
                <w:rFonts w:eastAsia="Calibri"/>
              </w:rPr>
              <w:t>What project deliverables will contribute to the achievement of the outcome?</w:t>
            </w:r>
          </w:p>
        </w:tc>
        <w:tc>
          <w:tcPr>
            <w:tcW w:w="4935" w:type="dxa"/>
            <w:shd w:val="clear" w:color="auto" w:fill="A6A6A6"/>
          </w:tcPr>
          <w:p w14:paraId="291E6F36" w14:textId="77777777" w:rsidR="00A45397" w:rsidRPr="000D4C6A" w:rsidRDefault="00A45397" w:rsidP="000D4C6A">
            <w:pPr>
              <w:pStyle w:val="Normal1"/>
              <w:spacing w:before="60" w:after="60"/>
              <w:jc w:val="both"/>
              <w:rPr>
                <w:b/>
              </w:rPr>
            </w:pPr>
          </w:p>
        </w:tc>
      </w:tr>
      <w:tr w:rsidR="000D4C6A" w:rsidRPr="000D4C6A" w14:paraId="41AF3CFE" w14:textId="77777777" w:rsidTr="00561177">
        <w:tc>
          <w:tcPr>
            <w:tcW w:w="4935" w:type="dxa"/>
            <w:shd w:val="clear" w:color="auto" w:fill="auto"/>
            <w:vAlign w:val="center"/>
          </w:tcPr>
          <w:p w14:paraId="1F103169" w14:textId="77777777" w:rsidR="00A45397" w:rsidRPr="000D4C6A" w:rsidRDefault="00986A15" w:rsidP="000D4C6A">
            <w:pPr>
              <w:pStyle w:val="Normal1"/>
              <w:jc w:val="both"/>
              <w:rPr>
                <w:i/>
              </w:rPr>
            </w:pPr>
            <w:r w:rsidRPr="000D4C6A">
              <w:rPr>
                <w:b/>
              </w:rPr>
              <w:t>Output formulation</w:t>
            </w:r>
          </w:p>
        </w:tc>
        <w:tc>
          <w:tcPr>
            <w:tcW w:w="4935" w:type="dxa"/>
            <w:shd w:val="clear" w:color="auto" w:fill="auto"/>
          </w:tcPr>
          <w:p w14:paraId="4B445678" w14:textId="77777777" w:rsidR="00A45397" w:rsidRPr="000D4C6A" w:rsidRDefault="00986A15" w:rsidP="000D4C6A">
            <w:pPr>
              <w:pStyle w:val="Normal1"/>
              <w:spacing w:before="60" w:after="60"/>
              <w:jc w:val="both"/>
            </w:pPr>
            <w:r w:rsidRPr="000D4C6A">
              <w:rPr>
                <w:b/>
              </w:rPr>
              <w:t>Type **</w:t>
            </w:r>
          </w:p>
          <w:p w14:paraId="17B624D2" w14:textId="77777777" w:rsidR="00A45397" w:rsidRPr="000D4C6A" w:rsidRDefault="00986A15" w:rsidP="000D4C6A">
            <w:pPr>
              <w:pStyle w:val="Normal1"/>
              <w:jc w:val="both"/>
              <w:rPr>
                <w:i/>
              </w:rPr>
            </w:pPr>
            <w:r w:rsidRPr="000D4C6A">
              <w:t>(Only for capacity outcomes)</w:t>
            </w:r>
          </w:p>
        </w:tc>
      </w:tr>
      <w:tr w:rsidR="000D4C6A" w:rsidRPr="000D4C6A" w14:paraId="4CEF02ED" w14:textId="77777777" w:rsidTr="00561177">
        <w:tc>
          <w:tcPr>
            <w:tcW w:w="4935" w:type="dxa"/>
          </w:tcPr>
          <w:p w14:paraId="7AC3B8A8" w14:textId="77777777" w:rsidR="00A45397" w:rsidRPr="000D4C6A" w:rsidRDefault="00986A15" w:rsidP="000D4C6A">
            <w:pPr>
              <w:pStyle w:val="Normal1"/>
              <w:jc w:val="both"/>
            </w:pPr>
            <w:r w:rsidRPr="000D4C6A">
              <w:t xml:space="preserve">1.1 </w:t>
            </w:r>
            <w:r w:rsidR="00460569" w:rsidRPr="000D4C6A">
              <w:t xml:space="preserve">National Resources Centre for Educational Inclusion of children and adolescents is </w:t>
            </w:r>
            <w:r w:rsidR="0058276D">
              <w:t>designed and functioning.</w:t>
            </w:r>
          </w:p>
        </w:tc>
        <w:tc>
          <w:tcPr>
            <w:tcW w:w="4935" w:type="dxa"/>
          </w:tcPr>
          <w:p w14:paraId="419003CF" w14:textId="77777777" w:rsidR="00A45397" w:rsidRPr="000D4C6A" w:rsidRDefault="00986A15" w:rsidP="000D4C6A">
            <w:pPr>
              <w:pStyle w:val="Normal1"/>
              <w:jc w:val="both"/>
              <w:rPr>
                <w:i/>
              </w:rPr>
            </w:pPr>
            <w:r w:rsidRPr="000D4C6A">
              <w:t>CAP: Capacity of key actors (duty bearers or right holders)</w:t>
            </w:r>
          </w:p>
        </w:tc>
      </w:tr>
      <w:tr w:rsidR="000D4C6A" w:rsidRPr="000D4C6A" w14:paraId="0093BCAD" w14:textId="77777777" w:rsidTr="00561177">
        <w:tc>
          <w:tcPr>
            <w:tcW w:w="4935" w:type="dxa"/>
          </w:tcPr>
          <w:p w14:paraId="08501910" w14:textId="77777777" w:rsidR="00A45397" w:rsidRPr="000D4C6A" w:rsidRDefault="00EB0EA1" w:rsidP="000D4C6A">
            <w:pPr>
              <w:pStyle w:val="Normal1"/>
              <w:jc w:val="both"/>
              <w:rPr>
                <w:i/>
              </w:rPr>
            </w:pPr>
            <w:r w:rsidRPr="000D4C6A">
              <w:t xml:space="preserve">1.2 MINERD technical teams </w:t>
            </w:r>
            <w:r w:rsidR="0058276D">
              <w:t>are trained</w:t>
            </w:r>
            <w:r w:rsidRPr="000D4C6A">
              <w:t xml:space="preserve"> </w:t>
            </w:r>
            <w:r w:rsidR="0058276D">
              <w:t xml:space="preserve">on inclusive </w:t>
            </w:r>
            <w:proofErr w:type="gramStart"/>
            <w:r w:rsidR="0058276D">
              <w:t>quality  education</w:t>
            </w:r>
            <w:proofErr w:type="gramEnd"/>
          </w:p>
        </w:tc>
        <w:tc>
          <w:tcPr>
            <w:tcW w:w="4935" w:type="dxa"/>
          </w:tcPr>
          <w:p w14:paraId="03DE41EC" w14:textId="77777777" w:rsidR="00A45397" w:rsidRPr="000D4C6A" w:rsidRDefault="00986A15" w:rsidP="000D4C6A">
            <w:pPr>
              <w:pStyle w:val="Normal1"/>
              <w:jc w:val="both"/>
              <w:rPr>
                <w:i/>
              </w:rPr>
            </w:pPr>
            <w:r w:rsidRPr="000D4C6A">
              <w:t>CAP: Capacity of key actors (duty bearers or right holders)</w:t>
            </w:r>
          </w:p>
        </w:tc>
      </w:tr>
      <w:tr w:rsidR="000D4C6A" w:rsidRPr="000D4C6A" w14:paraId="76B76D5C" w14:textId="77777777" w:rsidTr="00561177">
        <w:tc>
          <w:tcPr>
            <w:tcW w:w="4935" w:type="dxa"/>
          </w:tcPr>
          <w:p w14:paraId="3EB9E654" w14:textId="0CEDDA0D" w:rsidR="00A45397" w:rsidRPr="000D4C6A" w:rsidRDefault="00185028" w:rsidP="000D4C6A">
            <w:pPr>
              <w:pStyle w:val="Normal1"/>
              <w:jc w:val="both"/>
            </w:pPr>
            <w:r w:rsidRPr="000D4C6A">
              <w:t xml:space="preserve">1.3 </w:t>
            </w:r>
            <w:r w:rsidR="0058276D">
              <w:t>Communication and advocacy strategy designed and implemented to increase awareness on inclusive education.</w:t>
            </w:r>
          </w:p>
        </w:tc>
        <w:tc>
          <w:tcPr>
            <w:tcW w:w="4935" w:type="dxa"/>
          </w:tcPr>
          <w:p w14:paraId="7CC6082B" w14:textId="77777777"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CUL: Cultural norms, beliefs, attitudes and values</w:t>
            </w:r>
          </w:p>
          <w:p w14:paraId="54345540" w14:textId="77777777" w:rsidR="00A45397" w:rsidRPr="000D4C6A" w:rsidRDefault="00A45397" w:rsidP="000D4C6A">
            <w:pPr>
              <w:pStyle w:val="Normal1"/>
              <w:jc w:val="both"/>
            </w:pPr>
          </w:p>
        </w:tc>
      </w:tr>
      <w:tr w:rsidR="00A45397" w:rsidRPr="000D4C6A" w14:paraId="6E440489" w14:textId="77777777" w:rsidTr="00561177">
        <w:tc>
          <w:tcPr>
            <w:tcW w:w="4935" w:type="dxa"/>
          </w:tcPr>
          <w:p w14:paraId="75EB5EF3" w14:textId="77777777" w:rsidR="00A45397" w:rsidRPr="000D4C6A" w:rsidRDefault="00185028" w:rsidP="000D4C6A">
            <w:pPr>
              <w:pStyle w:val="Normal1"/>
              <w:jc w:val="both"/>
            </w:pPr>
            <w:r w:rsidRPr="000D4C6A">
              <w:t xml:space="preserve">1.4 </w:t>
            </w:r>
            <w:r w:rsidR="0058276D">
              <w:t>Organization of knowledge and awareness exchange activities addressed to n</w:t>
            </w:r>
            <w:r w:rsidRPr="000D4C6A">
              <w:t xml:space="preserve">ational academia and experts </w:t>
            </w:r>
          </w:p>
        </w:tc>
        <w:tc>
          <w:tcPr>
            <w:tcW w:w="4935" w:type="dxa"/>
          </w:tcPr>
          <w:p w14:paraId="61A68C48" w14:textId="77777777"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CAP: Capacity of key actors (duty bearers or right holders)</w:t>
            </w:r>
          </w:p>
          <w:p w14:paraId="4D6097AC" w14:textId="77777777"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 PAR: Partnership</w:t>
            </w:r>
          </w:p>
          <w:p w14:paraId="0DA78272" w14:textId="77777777" w:rsidR="00A45397" w:rsidRPr="000D4C6A" w:rsidRDefault="00A45397" w:rsidP="000D4C6A">
            <w:pPr>
              <w:pStyle w:val="Normal1"/>
              <w:jc w:val="both"/>
            </w:pPr>
          </w:p>
        </w:tc>
      </w:tr>
    </w:tbl>
    <w:p w14:paraId="426EF3A8" w14:textId="77777777" w:rsidR="00A45397" w:rsidRPr="000D4C6A" w:rsidRDefault="00A45397" w:rsidP="000D4C6A">
      <w:pPr>
        <w:pStyle w:val="Normal1"/>
        <w:jc w:val="both"/>
        <w:rPr>
          <w:i/>
        </w:rPr>
      </w:pPr>
    </w:p>
    <w:tbl>
      <w:tblPr>
        <w:tblStyle w:val="a6"/>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35"/>
        <w:gridCol w:w="4935"/>
      </w:tblGrid>
      <w:tr w:rsidR="000D4C6A" w:rsidRPr="000D4C6A" w14:paraId="7833D219" w14:textId="77777777" w:rsidTr="00561177">
        <w:tc>
          <w:tcPr>
            <w:tcW w:w="4935" w:type="dxa"/>
            <w:shd w:val="clear" w:color="auto" w:fill="A6A6A6"/>
          </w:tcPr>
          <w:p w14:paraId="35863F7C" w14:textId="77777777" w:rsidR="00A45397" w:rsidRPr="000D4C6A" w:rsidRDefault="00986A15" w:rsidP="00977CBF">
            <w:pPr>
              <w:pStyle w:val="Normal1"/>
              <w:pBdr>
                <w:top w:val="nil"/>
                <w:left w:val="nil"/>
                <w:bottom w:val="nil"/>
                <w:right w:val="nil"/>
                <w:between w:val="nil"/>
              </w:pBdr>
              <w:spacing w:before="60" w:after="200" w:line="276" w:lineRule="auto"/>
              <w:ind w:hanging="720"/>
              <w:jc w:val="center"/>
              <w:rPr>
                <w:rFonts w:eastAsia="Calibri"/>
                <w:b/>
              </w:rPr>
            </w:pPr>
            <w:r w:rsidRPr="000D4C6A">
              <w:rPr>
                <w:rFonts w:eastAsia="Calibri"/>
                <w:b/>
              </w:rPr>
              <w:t>Outcome 2</w:t>
            </w:r>
          </w:p>
          <w:p w14:paraId="7A3E4E83" w14:textId="77777777" w:rsidR="00A45397" w:rsidRPr="000D4C6A" w:rsidRDefault="00986A15" w:rsidP="000D4C6A">
            <w:pPr>
              <w:pStyle w:val="Normal1"/>
              <w:jc w:val="both"/>
              <w:rPr>
                <w:b/>
              </w:rPr>
            </w:pPr>
            <w:r w:rsidRPr="000D4C6A">
              <w:t>What structural shifts will be achieved?</w:t>
            </w:r>
          </w:p>
        </w:tc>
        <w:tc>
          <w:tcPr>
            <w:tcW w:w="4935" w:type="dxa"/>
            <w:shd w:val="clear" w:color="auto" w:fill="A6A6A6"/>
          </w:tcPr>
          <w:p w14:paraId="4356E8F5" w14:textId="77777777" w:rsidR="00A45397" w:rsidRPr="000D4C6A" w:rsidRDefault="00A45397" w:rsidP="000D4C6A">
            <w:pPr>
              <w:pStyle w:val="Normal1"/>
              <w:jc w:val="both"/>
              <w:rPr>
                <w:i/>
              </w:rPr>
            </w:pPr>
          </w:p>
        </w:tc>
      </w:tr>
      <w:tr w:rsidR="000D4C6A" w:rsidRPr="000D4C6A" w14:paraId="61CD05A5" w14:textId="77777777" w:rsidTr="00561177">
        <w:tc>
          <w:tcPr>
            <w:tcW w:w="4935" w:type="dxa"/>
          </w:tcPr>
          <w:p w14:paraId="770FF3C7" w14:textId="77777777" w:rsidR="00A45397" w:rsidRPr="000D4C6A" w:rsidRDefault="00986A15" w:rsidP="000D4C6A">
            <w:pPr>
              <w:pStyle w:val="Normal1"/>
              <w:jc w:val="both"/>
              <w:rPr>
                <w:i/>
              </w:rPr>
            </w:pPr>
            <w:r w:rsidRPr="000D4C6A">
              <w:rPr>
                <w:b/>
              </w:rPr>
              <w:t>Outcome formulation</w:t>
            </w:r>
          </w:p>
        </w:tc>
        <w:tc>
          <w:tcPr>
            <w:tcW w:w="4935" w:type="dxa"/>
          </w:tcPr>
          <w:p w14:paraId="3A080C4F" w14:textId="77777777" w:rsidR="00A45397" w:rsidRPr="000D4C6A" w:rsidRDefault="00986A15" w:rsidP="000D4C6A">
            <w:pPr>
              <w:pStyle w:val="Normal1"/>
              <w:jc w:val="both"/>
              <w:rPr>
                <w:i/>
              </w:rPr>
            </w:pPr>
            <w:r w:rsidRPr="000D4C6A">
              <w:rPr>
                <w:b/>
              </w:rPr>
              <w:t>Type of lever*</w:t>
            </w:r>
          </w:p>
        </w:tc>
      </w:tr>
      <w:tr w:rsidR="000D4C6A" w:rsidRPr="000D4C6A" w14:paraId="13465384" w14:textId="77777777" w:rsidTr="00561177">
        <w:trPr>
          <w:trHeight w:val="720"/>
        </w:trPr>
        <w:tc>
          <w:tcPr>
            <w:tcW w:w="4935" w:type="dxa"/>
          </w:tcPr>
          <w:p w14:paraId="115E67B5" w14:textId="77777777" w:rsidR="00A45397" w:rsidRPr="000D4C6A" w:rsidRDefault="00986A15" w:rsidP="000D4C6A">
            <w:pPr>
              <w:pStyle w:val="Normal1"/>
              <w:jc w:val="both"/>
            </w:pPr>
            <w:r w:rsidRPr="000D4C6A">
              <w:t xml:space="preserve">2. </w:t>
            </w:r>
            <w:r w:rsidR="0058276D">
              <w:t xml:space="preserve">Increased capacity of INFOTEP and Ministry of Labour to provide inclusive trainings and adapt regulations to National law </w:t>
            </w:r>
            <w:r w:rsidR="00977CBF" w:rsidRPr="00977CBF">
              <w:t>to improve access to decent jobs</w:t>
            </w:r>
            <w:r w:rsidR="0058276D">
              <w:t>.</w:t>
            </w:r>
          </w:p>
          <w:p w14:paraId="6DBD3948" w14:textId="77777777" w:rsidR="00A45397" w:rsidRPr="000D4C6A" w:rsidRDefault="00A45397" w:rsidP="000D4C6A">
            <w:pPr>
              <w:pStyle w:val="Normal1"/>
              <w:jc w:val="both"/>
            </w:pPr>
          </w:p>
          <w:p w14:paraId="0F4B77A5" w14:textId="77777777" w:rsidR="00A45397" w:rsidRPr="000D4C6A" w:rsidRDefault="00A45397" w:rsidP="000D4C6A">
            <w:pPr>
              <w:pStyle w:val="Normal1"/>
              <w:jc w:val="both"/>
            </w:pPr>
          </w:p>
        </w:tc>
        <w:tc>
          <w:tcPr>
            <w:tcW w:w="4935" w:type="dxa"/>
          </w:tcPr>
          <w:p w14:paraId="5D39AB6A" w14:textId="77777777" w:rsidR="00A45397" w:rsidRPr="000D4C6A" w:rsidRDefault="006F2AC8" w:rsidP="000D4C6A">
            <w:pPr>
              <w:pStyle w:val="Normal1"/>
              <w:jc w:val="both"/>
            </w:pPr>
            <w:r w:rsidRPr="000D4C6A">
              <w:t>-- K</w:t>
            </w:r>
            <w:r w:rsidR="00986A15" w:rsidRPr="000D4C6A">
              <w:t>AP: Capacity of key actors</w:t>
            </w:r>
          </w:p>
          <w:p w14:paraId="0871DD60" w14:textId="77777777" w:rsidR="00A45397" w:rsidRPr="000D4C6A" w:rsidRDefault="00A45397" w:rsidP="000D4C6A">
            <w:pPr>
              <w:pStyle w:val="Normal1"/>
              <w:jc w:val="both"/>
              <w:rPr>
                <w:i/>
              </w:rPr>
            </w:pPr>
          </w:p>
        </w:tc>
      </w:tr>
      <w:tr w:rsidR="000D4C6A" w:rsidRPr="000D4C6A" w14:paraId="1E2070E0" w14:textId="77777777" w:rsidTr="00561177">
        <w:trPr>
          <w:trHeight w:val="300"/>
        </w:trPr>
        <w:tc>
          <w:tcPr>
            <w:tcW w:w="4935" w:type="dxa"/>
            <w:shd w:val="clear" w:color="auto" w:fill="A6A6A6"/>
            <w:vAlign w:val="center"/>
          </w:tcPr>
          <w:p w14:paraId="0BFEA5CE" w14:textId="77777777" w:rsidR="00A45397" w:rsidRPr="000D4C6A" w:rsidRDefault="00986A15" w:rsidP="000D4C6A">
            <w:pPr>
              <w:pStyle w:val="Normal1"/>
              <w:jc w:val="both"/>
            </w:pPr>
            <w:r w:rsidRPr="000D4C6A">
              <w:rPr>
                <w:b/>
              </w:rPr>
              <w:t>Outputs</w:t>
            </w:r>
          </w:p>
          <w:p w14:paraId="432B81D0" w14:textId="77777777" w:rsidR="00A45397" w:rsidRPr="000D4C6A" w:rsidRDefault="00986A15" w:rsidP="000D4C6A">
            <w:pPr>
              <w:pStyle w:val="Normal1"/>
              <w:jc w:val="both"/>
              <w:rPr>
                <w:b/>
              </w:rPr>
            </w:pPr>
            <w:r w:rsidRPr="000D4C6A">
              <w:t>What project deliverables will contribute to the achievement of the outcome?</w:t>
            </w:r>
          </w:p>
        </w:tc>
        <w:tc>
          <w:tcPr>
            <w:tcW w:w="4935" w:type="dxa"/>
            <w:shd w:val="clear" w:color="auto" w:fill="A6A6A6"/>
            <w:vAlign w:val="center"/>
          </w:tcPr>
          <w:p w14:paraId="771FE851" w14:textId="77777777" w:rsidR="00A45397" w:rsidRPr="000D4C6A" w:rsidRDefault="00A45397" w:rsidP="000D4C6A">
            <w:pPr>
              <w:pStyle w:val="Normal1"/>
              <w:jc w:val="both"/>
              <w:rPr>
                <w:b/>
              </w:rPr>
            </w:pPr>
          </w:p>
        </w:tc>
      </w:tr>
      <w:tr w:rsidR="000D4C6A" w:rsidRPr="000D4C6A" w14:paraId="7401282B" w14:textId="77777777" w:rsidTr="00561177">
        <w:trPr>
          <w:trHeight w:val="360"/>
        </w:trPr>
        <w:tc>
          <w:tcPr>
            <w:tcW w:w="4935" w:type="dxa"/>
            <w:shd w:val="clear" w:color="auto" w:fill="auto"/>
            <w:vAlign w:val="center"/>
          </w:tcPr>
          <w:p w14:paraId="5D97082E" w14:textId="77777777" w:rsidR="00A45397" w:rsidRPr="000D4C6A" w:rsidRDefault="00986A15" w:rsidP="000D4C6A">
            <w:pPr>
              <w:pStyle w:val="Normal1"/>
              <w:jc w:val="both"/>
              <w:rPr>
                <w:i/>
              </w:rPr>
            </w:pPr>
            <w:r w:rsidRPr="000D4C6A">
              <w:rPr>
                <w:b/>
              </w:rPr>
              <w:t>Output Formulation</w:t>
            </w:r>
          </w:p>
        </w:tc>
        <w:tc>
          <w:tcPr>
            <w:tcW w:w="4935" w:type="dxa"/>
            <w:shd w:val="clear" w:color="auto" w:fill="auto"/>
          </w:tcPr>
          <w:p w14:paraId="0621BF81" w14:textId="77777777" w:rsidR="00A45397" w:rsidRPr="000D4C6A" w:rsidRDefault="00986A15" w:rsidP="000D4C6A">
            <w:pPr>
              <w:pStyle w:val="Normal1"/>
              <w:spacing w:before="60" w:after="60"/>
              <w:jc w:val="both"/>
            </w:pPr>
            <w:r w:rsidRPr="000D4C6A">
              <w:rPr>
                <w:b/>
              </w:rPr>
              <w:t>Type **</w:t>
            </w:r>
          </w:p>
          <w:p w14:paraId="57BC75D4" w14:textId="77777777" w:rsidR="00A45397" w:rsidRPr="000D4C6A" w:rsidRDefault="00986A15" w:rsidP="000D4C6A">
            <w:pPr>
              <w:pStyle w:val="Normal1"/>
              <w:jc w:val="both"/>
              <w:rPr>
                <w:i/>
              </w:rPr>
            </w:pPr>
            <w:r w:rsidRPr="000D4C6A">
              <w:t>(Only for capacity outcomes)</w:t>
            </w:r>
          </w:p>
        </w:tc>
      </w:tr>
      <w:tr w:rsidR="000D4C6A" w:rsidRPr="000D4C6A" w14:paraId="122F741D" w14:textId="77777777" w:rsidTr="00561177">
        <w:trPr>
          <w:trHeight w:val="920"/>
        </w:trPr>
        <w:tc>
          <w:tcPr>
            <w:tcW w:w="4935" w:type="dxa"/>
          </w:tcPr>
          <w:p w14:paraId="6B6EF7DF" w14:textId="77777777" w:rsidR="00A45397" w:rsidRPr="000D4C6A" w:rsidRDefault="0053226A" w:rsidP="000D4C6A">
            <w:pPr>
              <w:pStyle w:val="Normal1"/>
              <w:jc w:val="both"/>
            </w:pPr>
            <w:r w:rsidRPr="000D4C6A">
              <w:t xml:space="preserve"> 2.1 </w:t>
            </w:r>
            <w:r w:rsidR="007A5979">
              <w:t>Revision and adaptation</w:t>
            </w:r>
            <w:r w:rsidR="00447044">
              <w:t xml:space="preserve"> </w:t>
            </w:r>
            <w:r w:rsidR="007A5979">
              <w:t xml:space="preserve">of </w:t>
            </w:r>
            <w:r w:rsidRPr="000D4C6A">
              <w:t xml:space="preserve">INFOTEP’s technical-professional training offer </w:t>
            </w:r>
          </w:p>
        </w:tc>
        <w:tc>
          <w:tcPr>
            <w:tcW w:w="4935" w:type="dxa"/>
          </w:tcPr>
          <w:p w14:paraId="1B2828C4" w14:textId="77777777" w:rsidR="00A45397" w:rsidRPr="000D4C6A" w:rsidRDefault="00986A15" w:rsidP="000D4C6A">
            <w:pPr>
              <w:pStyle w:val="Normal1"/>
              <w:jc w:val="both"/>
            </w:pPr>
            <w:r w:rsidRPr="000D4C6A">
              <w:t>- KNO: Knowledge</w:t>
            </w:r>
          </w:p>
          <w:p w14:paraId="6EB09954" w14:textId="77777777" w:rsidR="00A45397" w:rsidRPr="000D4C6A" w:rsidRDefault="00986A15" w:rsidP="000D4C6A">
            <w:pPr>
              <w:pStyle w:val="Normal1"/>
              <w:jc w:val="both"/>
            </w:pPr>
            <w:r w:rsidRPr="000D4C6A">
              <w:t>- HUM: Human Resources</w:t>
            </w:r>
          </w:p>
          <w:p w14:paraId="07F71937" w14:textId="77777777" w:rsidR="00A45397" w:rsidRPr="000D4C6A" w:rsidRDefault="00986A15" w:rsidP="000D4C6A">
            <w:pPr>
              <w:pStyle w:val="Normal1"/>
              <w:jc w:val="both"/>
            </w:pPr>
            <w:r w:rsidRPr="000D4C6A">
              <w:t>- ACC: Access</w:t>
            </w:r>
          </w:p>
          <w:p w14:paraId="2D8F0376" w14:textId="77777777" w:rsidR="00A45397" w:rsidRPr="000D4C6A" w:rsidRDefault="00986A15" w:rsidP="000D4C6A">
            <w:pPr>
              <w:pStyle w:val="Normal1"/>
              <w:jc w:val="both"/>
            </w:pPr>
            <w:r w:rsidRPr="000D4C6A">
              <w:t>- TOO: Tool</w:t>
            </w:r>
          </w:p>
          <w:p w14:paraId="62848D59" w14:textId="77777777" w:rsidR="00A45397" w:rsidRPr="000D4C6A" w:rsidRDefault="00A45397" w:rsidP="000D4C6A">
            <w:pPr>
              <w:pStyle w:val="Normal1"/>
              <w:jc w:val="both"/>
              <w:rPr>
                <w:i/>
              </w:rPr>
            </w:pPr>
          </w:p>
        </w:tc>
      </w:tr>
      <w:tr w:rsidR="000D4C6A" w:rsidRPr="000D4C6A" w14:paraId="6A3900DC" w14:textId="77777777" w:rsidTr="00561177">
        <w:trPr>
          <w:trHeight w:val="920"/>
        </w:trPr>
        <w:tc>
          <w:tcPr>
            <w:tcW w:w="4935" w:type="dxa"/>
          </w:tcPr>
          <w:p w14:paraId="41863BC6" w14:textId="77777777" w:rsidR="00A45397" w:rsidRPr="000D4C6A" w:rsidRDefault="00926D48" w:rsidP="000D4C6A">
            <w:pPr>
              <w:pStyle w:val="Normal1"/>
              <w:jc w:val="both"/>
            </w:pPr>
            <w:r w:rsidRPr="000D4C6A">
              <w:t xml:space="preserve">2.2. </w:t>
            </w:r>
            <w:r w:rsidR="00447044">
              <w:t xml:space="preserve">Produced </w:t>
            </w:r>
            <w:r w:rsidRPr="000D4C6A">
              <w:t>Ministry of Labour accessible employment manual in line with the regulations of Law 05-13.</w:t>
            </w:r>
          </w:p>
          <w:p w14:paraId="55B00075" w14:textId="77777777" w:rsidR="00A45397" w:rsidRPr="000D4C6A" w:rsidRDefault="00A45397" w:rsidP="000D4C6A">
            <w:pPr>
              <w:pStyle w:val="Normal1"/>
              <w:jc w:val="both"/>
            </w:pPr>
          </w:p>
        </w:tc>
        <w:tc>
          <w:tcPr>
            <w:tcW w:w="4935" w:type="dxa"/>
          </w:tcPr>
          <w:p w14:paraId="5C0E6710" w14:textId="77777777"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 xml:space="preserve"> CAP: Capacity of key actors (duty bearers or right holders)</w:t>
            </w:r>
          </w:p>
          <w:p w14:paraId="2F94B37F" w14:textId="77777777"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 PAR: Partnership</w:t>
            </w:r>
          </w:p>
          <w:p w14:paraId="76B6CB14" w14:textId="77777777"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 TOO: Tool</w:t>
            </w:r>
          </w:p>
          <w:p w14:paraId="5D99A417" w14:textId="77777777" w:rsidR="00A45397" w:rsidRPr="000D4C6A" w:rsidRDefault="00A45397" w:rsidP="000D4C6A">
            <w:pPr>
              <w:pStyle w:val="Normal1"/>
              <w:jc w:val="both"/>
            </w:pPr>
          </w:p>
        </w:tc>
      </w:tr>
      <w:tr w:rsidR="000D4C6A" w:rsidRPr="000D4C6A" w14:paraId="54264266" w14:textId="77777777" w:rsidTr="00561177">
        <w:trPr>
          <w:trHeight w:val="920"/>
        </w:trPr>
        <w:tc>
          <w:tcPr>
            <w:tcW w:w="4935" w:type="dxa"/>
          </w:tcPr>
          <w:p w14:paraId="27E2F774" w14:textId="77777777" w:rsidR="00A45397" w:rsidRPr="000D4C6A" w:rsidRDefault="0097763F" w:rsidP="000D4C6A">
            <w:pPr>
              <w:pStyle w:val="Normal1"/>
              <w:jc w:val="both"/>
            </w:pPr>
            <w:r w:rsidRPr="000D4C6A">
              <w:t>2.3 Strategic alliances form</w:t>
            </w:r>
            <w:r w:rsidR="00926D48" w:rsidRPr="000D4C6A">
              <w:t>ed with the private and public sector have been created for promoting workplace inclusion of people with disabilities.</w:t>
            </w:r>
          </w:p>
        </w:tc>
        <w:tc>
          <w:tcPr>
            <w:tcW w:w="4935" w:type="dxa"/>
          </w:tcPr>
          <w:p w14:paraId="493BD676" w14:textId="77777777" w:rsidR="00A45397" w:rsidRPr="000D4C6A" w:rsidRDefault="00986A15" w:rsidP="000D4C6A">
            <w:pPr>
              <w:pStyle w:val="Normal1"/>
              <w:pBdr>
                <w:top w:val="nil"/>
                <w:left w:val="nil"/>
                <w:bottom w:val="nil"/>
                <w:right w:val="nil"/>
                <w:between w:val="nil"/>
              </w:pBdr>
              <w:jc w:val="both"/>
              <w:rPr>
                <w:rFonts w:eastAsia="Calibri"/>
              </w:rPr>
            </w:pPr>
            <w:r w:rsidRPr="000D4C6A">
              <w:rPr>
                <w:rFonts w:eastAsia="Calibri"/>
              </w:rPr>
              <w:t>- PAR: Partnership</w:t>
            </w:r>
          </w:p>
          <w:p w14:paraId="179F44FC" w14:textId="77777777" w:rsidR="00A45397" w:rsidRPr="000D4C6A" w:rsidRDefault="00A45397" w:rsidP="000D4C6A">
            <w:pPr>
              <w:pStyle w:val="Normal1"/>
              <w:jc w:val="both"/>
            </w:pPr>
          </w:p>
        </w:tc>
      </w:tr>
    </w:tbl>
    <w:p w14:paraId="5ACE2E80" w14:textId="77777777" w:rsidR="00A45397" w:rsidRPr="000D4C6A" w:rsidRDefault="00A45397" w:rsidP="000D4C6A">
      <w:pPr>
        <w:pStyle w:val="Normal1"/>
        <w:jc w:val="both"/>
        <w:rPr>
          <w:i/>
        </w:rPr>
      </w:pPr>
    </w:p>
    <w:p w14:paraId="32DAD079" w14:textId="77777777" w:rsidR="00A45397" w:rsidRPr="000D4C6A" w:rsidRDefault="00986A15" w:rsidP="000D4C6A">
      <w:pPr>
        <w:pStyle w:val="Normal1"/>
        <w:jc w:val="both"/>
        <w:rPr>
          <w:i/>
        </w:rPr>
      </w:pPr>
      <w:r w:rsidRPr="000D4C6A">
        <w:br w:type="page"/>
      </w:r>
    </w:p>
    <w:tbl>
      <w:tblPr>
        <w:tblStyle w:val="a7"/>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35"/>
        <w:gridCol w:w="4935"/>
      </w:tblGrid>
      <w:tr w:rsidR="000D4C6A" w:rsidRPr="000D4C6A" w14:paraId="09EA4C07" w14:textId="77777777" w:rsidTr="00561177">
        <w:tc>
          <w:tcPr>
            <w:tcW w:w="4935" w:type="dxa"/>
            <w:shd w:val="clear" w:color="auto" w:fill="A6A6A6"/>
          </w:tcPr>
          <w:p w14:paraId="0F7C81FC" w14:textId="77777777" w:rsidR="00A45397" w:rsidRPr="000D4C6A" w:rsidRDefault="00986A15" w:rsidP="00977CBF">
            <w:pPr>
              <w:pStyle w:val="Normal1"/>
              <w:pBdr>
                <w:top w:val="nil"/>
                <w:left w:val="nil"/>
                <w:bottom w:val="nil"/>
                <w:right w:val="nil"/>
                <w:between w:val="nil"/>
              </w:pBdr>
              <w:spacing w:before="60" w:after="200" w:line="276" w:lineRule="auto"/>
              <w:ind w:hanging="720"/>
              <w:jc w:val="center"/>
              <w:rPr>
                <w:rFonts w:eastAsia="Calibri"/>
                <w:b/>
              </w:rPr>
            </w:pPr>
            <w:r w:rsidRPr="000D4C6A">
              <w:rPr>
                <w:rFonts w:eastAsia="Calibri"/>
                <w:b/>
              </w:rPr>
              <w:t>Outcome 3</w:t>
            </w:r>
          </w:p>
          <w:p w14:paraId="369353B9" w14:textId="77777777" w:rsidR="00A45397" w:rsidRPr="000D4C6A" w:rsidRDefault="00986A15" w:rsidP="000D4C6A">
            <w:pPr>
              <w:pStyle w:val="Normal1"/>
              <w:jc w:val="both"/>
              <w:rPr>
                <w:b/>
              </w:rPr>
            </w:pPr>
            <w:r w:rsidRPr="000D4C6A">
              <w:t>What structural shifts will be achieved?</w:t>
            </w:r>
          </w:p>
        </w:tc>
        <w:tc>
          <w:tcPr>
            <w:tcW w:w="4935" w:type="dxa"/>
            <w:shd w:val="clear" w:color="auto" w:fill="A6A6A6"/>
          </w:tcPr>
          <w:p w14:paraId="4CFFBC5E" w14:textId="77777777" w:rsidR="00A45397" w:rsidRPr="000D4C6A" w:rsidRDefault="00A45397" w:rsidP="000D4C6A">
            <w:pPr>
              <w:pStyle w:val="Normal1"/>
              <w:jc w:val="both"/>
              <w:rPr>
                <w:i/>
              </w:rPr>
            </w:pPr>
          </w:p>
        </w:tc>
      </w:tr>
      <w:tr w:rsidR="000D4C6A" w:rsidRPr="000D4C6A" w14:paraId="15F01B03" w14:textId="77777777" w:rsidTr="00561177">
        <w:tc>
          <w:tcPr>
            <w:tcW w:w="4935" w:type="dxa"/>
          </w:tcPr>
          <w:p w14:paraId="7C734EE7" w14:textId="77777777" w:rsidR="00A45397" w:rsidRPr="000D4C6A" w:rsidRDefault="00986A15" w:rsidP="000D4C6A">
            <w:pPr>
              <w:pStyle w:val="Normal1"/>
              <w:jc w:val="both"/>
              <w:rPr>
                <w:i/>
              </w:rPr>
            </w:pPr>
            <w:r w:rsidRPr="000D4C6A">
              <w:rPr>
                <w:b/>
              </w:rPr>
              <w:t>Outcome formulation</w:t>
            </w:r>
          </w:p>
        </w:tc>
        <w:tc>
          <w:tcPr>
            <w:tcW w:w="4935" w:type="dxa"/>
          </w:tcPr>
          <w:p w14:paraId="6EA6F41E" w14:textId="77777777" w:rsidR="00A45397" w:rsidRPr="000D4C6A" w:rsidRDefault="00986A15" w:rsidP="000D4C6A">
            <w:pPr>
              <w:pStyle w:val="Normal1"/>
              <w:jc w:val="both"/>
              <w:rPr>
                <w:i/>
              </w:rPr>
            </w:pPr>
            <w:r w:rsidRPr="000D4C6A">
              <w:rPr>
                <w:b/>
              </w:rPr>
              <w:t>Type of lever*</w:t>
            </w:r>
          </w:p>
        </w:tc>
      </w:tr>
      <w:tr w:rsidR="000D4C6A" w:rsidRPr="000D4C6A" w14:paraId="779C298C" w14:textId="77777777" w:rsidTr="00561177">
        <w:trPr>
          <w:trHeight w:val="820"/>
        </w:trPr>
        <w:tc>
          <w:tcPr>
            <w:tcW w:w="4935" w:type="dxa"/>
          </w:tcPr>
          <w:p w14:paraId="3748FC29" w14:textId="77777777" w:rsidR="00A45397" w:rsidRDefault="00986A15" w:rsidP="000D4C6A">
            <w:pPr>
              <w:pStyle w:val="Normal1"/>
              <w:jc w:val="both"/>
            </w:pPr>
            <w:r w:rsidRPr="00521ECD">
              <w:rPr>
                <w:strike/>
              </w:rPr>
              <w:t>.</w:t>
            </w:r>
          </w:p>
          <w:p w14:paraId="05FE81F9" w14:textId="77777777" w:rsidR="00D8502C" w:rsidRPr="000D4C6A" w:rsidRDefault="00EC7352" w:rsidP="000D4C6A">
            <w:pPr>
              <w:pStyle w:val="Normal1"/>
              <w:jc w:val="both"/>
            </w:pPr>
            <w:r>
              <w:t>Government capacity to support persons with disabilities’ participation and inclusion in the community and all aspects of society.</w:t>
            </w:r>
          </w:p>
        </w:tc>
        <w:tc>
          <w:tcPr>
            <w:tcW w:w="4935" w:type="dxa"/>
          </w:tcPr>
          <w:p w14:paraId="0FCCCF1A" w14:textId="77777777" w:rsidR="00A45397" w:rsidRPr="000D4C6A" w:rsidRDefault="00986A15" w:rsidP="000D4C6A">
            <w:pPr>
              <w:pStyle w:val="Normal1"/>
              <w:jc w:val="both"/>
              <w:rPr>
                <w:i/>
              </w:rPr>
            </w:pPr>
            <w:r w:rsidRPr="000D4C6A">
              <w:rPr>
                <w:i/>
              </w:rPr>
              <w:t>- KAP: Capacity of key actors</w:t>
            </w:r>
          </w:p>
          <w:p w14:paraId="3F31E147" w14:textId="77777777" w:rsidR="00A45397" w:rsidRPr="000D4C6A" w:rsidRDefault="00A45397" w:rsidP="000D4C6A">
            <w:pPr>
              <w:pStyle w:val="Normal1"/>
              <w:jc w:val="both"/>
              <w:rPr>
                <w:i/>
              </w:rPr>
            </w:pPr>
          </w:p>
        </w:tc>
      </w:tr>
      <w:tr w:rsidR="000D4C6A" w:rsidRPr="000D4C6A" w14:paraId="6D045E9B" w14:textId="77777777" w:rsidTr="00561177">
        <w:tc>
          <w:tcPr>
            <w:tcW w:w="4935" w:type="dxa"/>
            <w:shd w:val="clear" w:color="auto" w:fill="A6A6A6"/>
          </w:tcPr>
          <w:p w14:paraId="3CF2C803" w14:textId="77777777" w:rsidR="00A45397" w:rsidRPr="000D4C6A" w:rsidRDefault="00986A15" w:rsidP="000D4C6A">
            <w:pPr>
              <w:pStyle w:val="Normal1"/>
              <w:jc w:val="both"/>
            </w:pPr>
            <w:r w:rsidRPr="000D4C6A">
              <w:rPr>
                <w:b/>
              </w:rPr>
              <w:t>Outputs</w:t>
            </w:r>
          </w:p>
          <w:p w14:paraId="48EFE126" w14:textId="77777777" w:rsidR="00A45397" w:rsidRPr="000D4C6A" w:rsidRDefault="00986A15" w:rsidP="000D4C6A">
            <w:pPr>
              <w:pStyle w:val="Normal1"/>
              <w:jc w:val="both"/>
              <w:rPr>
                <w:b/>
              </w:rPr>
            </w:pPr>
            <w:r w:rsidRPr="000D4C6A">
              <w:t xml:space="preserve">What project deliverables will contribute to the achievement of the outcome? </w:t>
            </w:r>
          </w:p>
        </w:tc>
        <w:tc>
          <w:tcPr>
            <w:tcW w:w="4935" w:type="dxa"/>
            <w:shd w:val="clear" w:color="auto" w:fill="A6A6A6"/>
          </w:tcPr>
          <w:p w14:paraId="359D4247" w14:textId="77777777" w:rsidR="00A45397" w:rsidRPr="000D4C6A" w:rsidRDefault="00A45397" w:rsidP="000D4C6A">
            <w:pPr>
              <w:pStyle w:val="Normal1"/>
              <w:jc w:val="both"/>
              <w:rPr>
                <w:b/>
              </w:rPr>
            </w:pPr>
          </w:p>
        </w:tc>
      </w:tr>
      <w:tr w:rsidR="000D4C6A" w:rsidRPr="000D4C6A" w14:paraId="3C832AB6" w14:textId="77777777" w:rsidTr="00561177">
        <w:trPr>
          <w:trHeight w:val="320"/>
        </w:trPr>
        <w:tc>
          <w:tcPr>
            <w:tcW w:w="4935" w:type="dxa"/>
            <w:shd w:val="clear" w:color="auto" w:fill="auto"/>
          </w:tcPr>
          <w:p w14:paraId="5BAE3EB8" w14:textId="77777777" w:rsidR="00A45397" w:rsidRPr="000D4C6A" w:rsidRDefault="00986A15" w:rsidP="000D4C6A">
            <w:pPr>
              <w:pStyle w:val="Normal1"/>
              <w:jc w:val="both"/>
              <w:rPr>
                <w:i/>
              </w:rPr>
            </w:pPr>
            <w:r w:rsidRPr="000D4C6A">
              <w:rPr>
                <w:b/>
              </w:rPr>
              <w:t>Output Formulation</w:t>
            </w:r>
          </w:p>
        </w:tc>
        <w:tc>
          <w:tcPr>
            <w:tcW w:w="4935" w:type="dxa"/>
            <w:shd w:val="clear" w:color="auto" w:fill="auto"/>
          </w:tcPr>
          <w:p w14:paraId="46A8ED96" w14:textId="77777777" w:rsidR="00A45397" w:rsidRPr="000D4C6A" w:rsidRDefault="00986A15" w:rsidP="000D4C6A">
            <w:pPr>
              <w:pStyle w:val="Normal1"/>
              <w:spacing w:before="60" w:after="60"/>
              <w:jc w:val="both"/>
            </w:pPr>
            <w:r w:rsidRPr="000D4C6A">
              <w:rPr>
                <w:b/>
              </w:rPr>
              <w:t>Type **</w:t>
            </w:r>
          </w:p>
          <w:p w14:paraId="59AF7E0A" w14:textId="77777777" w:rsidR="00A45397" w:rsidRPr="000D4C6A" w:rsidRDefault="00986A15" w:rsidP="000D4C6A">
            <w:pPr>
              <w:pStyle w:val="Normal1"/>
              <w:jc w:val="both"/>
              <w:rPr>
                <w:b/>
                <w:i/>
              </w:rPr>
            </w:pPr>
            <w:r w:rsidRPr="000D4C6A">
              <w:t>(Only for capacity outcomes)</w:t>
            </w:r>
          </w:p>
        </w:tc>
      </w:tr>
      <w:tr w:rsidR="000D4C6A" w:rsidRPr="000D4C6A" w14:paraId="61D0A7FB" w14:textId="77777777" w:rsidTr="00561177">
        <w:trPr>
          <w:trHeight w:val="1240"/>
        </w:trPr>
        <w:tc>
          <w:tcPr>
            <w:tcW w:w="4935" w:type="dxa"/>
          </w:tcPr>
          <w:p w14:paraId="0F0A633C" w14:textId="77777777" w:rsidR="00A45397" w:rsidRPr="000D4C6A" w:rsidRDefault="00986A15" w:rsidP="000D4C6A">
            <w:pPr>
              <w:pStyle w:val="Normal1"/>
              <w:jc w:val="both"/>
            </w:pPr>
            <w:r w:rsidRPr="000D4C6A">
              <w:t xml:space="preserve">3.1 </w:t>
            </w:r>
            <w:r w:rsidR="00977CBF" w:rsidRPr="00977CBF">
              <w:t>The government and PWD have developed a joint strategy to reduce discrimination against women with disabilities.</w:t>
            </w:r>
          </w:p>
        </w:tc>
        <w:tc>
          <w:tcPr>
            <w:tcW w:w="4935" w:type="dxa"/>
          </w:tcPr>
          <w:p w14:paraId="1C8DA37B" w14:textId="77777777" w:rsidR="00A45397" w:rsidRPr="000D4C6A" w:rsidRDefault="00986A15" w:rsidP="000D4C6A">
            <w:pPr>
              <w:pStyle w:val="Normal1"/>
              <w:jc w:val="both"/>
            </w:pPr>
            <w:r w:rsidRPr="000D4C6A">
              <w:t>- CUL:</w:t>
            </w:r>
            <w:r w:rsidRPr="000D4C6A">
              <w:tab/>
              <w:t>Cultural norms, beliefs, attitudes and values</w:t>
            </w:r>
          </w:p>
          <w:p w14:paraId="00C55F62" w14:textId="77777777" w:rsidR="00A45397" w:rsidRPr="000D4C6A" w:rsidRDefault="00986A15" w:rsidP="000D4C6A">
            <w:pPr>
              <w:pStyle w:val="Normal1"/>
              <w:jc w:val="both"/>
            </w:pPr>
            <w:r w:rsidRPr="000D4C6A">
              <w:t>- PAR:</w:t>
            </w:r>
            <w:r w:rsidRPr="000D4C6A">
              <w:tab/>
              <w:t>Partnership</w:t>
            </w:r>
          </w:p>
          <w:p w14:paraId="2EE8E0D5" w14:textId="77777777" w:rsidR="00A45397" w:rsidRPr="000D4C6A" w:rsidRDefault="00986A15" w:rsidP="000D4C6A">
            <w:pPr>
              <w:pStyle w:val="Normal1"/>
              <w:jc w:val="both"/>
            </w:pPr>
            <w:r w:rsidRPr="000D4C6A">
              <w:t>- KNO:</w:t>
            </w:r>
            <w:r w:rsidRPr="000D4C6A">
              <w:tab/>
              <w:t>Knowledge</w:t>
            </w:r>
          </w:p>
          <w:p w14:paraId="370627FE" w14:textId="77777777" w:rsidR="00A45397" w:rsidRPr="000D4C6A" w:rsidRDefault="00986A15" w:rsidP="000D4C6A">
            <w:pPr>
              <w:pStyle w:val="Normal1"/>
              <w:jc w:val="both"/>
            </w:pPr>
            <w:r w:rsidRPr="000D4C6A">
              <w:t>- ACC:</w:t>
            </w:r>
            <w:r w:rsidRPr="000D4C6A">
              <w:tab/>
              <w:t>Access</w:t>
            </w:r>
          </w:p>
          <w:p w14:paraId="02390DBC" w14:textId="77777777" w:rsidR="00A45397" w:rsidRPr="000D4C6A" w:rsidRDefault="00A45397" w:rsidP="000D4C6A">
            <w:pPr>
              <w:pStyle w:val="Normal1"/>
              <w:jc w:val="both"/>
            </w:pPr>
          </w:p>
        </w:tc>
      </w:tr>
      <w:tr w:rsidR="000D4C6A" w:rsidRPr="000D4C6A" w14:paraId="15DFC84F" w14:textId="77777777" w:rsidTr="00561177">
        <w:trPr>
          <w:trHeight w:val="1240"/>
        </w:trPr>
        <w:tc>
          <w:tcPr>
            <w:tcW w:w="4935" w:type="dxa"/>
          </w:tcPr>
          <w:p w14:paraId="1CC93B5A" w14:textId="77777777" w:rsidR="00B072CE" w:rsidRPr="000D4C6A" w:rsidRDefault="00977CBF" w:rsidP="00977CBF">
            <w:pPr>
              <w:pStyle w:val="Normal1"/>
              <w:spacing w:after="200" w:line="276" w:lineRule="auto"/>
              <w:contextualSpacing/>
              <w:jc w:val="both"/>
              <w:rPr>
                <w:rFonts w:eastAsia="Abadi MT Condensed Light"/>
              </w:rPr>
            </w:pPr>
            <w:r>
              <w:rPr>
                <w:rFonts w:eastAsia="Abadi MT Condensed Light"/>
              </w:rPr>
              <w:t xml:space="preserve">3.2 </w:t>
            </w:r>
            <w:r w:rsidRPr="00977CBF">
              <w:rPr>
                <w:rFonts w:eastAsia="Abadi MT Condensed Light"/>
              </w:rPr>
              <w:t xml:space="preserve">National programme for the social development of PWD with a focus on community participation and gender </w:t>
            </w:r>
            <w:r w:rsidR="00564687" w:rsidRPr="00977CBF">
              <w:rPr>
                <w:rFonts w:eastAsia="Abadi MT Condensed Light"/>
              </w:rPr>
              <w:t>equ</w:t>
            </w:r>
            <w:r w:rsidR="00564687">
              <w:rPr>
                <w:rFonts w:eastAsia="Abadi MT Condensed Light"/>
              </w:rPr>
              <w:t>ality</w:t>
            </w:r>
            <w:r w:rsidR="00564687" w:rsidRPr="00977CBF">
              <w:rPr>
                <w:rFonts w:eastAsia="Abadi MT Condensed Light"/>
              </w:rPr>
              <w:t xml:space="preserve"> </w:t>
            </w:r>
            <w:r w:rsidRPr="00977CBF">
              <w:rPr>
                <w:rFonts w:eastAsia="Abadi MT Condensed Light"/>
              </w:rPr>
              <w:t>implemented.</w:t>
            </w:r>
          </w:p>
        </w:tc>
        <w:tc>
          <w:tcPr>
            <w:tcW w:w="4935" w:type="dxa"/>
          </w:tcPr>
          <w:p w14:paraId="6EF6BD24" w14:textId="77777777" w:rsidR="00A45397" w:rsidRPr="000D4C6A" w:rsidRDefault="00986A15" w:rsidP="000D4C6A">
            <w:pPr>
              <w:pStyle w:val="Normal1"/>
              <w:jc w:val="both"/>
            </w:pPr>
            <w:r w:rsidRPr="000D4C6A">
              <w:t>- KNO:</w:t>
            </w:r>
            <w:r w:rsidRPr="000D4C6A">
              <w:tab/>
              <w:t>Knowledge</w:t>
            </w:r>
          </w:p>
          <w:p w14:paraId="0AC2F8EE" w14:textId="77777777" w:rsidR="00A45397" w:rsidRPr="000D4C6A" w:rsidRDefault="00986A15" w:rsidP="000D4C6A">
            <w:pPr>
              <w:pStyle w:val="Normal1"/>
              <w:jc w:val="both"/>
            </w:pPr>
            <w:r w:rsidRPr="000D4C6A">
              <w:t>- ACC:</w:t>
            </w:r>
            <w:r w:rsidRPr="000D4C6A">
              <w:tab/>
              <w:t>Access</w:t>
            </w:r>
          </w:p>
          <w:p w14:paraId="74D476D5" w14:textId="77777777" w:rsidR="00B072CE" w:rsidRPr="000D4C6A" w:rsidRDefault="00B072CE" w:rsidP="000D4C6A">
            <w:pPr>
              <w:pStyle w:val="Normal1"/>
              <w:jc w:val="both"/>
            </w:pPr>
          </w:p>
        </w:tc>
      </w:tr>
      <w:tr w:rsidR="00A45397" w:rsidRPr="000D4C6A" w14:paraId="0C503D47" w14:textId="77777777" w:rsidTr="00561177">
        <w:trPr>
          <w:trHeight w:val="1240"/>
        </w:trPr>
        <w:tc>
          <w:tcPr>
            <w:tcW w:w="4935" w:type="dxa"/>
          </w:tcPr>
          <w:p w14:paraId="45144D26" w14:textId="77777777" w:rsidR="00A45397" w:rsidRPr="000D4C6A" w:rsidRDefault="00977CBF" w:rsidP="00977CBF">
            <w:pPr>
              <w:pStyle w:val="Normal1"/>
              <w:numPr>
                <w:ilvl w:val="1"/>
                <w:numId w:val="29"/>
              </w:numPr>
              <w:pBdr>
                <w:top w:val="nil"/>
                <w:left w:val="nil"/>
                <w:bottom w:val="nil"/>
                <w:right w:val="nil"/>
                <w:between w:val="nil"/>
              </w:pBdr>
              <w:spacing w:after="200" w:line="276" w:lineRule="auto"/>
              <w:contextualSpacing/>
              <w:jc w:val="both"/>
              <w:rPr>
                <w:rFonts w:eastAsia="Abadi MT Condensed Light"/>
              </w:rPr>
            </w:pPr>
            <w:r w:rsidRPr="00977CBF">
              <w:rPr>
                <w:rFonts w:eastAsia="Abadi MT Condensed Light"/>
              </w:rPr>
              <w:t>By 2020, a national disability assessment system is created and validated.</w:t>
            </w:r>
          </w:p>
        </w:tc>
        <w:tc>
          <w:tcPr>
            <w:tcW w:w="4935" w:type="dxa"/>
          </w:tcPr>
          <w:p w14:paraId="36E08B77" w14:textId="77777777" w:rsidR="00A45397" w:rsidRPr="000D4C6A" w:rsidRDefault="00986A15" w:rsidP="000D4C6A">
            <w:pPr>
              <w:pStyle w:val="Normal1"/>
              <w:jc w:val="both"/>
            </w:pPr>
            <w:r w:rsidRPr="000D4C6A">
              <w:t>- KNO:</w:t>
            </w:r>
            <w:r w:rsidRPr="000D4C6A">
              <w:tab/>
              <w:t>Knowledge</w:t>
            </w:r>
          </w:p>
          <w:p w14:paraId="5F5313D8" w14:textId="77777777" w:rsidR="00A45397" w:rsidRPr="000D4C6A" w:rsidRDefault="00986A15" w:rsidP="000D4C6A">
            <w:pPr>
              <w:pStyle w:val="Normal1"/>
              <w:jc w:val="both"/>
            </w:pPr>
            <w:r w:rsidRPr="000D4C6A">
              <w:t>- ACC:</w:t>
            </w:r>
            <w:r w:rsidRPr="000D4C6A">
              <w:tab/>
              <w:t>Access</w:t>
            </w:r>
          </w:p>
          <w:p w14:paraId="112D277A" w14:textId="77777777" w:rsidR="00A45397" w:rsidRPr="000D4C6A" w:rsidRDefault="00A45397" w:rsidP="000D4C6A">
            <w:pPr>
              <w:pStyle w:val="Normal1"/>
              <w:jc w:val="both"/>
            </w:pPr>
          </w:p>
        </w:tc>
      </w:tr>
    </w:tbl>
    <w:p w14:paraId="7D4B8AFB" w14:textId="77777777" w:rsidR="00A45397" w:rsidRPr="000D4C6A" w:rsidRDefault="00A45397" w:rsidP="000D4C6A">
      <w:pPr>
        <w:pStyle w:val="Normal1"/>
        <w:spacing w:after="120"/>
        <w:jc w:val="both"/>
      </w:pPr>
    </w:p>
    <w:p w14:paraId="561FB63E" w14:textId="77777777" w:rsidR="00A45397" w:rsidRPr="000D4C6A" w:rsidRDefault="00A45397" w:rsidP="000D4C6A">
      <w:pPr>
        <w:pStyle w:val="Normal1"/>
        <w:spacing w:after="120"/>
        <w:jc w:val="both"/>
      </w:pPr>
    </w:p>
    <w:p w14:paraId="199F5A7E" w14:textId="77777777" w:rsidR="00A45397" w:rsidRPr="000D4C6A" w:rsidRDefault="00986A15" w:rsidP="000D4C6A">
      <w:pPr>
        <w:pStyle w:val="Normal1"/>
        <w:spacing w:after="120"/>
        <w:jc w:val="both"/>
        <w:rPr>
          <w:i/>
        </w:rPr>
      </w:pPr>
      <w:r w:rsidRPr="000D4C6A">
        <w:t xml:space="preserve"> </w:t>
      </w:r>
      <w:r w:rsidRPr="000D4C6A">
        <w:rPr>
          <w:i/>
        </w:rPr>
        <w:t xml:space="preserve">In defining the above, please refer to the following definitions based on the UNDG Harmonized RBM Terminology. </w:t>
      </w:r>
    </w:p>
    <w:p w14:paraId="115F51D1" w14:textId="77777777" w:rsidR="00A45397" w:rsidRPr="000D4C6A" w:rsidRDefault="00986A15" w:rsidP="000D4C6A">
      <w:pPr>
        <w:pStyle w:val="Normal1"/>
        <w:spacing w:after="120"/>
        <w:jc w:val="both"/>
        <w:rPr>
          <w:i/>
        </w:rPr>
      </w:pPr>
      <w:r w:rsidRPr="000D4C6A">
        <w:rPr>
          <w:b/>
          <w:i/>
        </w:rPr>
        <w:t>Impact:</w:t>
      </w:r>
      <w:r w:rsidRPr="000D4C6A">
        <w:rPr>
          <w:i/>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10D281B1" w14:textId="77777777" w:rsidR="00A45397" w:rsidRPr="000D4C6A" w:rsidRDefault="00986A15" w:rsidP="000D4C6A">
      <w:pPr>
        <w:pStyle w:val="Normal1"/>
        <w:spacing w:after="120"/>
        <w:jc w:val="both"/>
        <w:rPr>
          <w:i/>
        </w:rPr>
      </w:pPr>
      <w:r w:rsidRPr="000D4C6A">
        <w:rPr>
          <w:b/>
          <w:i/>
        </w:rPr>
        <w:t>Outcome:</w:t>
      </w:r>
      <w:r w:rsidRPr="000D4C6A">
        <w:rPr>
          <w:i/>
        </w:rPr>
        <w:t xml:space="preserve"> The intended or achieved short-term and medium-term effects of an intervention’s outputs, usually requiring the collective effort of partners.</w:t>
      </w:r>
      <w:r w:rsidR="00B367D0" w:rsidRPr="000D4C6A">
        <w:rPr>
          <w:i/>
        </w:rPr>
        <w:t xml:space="preserve"> </w:t>
      </w:r>
      <w:r w:rsidRPr="000D4C6A">
        <w:rPr>
          <w:i/>
        </w:rPr>
        <w:t>Outcomes represent changes in development conditions which occur between the completion of outputs and the achievement of impact.</w:t>
      </w:r>
    </w:p>
    <w:p w14:paraId="76C610B4" w14:textId="77777777" w:rsidR="00A45397" w:rsidRPr="000D4C6A" w:rsidRDefault="00986A15" w:rsidP="000D4C6A">
      <w:pPr>
        <w:pStyle w:val="Normal1"/>
        <w:spacing w:after="120"/>
        <w:jc w:val="both"/>
        <w:rPr>
          <w:i/>
        </w:rPr>
      </w:pPr>
      <w:r w:rsidRPr="000D4C6A">
        <w:rPr>
          <w:b/>
          <w:i/>
        </w:rPr>
        <w:t>Outputs:</w:t>
      </w:r>
      <w:r w:rsidRPr="000D4C6A">
        <w:rPr>
          <w:i/>
        </w:rPr>
        <w:t xml:space="preserve"> The products and services which result from the completion of activities within a development intervention.</w:t>
      </w:r>
    </w:p>
    <w:p w14:paraId="277BCC71" w14:textId="77777777" w:rsidR="00A45397" w:rsidRPr="000D4C6A" w:rsidRDefault="00986A15" w:rsidP="000D4C6A">
      <w:pPr>
        <w:pStyle w:val="Normal1"/>
        <w:spacing w:after="120"/>
        <w:jc w:val="both"/>
        <w:rPr>
          <w:i/>
        </w:rPr>
      </w:pPr>
      <w:r w:rsidRPr="000D4C6A">
        <w:rPr>
          <w:i/>
        </w:rPr>
        <w:t xml:space="preserve">When articulating the result chain, the following should be noted with reference to the level of control the project can have over the envisaged short, medium and </w:t>
      </w:r>
      <w:proofErr w:type="gramStart"/>
      <w:r w:rsidRPr="000D4C6A">
        <w:rPr>
          <w:i/>
        </w:rPr>
        <w:t>long term</w:t>
      </w:r>
      <w:proofErr w:type="gramEnd"/>
      <w:r w:rsidRPr="000D4C6A">
        <w:rPr>
          <w:i/>
        </w:rPr>
        <w:t xml:space="preserve"> results of the planned intervention. </w:t>
      </w:r>
    </w:p>
    <w:p w14:paraId="535ED90D" w14:textId="77777777" w:rsidR="00A45397" w:rsidRPr="000D4C6A" w:rsidRDefault="00986A15" w:rsidP="000D4C6A">
      <w:pPr>
        <w:pStyle w:val="Normal1"/>
        <w:spacing w:after="120"/>
        <w:jc w:val="both"/>
        <w:rPr>
          <w:i/>
        </w:rPr>
      </w:pPr>
      <w:r w:rsidRPr="000D4C6A">
        <w:rPr>
          <w:b/>
          <w:i/>
        </w:rPr>
        <w:t>Outputs</w:t>
      </w:r>
      <w:r w:rsidRPr="000D4C6A">
        <w:rPr>
          <w:i/>
        </w:rPr>
        <w:t xml:space="preserve"> are elements within the direct sphere of influence of the organizations implementing the project. Implementing partners are therefore directly accountable for this component of the result chain.</w:t>
      </w:r>
    </w:p>
    <w:p w14:paraId="78B9A4EE" w14:textId="77777777" w:rsidR="00A45397" w:rsidRPr="000D4C6A" w:rsidRDefault="00986A15" w:rsidP="000D4C6A">
      <w:pPr>
        <w:pStyle w:val="Normal1"/>
        <w:spacing w:after="120"/>
        <w:jc w:val="both"/>
        <w:rPr>
          <w:i/>
        </w:rPr>
      </w:pPr>
      <w:r w:rsidRPr="000D4C6A">
        <w:rPr>
          <w:b/>
          <w:i/>
        </w:rPr>
        <w:t>Outcomes</w:t>
      </w:r>
      <w:r w:rsidRPr="000D4C6A">
        <w:rPr>
          <w:i/>
        </w:rPr>
        <w:t xml:space="preserve"> are higher-level structural shifts, which are not fully within the control of the project. For this reason, projects cannot be directly accountable for outcome-level transformation, although it is expected that successful projects will be able to demonstrate high rates of outcome-level achievement.</w:t>
      </w:r>
    </w:p>
    <w:p w14:paraId="04F93D2B" w14:textId="77777777" w:rsidR="00A45397" w:rsidRPr="000D4C6A" w:rsidRDefault="00986A15" w:rsidP="002A222C">
      <w:pPr>
        <w:pStyle w:val="Normal1"/>
        <w:pBdr>
          <w:top w:val="nil"/>
          <w:left w:val="nil"/>
          <w:bottom w:val="nil"/>
          <w:right w:val="nil"/>
          <w:between w:val="nil"/>
        </w:pBdr>
        <w:spacing w:after="120" w:line="276" w:lineRule="auto"/>
        <w:jc w:val="both"/>
        <w:rPr>
          <w:rFonts w:eastAsia="Calibri"/>
          <w:i/>
        </w:rPr>
      </w:pPr>
      <w:r w:rsidRPr="000D4C6A">
        <w:rPr>
          <w:rFonts w:eastAsia="Calibri"/>
          <w:b/>
          <w:i/>
        </w:rPr>
        <w:t>Impact</w:t>
      </w:r>
      <w:r w:rsidRPr="000D4C6A">
        <w:rPr>
          <w:rFonts w:eastAsia="Calibri"/>
          <w:i/>
        </w:rPr>
        <w:t xml:space="preserve"> - as a significant change in conditions of life - is not intended to be achieved solely by the project and in most cases will not be fully observable within the project implementation time span. However, within an appropriate timeframe it should be possible for the project to show a plausible link between the outputs delivered, the outcomes facilitated and relevant improvements in conditions of life.</w:t>
      </w:r>
    </w:p>
    <w:p w14:paraId="68AC5417" w14:textId="77777777" w:rsidR="00A45397" w:rsidRPr="00CB7399" w:rsidRDefault="00986A15" w:rsidP="000D4C6A">
      <w:pPr>
        <w:pStyle w:val="Normal1"/>
        <w:shd w:val="clear" w:color="auto" w:fill="FFFFFF"/>
        <w:jc w:val="both"/>
        <w:rPr>
          <w:sz w:val="20"/>
        </w:rPr>
      </w:pPr>
      <w:r w:rsidRPr="00CB7399">
        <w:rPr>
          <w:b/>
          <w:sz w:val="20"/>
        </w:rPr>
        <w:t xml:space="preserve">* </w:t>
      </w:r>
      <w:r w:rsidRPr="00CB7399">
        <w:rPr>
          <w:sz w:val="20"/>
        </w:rPr>
        <w:t xml:space="preserve">Please specify here the type of lever of change to which each proposed outcome corresponds. With reference to Table 1, page 33 of the SOF, for each outcome select </w:t>
      </w:r>
      <w:r w:rsidRPr="00CB7399">
        <w:rPr>
          <w:sz w:val="20"/>
          <w:u w:val="single"/>
        </w:rPr>
        <w:t>one</w:t>
      </w:r>
      <w:r w:rsidRPr="00CB7399">
        <w:rPr>
          <w:sz w:val="20"/>
        </w:rPr>
        <w:t xml:space="preserve"> of the following options:</w:t>
      </w:r>
    </w:p>
    <w:p w14:paraId="3622DC69" w14:textId="77777777" w:rsidR="00A45397" w:rsidRPr="00CB7399" w:rsidRDefault="00A45397" w:rsidP="000D4C6A">
      <w:pPr>
        <w:pStyle w:val="Normal1"/>
        <w:jc w:val="both"/>
        <w:rPr>
          <w:sz w:val="20"/>
        </w:rPr>
      </w:pPr>
    </w:p>
    <w:p w14:paraId="726E6AC1" w14:textId="77777777" w:rsidR="00A45397" w:rsidRPr="00CB7399" w:rsidRDefault="00986A15" w:rsidP="000D4C6A">
      <w:pPr>
        <w:pStyle w:val="Normal1"/>
        <w:jc w:val="both"/>
        <w:rPr>
          <w:sz w:val="20"/>
        </w:rPr>
      </w:pPr>
      <w:r w:rsidRPr="00CB7399">
        <w:rPr>
          <w:sz w:val="20"/>
        </w:rPr>
        <w:t>- LEG:</w:t>
      </w:r>
      <w:r w:rsidRPr="00CB7399">
        <w:rPr>
          <w:sz w:val="20"/>
        </w:rPr>
        <w:tab/>
        <w:t>Legislation and policy</w:t>
      </w:r>
    </w:p>
    <w:p w14:paraId="11025A50" w14:textId="77777777" w:rsidR="00A45397" w:rsidRPr="00CB7399" w:rsidRDefault="00986A15" w:rsidP="000D4C6A">
      <w:pPr>
        <w:pStyle w:val="Normal1"/>
        <w:jc w:val="both"/>
        <w:rPr>
          <w:sz w:val="20"/>
        </w:rPr>
      </w:pPr>
      <w:r w:rsidRPr="00CB7399">
        <w:rPr>
          <w:sz w:val="20"/>
        </w:rPr>
        <w:t>- CUL:</w:t>
      </w:r>
      <w:r w:rsidRPr="00CB7399">
        <w:rPr>
          <w:sz w:val="20"/>
        </w:rPr>
        <w:tab/>
        <w:t>Cultural norms, beliefs, attitudes and values</w:t>
      </w:r>
    </w:p>
    <w:p w14:paraId="224F6DA1" w14:textId="77777777" w:rsidR="00A45397" w:rsidRPr="00CB7399" w:rsidRDefault="00986A15" w:rsidP="000D4C6A">
      <w:pPr>
        <w:pStyle w:val="Normal1"/>
        <w:jc w:val="both"/>
        <w:rPr>
          <w:sz w:val="20"/>
        </w:rPr>
      </w:pPr>
      <w:r w:rsidRPr="00CB7399">
        <w:rPr>
          <w:sz w:val="20"/>
        </w:rPr>
        <w:t>- PAR:</w:t>
      </w:r>
      <w:r w:rsidRPr="00CB7399">
        <w:rPr>
          <w:sz w:val="20"/>
        </w:rPr>
        <w:tab/>
        <w:t>Partnership</w:t>
      </w:r>
    </w:p>
    <w:p w14:paraId="5C2D86AA" w14:textId="77777777" w:rsidR="00A45397" w:rsidRPr="00CB7399" w:rsidRDefault="00986A15" w:rsidP="000D4C6A">
      <w:pPr>
        <w:pStyle w:val="Normal1"/>
        <w:jc w:val="both"/>
        <w:rPr>
          <w:sz w:val="20"/>
        </w:rPr>
      </w:pPr>
      <w:r w:rsidRPr="00CB7399">
        <w:rPr>
          <w:sz w:val="20"/>
        </w:rPr>
        <w:t>- CAP:</w:t>
      </w:r>
      <w:r w:rsidRPr="00CB7399">
        <w:rPr>
          <w:sz w:val="20"/>
        </w:rPr>
        <w:tab/>
        <w:t>Capacity of key actors (duty bearers or right holders)</w:t>
      </w:r>
    </w:p>
    <w:p w14:paraId="5994050B" w14:textId="77777777" w:rsidR="00A45397" w:rsidRPr="00CB7399" w:rsidRDefault="00A45397" w:rsidP="000D4C6A">
      <w:pPr>
        <w:pStyle w:val="Normal1"/>
        <w:jc w:val="both"/>
        <w:rPr>
          <w:sz w:val="20"/>
        </w:rPr>
      </w:pPr>
    </w:p>
    <w:p w14:paraId="1E92564F" w14:textId="77777777" w:rsidR="00A45397" w:rsidRPr="00CB7399" w:rsidRDefault="00986A15" w:rsidP="000D4C6A">
      <w:pPr>
        <w:pStyle w:val="Normal1"/>
        <w:jc w:val="both"/>
        <w:rPr>
          <w:sz w:val="20"/>
        </w:rPr>
      </w:pPr>
      <w:r w:rsidRPr="00CB7399">
        <w:rPr>
          <w:b/>
          <w:sz w:val="20"/>
        </w:rPr>
        <w:t xml:space="preserve">** </w:t>
      </w:r>
      <w:r w:rsidRPr="00CB7399">
        <w:rPr>
          <w:sz w:val="20"/>
          <w:u w:val="single"/>
        </w:rPr>
        <w:t>For capacity-related (CAP) outcomes only</w:t>
      </w:r>
      <w:r w:rsidRPr="00CB7399">
        <w:rPr>
          <w:sz w:val="20"/>
        </w:rPr>
        <w:t xml:space="preserve">: please specify here the type of capacity driver to which each proposed output corresponds. With reference to Technical Note Section 2.1, for each output select </w:t>
      </w:r>
      <w:r w:rsidRPr="00CB7399">
        <w:rPr>
          <w:sz w:val="20"/>
          <w:u w:val="single"/>
        </w:rPr>
        <w:t>one</w:t>
      </w:r>
      <w:r w:rsidRPr="00CB7399">
        <w:rPr>
          <w:sz w:val="20"/>
        </w:rPr>
        <w:t xml:space="preserve"> of the following options:</w:t>
      </w:r>
    </w:p>
    <w:p w14:paraId="6F05C9F8" w14:textId="77777777" w:rsidR="00A45397" w:rsidRPr="00CB7399" w:rsidRDefault="00A45397" w:rsidP="000D4C6A">
      <w:pPr>
        <w:pStyle w:val="Normal1"/>
        <w:jc w:val="both"/>
        <w:rPr>
          <w:sz w:val="20"/>
        </w:rPr>
      </w:pPr>
    </w:p>
    <w:p w14:paraId="4C2234EA" w14:textId="77777777" w:rsidR="00A45397" w:rsidRPr="00CB7399" w:rsidRDefault="00986A15" w:rsidP="000D4C6A">
      <w:pPr>
        <w:pStyle w:val="Normal1"/>
        <w:jc w:val="both"/>
        <w:rPr>
          <w:sz w:val="20"/>
        </w:rPr>
      </w:pPr>
      <w:r w:rsidRPr="00CB7399">
        <w:rPr>
          <w:sz w:val="20"/>
        </w:rPr>
        <w:t xml:space="preserve">- </w:t>
      </w:r>
      <w:proofErr w:type="gramStart"/>
      <w:r w:rsidRPr="00CB7399">
        <w:rPr>
          <w:sz w:val="20"/>
        </w:rPr>
        <w:t>KNO:Knowledge</w:t>
      </w:r>
      <w:proofErr w:type="gramEnd"/>
    </w:p>
    <w:p w14:paraId="5754DEBB" w14:textId="77777777" w:rsidR="00A45397" w:rsidRPr="00CB7399" w:rsidRDefault="00986A15" w:rsidP="000D4C6A">
      <w:pPr>
        <w:pStyle w:val="Normal1"/>
        <w:jc w:val="both"/>
        <w:rPr>
          <w:sz w:val="20"/>
        </w:rPr>
      </w:pPr>
      <w:r w:rsidRPr="00CB7399">
        <w:rPr>
          <w:sz w:val="20"/>
        </w:rPr>
        <w:t>- ACC:</w:t>
      </w:r>
      <w:r w:rsidRPr="00CB7399">
        <w:rPr>
          <w:sz w:val="20"/>
        </w:rPr>
        <w:tab/>
        <w:t>Access</w:t>
      </w:r>
    </w:p>
    <w:p w14:paraId="6DF19116" w14:textId="77777777" w:rsidR="00A45397" w:rsidRPr="00CB7399" w:rsidRDefault="00986A15" w:rsidP="000D4C6A">
      <w:pPr>
        <w:pStyle w:val="Normal1"/>
        <w:jc w:val="both"/>
        <w:rPr>
          <w:sz w:val="20"/>
        </w:rPr>
      </w:pPr>
      <w:r w:rsidRPr="00CB7399">
        <w:rPr>
          <w:sz w:val="20"/>
        </w:rPr>
        <w:t>- HUM: Human Resources</w:t>
      </w:r>
    </w:p>
    <w:p w14:paraId="6757DB12" w14:textId="77777777" w:rsidR="00A45397" w:rsidRPr="00CB7399" w:rsidRDefault="00986A15" w:rsidP="000D4C6A">
      <w:pPr>
        <w:pStyle w:val="Normal1"/>
        <w:jc w:val="both"/>
        <w:rPr>
          <w:sz w:val="20"/>
        </w:rPr>
      </w:pPr>
      <w:r w:rsidRPr="00CB7399">
        <w:rPr>
          <w:sz w:val="20"/>
        </w:rPr>
        <w:t>- FIN: Financial resources</w:t>
      </w:r>
    </w:p>
    <w:p w14:paraId="307C38E7" w14:textId="77777777" w:rsidR="00A45397" w:rsidRPr="00CB7399" w:rsidRDefault="00986A15" w:rsidP="000D4C6A">
      <w:pPr>
        <w:pStyle w:val="Normal1"/>
        <w:jc w:val="both"/>
        <w:rPr>
          <w:sz w:val="20"/>
        </w:rPr>
      </w:pPr>
      <w:r w:rsidRPr="00CB7399">
        <w:rPr>
          <w:sz w:val="20"/>
        </w:rPr>
        <w:t>-TOO: Tool</w:t>
      </w:r>
    </w:p>
    <w:p w14:paraId="289FB6F5" w14:textId="77777777" w:rsidR="00A45397" w:rsidRPr="00CB7399" w:rsidRDefault="00986A15" w:rsidP="000D4C6A">
      <w:pPr>
        <w:pStyle w:val="Normal1"/>
        <w:jc w:val="both"/>
        <w:rPr>
          <w:sz w:val="20"/>
        </w:rPr>
      </w:pPr>
      <w:r w:rsidRPr="00CB7399">
        <w:rPr>
          <w:sz w:val="20"/>
        </w:rPr>
        <w:t>-PRO: Procedures</w:t>
      </w:r>
    </w:p>
    <w:p w14:paraId="123AA1F5" w14:textId="77777777" w:rsidR="00A45397" w:rsidRPr="00CB7399" w:rsidRDefault="00986A15" w:rsidP="000D4C6A">
      <w:pPr>
        <w:pStyle w:val="Normal1"/>
        <w:jc w:val="both"/>
        <w:rPr>
          <w:sz w:val="20"/>
        </w:rPr>
      </w:pPr>
      <w:r w:rsidRPr="00CB7399">
        <w:rPr>
          <w:sz w:val="20"/>
        </w:rPr>
        <w:t>-NET: Networks</w:t>
      </w:r>
    </w:p>
    <w:p w14:paraId="6E63FC62" w14:textId="77777777" w:rsidR="00A45397" w:rsidRPr="00CB7399" w:rsidRDefault="00986A15" w:rsidP="000D4C6A">
      <w:pPr>
        <w:pStyle w:val="Normal1"/>
        <w:jc w:val="both"/>
        <w:rPr>
          <w:sz w:val="20"/>
        </w:rPr>
      </w:pPr>
      <w:r w:rsidRPr="00CB7399">
        <w:rPr>
          <w:sz w:val="20"/>
        </w:rPr>
        <w:t>-ACC: Access</w:t>
      </w:r>
    </w:p>
    <w:p w14:paraId="0CD62747" w14:textId="77777777" w:rsidR="00A45397" w:rsidRPr="00CB7399" w:rsidRDefault="00986A15" w:rsidP="000D4C6A">
      <w:pPr>
        <w:pStyle w:val="Normal1"/>
        <w:jc w:val="both"/>
        <w:rPr>
          <w:sz w:val="20"/>
        </w:rPr>
      </w:pPr>
      <w:r w:rsidRPr="00CB7399">
        <w:rPr>
          <w:sz w:val="20"/>
        </w:rPr>
        <w:t>-ACV: Accountability Venues</w:t>
      </w:r>
    </w:p>
    <w:p w14:paraId="0EAD8305" w14:textId="77777777" w:rsidR="00A45397" w:rsidRPr="000D4C6A" w:rsidRDefault="00A45397" w:rsidP="000D4C6A">
      <w:pPr>
        <w:pStyle w:val="Normal1"/>
        <w:jc w:val="both"/>
      </w:pPr>
    </w:p>
    <w:p w14:paraId="31882172" w14:textId="77777777" w:rsidR="00A45397" w:rsidRPr="00CB7399" w:rsidRDefault="00986A15" w:rsidP="000D4C6A">
      <w:pPr>
        <w:pStyle w:val="Heading1"/>
        <w:numPr>
          <w:ilvl w:val="0"/>
          <w:numId w:val="17"/>
        </w:numPr>
        <w:jc w:val="both"/>
        <w:rPr>
          <w:rFonts w:ascii="Times New Roman" w:hAnsi="Times New Roman" w:cs="Times New Roman"/>
          <w:b/>
          <w:color w:val="4F81BD" w:themeColor="accent1"/>
        </w:rPr>
      </w:pPr>
      <w:r w:rsidRPr="00CB7399">
        <w:rPr>
          <w:rFonts w:ascii="Times New Roman" w:hAnsi="Times New Roman" w:cs="Times New Roman"/>
          <w:b/>
          <w:color w:val="4F81BD" w:themeColor="accent1"/>
        </w:rPr>
        <w:t xml:space="preserve">Elements of project design </w:t>
      </w:r>
    </w:p>
    <w:p w14:paraId="4E77E8F5" w14:textId="77777777" w:rsidR="00A45397" w:rsidRPr="000D4C6A" w:rsidRDefault="00A45397" w:rsidP="000D4C6A">
      <w:pPr>
        <w:pStyle w:val="Normal1"/>
        <w:jc w:val="both"/>
      </w:pPr>
    </w:p>
    <w:p w14:paraId="6930D0F9" w14:textId="77777777" w:rsidR="00A45397" w:rsidRDefault="00986A15" w:rsidP="000D4C6A">
      <w:pPr>
        <w:pStyle w:val="Normal1"/>
        <w:jc w:val="both"/>
        <w:rPr>
          <w:i/>
          <w:u w:val="single"/>
        </w:rPr>
      </w:pPr>
      <w:r w:rsidRPr="000D4C6A">
        <w:rPr>
          <w:i/>
          <w:u w:val="single"/>
        </w:rPr>
        <w:t xml:space="preserve">Equality between men and women </w:t>
      </w:r>
    </w:p>
    <w:p w14:paraId="10CDD5B9" w14:textId="77777777" w:rsidR="002A222C" w:rsidRPr="000D4C6A" w:rsidRDefault="002A222C" w:rsidP="000D4C6A">
      <w:pPr>
        <w:pStyle w:val="Normal1"/>
        <w:jc w:val="both"/>
        <w:rPr>
          <w:i/>
          <w:u w:val="single"/>
        </w:rPr>
      </w:pPr>
    </w:p>
    <w:p w14:paraId="438CD7F3" w14:textId="77777777" w:rsidR="00A45397" w:rsidRDefault="00986A15" w:rsidP="000D4C6A">
      <w:pPr>
        <w:pStyle w:val="Normal1"/>
        <w:jc w:val="both"/>
      </w:pPr>
      <w:r w:rsidRPr="000D4C6A">
        <w:t>The country has sex-disaggregated information from a range of sources but a socio-economic and socio-demographic classification of girls and women with disability is required, based on sources of statistical information and crosschecking the variables. This classification will enable participating UN organizations to address the problems of inequality between men and women in the country and improve the design of the project interventions. Therefore, the project will carry out a study to obtain disaggregated information on the social and economic context of women and girls with disabilities in the Dominican Republic.</w:t>
      </w:r>
    </w:p>
    <w:p w14:paraId="0D455288" w14:textId="77777777" w:rsidR="00CB7399" w:rsidRPr="000D4C6A" w:rsidRDefault="00CB7399" w:rsidP="000D4C6A">
      <w:pPr>
        <w:pStyle w:val="Normal1"/>
        <w:jc w:val="both"/>
      </w:pPr>
    </w:p>
    <w:p w14:paraId="377BE94C" w14:textId="77777777" w:rsidR="00A45397" w:rsidRDefault="00986A15" w:rsidP="000D4C6A">
      <w:pPr>
        <w:pStyle w:val="Normal1"/>
        <w:jc w:val="both"/>
      </w:pPr>
      <w:r w:rsidRPr="000D4C6A">
        <w:t xml:space="preserve">Besides that, activities specifically linked to the objective of closing gender inequality gaps will be included across all the project components. In inclusive and quality education: children with disabilities are more likely to suffer abuse, violence and discrimination, and girls are even more vulnerable; for this reason, awareness raising activities will be carried out at schools for protection and reducing stigmas and discrimination with an emphasis on girls with disabilities. In social participation: themes linked to sexual and reproductive health will be included in the individual independent living development programme. In decent and inclusive employment: awareness raising activities/sensitization work will be carried out targeting public and private sectors for access to decent employment for persons with disabilities, with a gender-based approach. </w:t>
      </w:r>
    </w:p>
    <w:p w14:paraId="27B1E3CD" w14:textId="77777777" w:rsidR="002A222C" w:rsidRPr="000D4C6A" w:rsidRDefault="002A222C" w:rsidP="000D4C6A">
      <w:pPr>
        <w:pStyle w:val="Normal1"/>
        <w:jc w:val="both"/>
      </w:pPr>
    </w:p>
    <w:p w14:paraId="6E7CE51E" w14:textId="77777777" w:rsidR="00A45397" w:rsidRDefault="00986A15" w:rsidP="000D4C6A">
      <w:pPr>
        <w:pStyle w:val="Normal1"/>
        <w:jc w:val="both"/>
        <w:rPr>
          <w:i/>
          <w:u w:val="single"/>
        </w:rPr>
      </w:pPr>
      <w:r w:rsidRPr="000D4C6A">
        <w:rPr>
          <w:i/>
          <w:u w:val="single"/>
        </w:rPr>
        <w:t>Full and effective participation of persons with disabilitie</w:t>
      </w:r>
      <w:r w:rsidR="00CB7399">
        <w:rPr>
          <w:i/>
          <w:u w:val="single"/>
        </w:rPr>
        <w:t>s</w:t>
      </w:r>
    </w:p>
    <w:p w14:paraId="486EB233" w14:textId="77777777" w:rsidR="00CB7399" w:rsidRPr="000D4C6A" w:rsidRDefault="00CB7399" w:rsidP="000D4C6A">
      <w:pPr>
        <w:pStyle w:val="Normal1"/>
        <w:jc w:val="both"/>
      </w:pPr>
    </w:p>
    <w:p w14:paraId="59B72392" w14:textId="77777777" w:rsidR="00A45397" w:rsidRPr="000D4C6A" w:rsidRDefault="00986A15" w:rsidP="000D4C6A">
      <w:pPr>
        <w:pStyle w:val="Normal1"/>
        <w:jc w:val="both"/>
      </w:pPr>
      <w:r w:rsidRPr="000D4C6A">
        <w:t>DPOs have been involved in the design of the project proposal together with the government and the UN System. They will also form part of the monitoring and evaluation committee throughout the whole project, while implementing specific activities. Heterogeneous criteria have been used for groups made up of persons with disabilities</w:t>
      </w:r>
      <w:r w:rsidR="00196788" w:rsidRPr="000D4C6A">
        <w:t>, and DPO</w:t>
      </w:r>
      <w:r w:rsidRPr="000D4C6A">
        <w:t>s working specifically to advance the rights of women and girls with disabilities will have a key role in implementing, monitoring and evaluating the project.</w:t>
      </w:r>
    </w:p>
    <w:p w14:paraId="61DC7818" w14:textId="77777777" w:rsidR="00A45397" w:rsidRPr="000D4C6A" w:rsidRDefault="00A45397" w:rsidP="000D4C6A">
      <w:pPr>
        <w:pStyle w:val="Normal1"/>
        <w:jc w:val="both"/>
      </w:pPr>
    </w:p>
    <w:p w14:paraId="61F82BAD" w14:textId="77777777" w:rsidR="00A45397" w:rsidRPr="000D4C6A" w:rsidRDefault="00986A15" w:rsidP="000D4C6A">
      <w:pPr>
        <w:pStyle w:val="Normal1"/>
        <w:jc w:val="both"/>
      </w:pPr>
      <w:r w:rsidRPr="000D4C6A">
        <w:t>As achieving equal opportunities is the main purpose of the project, non-</w:t>
      </w:r>
      <w:r w:rsidR="00196788" w:rsidRPr="000D4C6A">
        <w:t>d</w:t>
      </w:r>
      <w:r w:rsidRPr="000D4C6A">
        <w:t>iscrimination - both indirect and direct - will be one of the key concepts that will be addressed throughout the project cycle. All project components will guarantee the equal access to opportunities, while taking into consideration that not all people will have the same starting point.</w:t>
      </w:r>
    </w:p>
    <w:p w14:paraId="08B06876" w14:textId="77777777" w:rsidR="00A45397" w:rsidRPr="000D4C6A" w:rsidRDefault="00986A15" w:rsidP="000D4C6A">
      <w:pPr>
        <w:pStyle w:val="Normal1"/>
        <w:jc w:val="both"/>
      </w:pPr>
      <w:r w:rsidRPr="000D4C6A">
        <w:t xml:space="preserve">Inclusive development will be implemented using a two-tier approach </w:t>
      </w:r>
      <w:proofErr w:type="gramStart"/>
      <w:r w:rsidRPr="000D4C6A">
        <w:t>taking into account</w:t>
      </w:r>
      <w:proofErr w:type="gramEnd"/>
      <w:r w:rsidRPr="000D4C6A">
        <w:t xml:space="preserve"> the mainstreaming of common strategies to eliminate the obstacles that lead to exclusion, while also implementing specific actions for persons with disabilities.</w:t>
      </w:r>
    </w:p>
    <w:p w14:paraId="72A43DD2" w14:textId="77777777" w:rsidR="00CB7399" w:rsidRDefault="00CB7399" w:rsidP="000D4C6A">
      <w:pPr>
        <w:pStyle w:val="Normal1"/>
        <w:jc w:val="both"/>
        <w:rPr>
          <w:i/>
          <w:u w:val="single"/>
        </w:rPr>
      </w:pPr>
    </w:p>
    <w:p w14:paraId="21E4A205" w14:textId="77777777" w:rsidR="00A45397" w:rsidRDefault="00986A15" w:rsidP="000D4C6A">
      <w:pPr>
        <w:pStyle w:val="Normal1"/>
        <w:jc w:val="both"/>
        <w:rPr>
          <w:i/>
          <w:u w:val="single"/>
        </w:rPr>
      </w:pPr>
      <w:r w:rsidRPr="000D4C6A">
        <w:rPr>
          <w:i/>
          <w:u w:val="single"/>
        </w:rPr>
        <w:t>Accessibility</w:t>
      </w:r>
    </w:p>
    <w:p w14:paraId="5B284FB0" w14:textId="77777777" w:rsidR="00CB7399" w:rsidRPr="000D4C6A" w:rsidRDefault="00CB7399" w:rsidP="000D4C6A">
      <w:pPr>
        <w:pStyle w:val="Normal1"/>
        <w:jc w:val="both"/>
      </w:pPr>
    </w:p>
    <w:p w14:paraId="348603C8" w14:textId="77777777" w:rsidR="00A45397" w:rsidRPr="000D4C6A" w:rsidRDefault="00986A15" w:rsidP="000D4C6A">
      <w:pPr>
        <w:pStyle w:val="Normal1"/>
        <w:jc w:val="both"/>
      </w:pPr>
      <w:r w:rsidRPr="000D4C6A">
        <w:t xml:space="preserve">During all project phases (design, implementation, monitoring and evaluation), persons with disabilities are expected to play a key role. </w:t>
      </w:r>
      <w:r w:rsidR="00BE2C88" w:rsidRPr="000D4C6A">
        <w:t xml:space="preserve">The project </w:t>
      </w:r>
      <w:r w:rsidR="00ED6FAC" w:rsidRPr="000D4C6A">
        <w:t>includes</w:t>
      </w:r>
      <w:r w:rsidR="00BE2C88" w:rsidRPr="000D4C6A">
        <w:t xml:space="preserve"> holding consultations with the</w:t>
      </w:r>
      <w:r w:rsidR="00ED6FAC" w:rsidRPr="000D4C6A">
        <w:t xml:space="preserve"> disabled population to obtain</w:t>
      </w:r>
      <w:r w:rsidR="00BE2C88" w:rsidRPr="000D4C6A">
        <w:t xml:space="preserve"> first-hand</w:t>
      </w:r>
      <w:r w:rsidR="00ED6FAC" w:rsidRPr="000D4C6A">
        <w:t xml:space="preserve"> information on</w:t>
      </w:r>
      <w:r w:rsidR="00BE2C88" w:rsidRPr="000D4C6A">
        <w:t xml:space="preserve"> their needs and points of view about the problems that the project seeks to tackle. During the initial phase people with disabilities will take an active part in validating the design of the initiative and in the development of its Monitoring and Evaluation strategy. </w:t>
      </w:r>
      <w:r w:rsidRPr="000D4C6A">
        <w:t>The project w</w:t>
      </w:r>
      <w:r w:rsidR="00196788" w:rsidRPr="000D4C6A">
        <w:t>ill increase access for DPOs that</w:t>
      </w:r>
      <w:r w:rsidRPr="000D4C6A">
        <w:t xml:space="preserve"> participate in all project activities, including accessible physical environment, transport, information and communications, including information technology systems and other services and facilities that are open to the public or used by the public. The project will also ensure that all project activities are coordinated </w:t>
      </w:r>
      <w:proofErr w:type="gramStart"/>
      <w:r w:rsidRPr="000D4C6A">
        <w:t>taking into account</w:t>
      </w:r>
      <w:proofErr w:type="gramEnd"/>
      <w:r w:rsidRPr="000D4C6A">
        <w:t xml:space="preserve"> the care work performed by women with disabilities </w:t>
      </w:r>
    </w:p>
    <w:p w14:paraId="144BD844" w14:textId="77777777" w:rsidR="00A45397" w:rsidRPr="00CB7399" w:rsidRDefault="00986A15" w:rsidP="000D4C6A">
      <w:pPr>
        <w:pStyle w:val="Heading1"/>
        <w:numPr>
          <w:ilvl w:val="0"/>
          <w:numId w:val="17"/>
        </w:numPr>
        <w:jc w:val="both"/>
        <w:rPr>
          <w:rFonts w:ascii="Times New Roman" w:hAnsi="Times New Roman" w:cs="Times New Roman"/>
          <w:b/>
          <w:color w:val="4F81BD" w:themeColor="accent1"/>
        </w:rPr>
      </w:pPr>
      <w:r w:rsidRPr="00CB7399">
        <w:rPr>
          <w:rFonts w:ascii="Times New Roman" w:hAnsi="Times New Roman" w:cs="Times New Roman"/>
          <w:b/>
          <w:color w:val="4F81BD" w:themeColor="accent1"/>
        </w:rPr>
        <w:t>Partnership-building potential</w:t>
      </w:r>
    </w:p>
    <w:p w14:paraId="3CB45C8E" w14:textId="77777777" w:rsidR="00A45397" w:rsidRPr="000D4C6A" w:rsidRDefault="00A45397" w:rsidP="000D4C6A">
      <w:pPr>
        <w:pStyle w:val="Normal1"/>
        <w:jc w:val="both"/>
        <w:rPr>
          <w:i/>
        </w:rPr>
      </w:pPr>
    </w:p>
    <w:p w14:paraId="6E4F81BC" w14:textId="77777777" w:rsidR="00A45397" w:rsidRPr="000D4C6A" w:rsidRDefault="00986A15" w:rsidP="000D4C6A">
      <w:pPr>
        <w:pStyle w:val="Normal1"/>
        <w:jc w:val="both"/>
      </w:pPr>
      <w:r w:rsidRPr="000D4C6A">
        <w:t xml:space="preserve">A consultative process took place to develop this project proposal with government institutions, Disabled People’s Organizations (DPOs), and organizations supporting persons with disabilities. These organizations will be part of a project monitoring committee that will help involve government institutions and DPOs. </w:t>
      </w:r>
    </w:p>
    <w:p w14:paraId="7B30F471" w14:textId="77777777" w:rsidR="00A45397" w:rsidRPr="000D4C6A" w:rsidRDefault="00A45397" w:rsidP="000D4C6A">
      <w:pPr>
        <w:pStyle w:val="Normal1"/>
        <w:jc w:val="both"/>
      </w:pPr>
    </w:p>
    <w:p w14:paraId="201E89AA" w14:textId="77777777" w:rsidR="00A45397" w:rsidRPr="000D4C6A" w:rsidRDefault="00986A15" w:rsidP="000D4C6A">
      <w:pPr>
        <w:pStyle w:val="Normal1"/>
        <w:jc w:val="both"/>
      </w:pPr>
      <w:r w:rsidRPr="000D4C6A">
        <w:t>The institutions below have been consulted individually and through joint workshops to develop the proposal:</w:t>
      </w:r>
    </w:p>
    <w:p w14:paraId="4E9406EA" w14:textId="77777777" w:rsidR="00A45397" w:rsidRPr="000D4C6A" w:rsidRDefault="00A45397" w:rsidP="000D4C6A">
      <w:pPr>
        <w:pStyle w:val="Normal1"/>
        <w:jc w:val="both"/>
      </w:pPr>
    </w:p>
    <w:p w14:paraId="1FDA15C7" w14:textId="77777777" w:rsidR="00A45397" w:rsidRPr="000D4C6A" w:rsidRDefault="00986A15" w:rsidP="000D4C6A">
      <w:pPr>
        <w:pStyle w:val="Normal1"/>
        <w:jc w:val="both"/>
        <w:rPr>
          <w:b/>
        </w:rPr>
      </w:pPr>
      <w:r w:rsidRPr="000D4C6A">
        <w:rPr>
          <w:b/>
        </w:rPr>
        <w:t>Government institutions</w:t>
      </w:r>
    </w:p>
    <w:p w14:paraId="0C8233CF" w14:textId="77777777" w:rsidR="00A45397" w:rsidRPr="000D4C6A" w:rsidRDefault="00A45397" w:rsidP="000D4C6A">
      <w:pPr>
        <w:pStyle w:val="Normal1"/>
        <w:jc w:val="both"/>
        <w:rPr>
          <w:b/>
        </w:rPr>
      </w:pPr>
    </w:p>
    <w:p w14:paraId="7A0A4EBB" w14:textId="77777777" w:rsidR="00A45397" w:rsidRPr="000D4C6A" w:rsidRDefault="00986A15" w:rsidP="000D4C6A">
      <w:pPr>
        <w:pStyle w:val="Normal1"/>
        <w:jc w:val="both"/>
      </w:pPr>
      <w:r w:rsidRPr="000D4C6A">
        <w:t>• National Disability Council (CONADIS)</w:t>
      </w:r>
    </w:p>
    <w:p w14:paraId="787B6786" w14:textId="77777777" w:rsidR="00A45397" w:rsidRPr="000D4C6A" w:rsidRDefault="00986A15" w:rsidP="000D4C6A">
      <w:pPr>
        <w:pStyle w:val="Normal1"/>
        <w:jc w:val="both"/>
      </w:pPr>
      <w:r w:rsidRPr="000D4C6A">
        <w:t>• Ministry of Education (Directorate of Special Education and Diversity Support Centres (CAD), Regional and district directions</w:t>
      </w:r>
    </w:p>
    <w:p w14:paraId="313F68CE" w14:textId="77777777" w:rsidR="00A45397" w:rsidRPr="000D4C6A" w:rsidRDefault="00986A15" w:rsidP="000D4C6A">
      <w:pPr>
        <w:pStyle w:val="Normal1"/>
        <w:jc w:val="both"/>
      </w:pPr>
      <w:r w:rsidRPr="000D4C6A">
        <w:t>• Ministry of Labour (Disability Division and of the Equal Opportunities and Non-Discrimination Directorate)</w:t>
      </w:r>
    </w:p>
    <w:p w14:paraId="68A47AAE" w14:textId="77777777" w:rsidR="00A45397" w:rsidRPr="000D4C6A" w:rsidRDefault="00986A15" w:rsidP="000D4C6A">
      <w:pPr>
        <w:pStyle w:val="Normal1"/>
        <w:jc w:val="both"/>
      </w:pPr>
      <w:r w:rsidRPr="000D4C6A">
        <w:t>• National Technical-Vocational Training Institute (INFOTEP)</w:t>
      </w:r>
    </w:p>
    <w:p w14:paraId="090348DF" w14:textId="77777777" w:rsidR="00A45397" w:rsidRPr="000D4C6A" w:rsidRDefault="00986A15" w:rsidP="000D4C6A">
      <w:pPr>
        <w:pStyle w:val="Normal1"/>
        <w:jc w:val="both"/>
      </w:pPr>
      <w:r w:rsidRPr="000D4C6A">
        <w:t>• Ministry of Health (governing body for the health sector)</w:t>
      </w:r>
    </w:p>
    <w:p w14:paraId="5E0F3674" w14:textId="77777777" w:rsidR="002A222C" w:rsidRDefault="00986A15" w:rsidP="002A222C">
      <w:pPr>
        <w:pStyle w:val="Normal1"/>
        <w:jc w:val="both"/>
      </w:pPr>
      <w:r w:rsidRPr="002A222C">
        <w:t xml:space="preserve">• </w:t>
      </w:r>
      <w:r w:rsidR="001B3C01" w:rsidRPr="002A222C">
        <w:t>Integrated</w:t>
      </w:r>
      <w:r w:rsidRPr="002A222C">
        <w:t xml:space="preserve"> Disability Centre (CAID)</w:t>
      </w:r>
    </w:p>
    <w:p w14:paraId="08A8D6C3" w14:textId="77777777" w:rsidR="00A45397" w:rsidRPr="002A222C" w:rsidRDefault="002A222C" w:rsidP="002A222C">
      <w:pPr>
        <w:pStyle w:val="Normal1"/>
        <w:jc w:val="both"/>
      </w:pPr>
      <w:r w:rsidRPr="002A222C">
        <w:t xml:space="preserve">• </w:t>
      </w:r>
      <w:r w:rsidR="00986A15" w:rsidRPr="002A222C">
        <w:t xml:space="preserve">ONCE </w:t>
      </w:r>
      <w:r w:rsidR="001B3C01" w:rsidRPr="002A222C">
        <w:t>for Latin America and the Caribbean</w:t>
      </w:r>
      <w:r w:rsidR="00986A15" w:rsidRPr="002A222C">
        <w:t>. (FOAL)</w:t>
      </w:r>
    </w:p>
    <w:p w14:paraId="5043A96A" w14:textId="77777777" w:rsidR="00A45397" w:rsidRPr="000D4C6A" w:rsidRDefault="00A45397" w:rsidP="000D4C6A">
      <w:pPr>
        <w:pStyle w:val="Normal1"/>
        <w:jc w:val="both"/>
      </w:pPr>
    </w:p>
    <w:p w14:paraId="4EC738A6" w14:textId="77777777" w:rsidR="00A45397" w:rsidRPr="000D4C6A" w:rsidRDefault="00986A15" w:rsidP="000D4C6A">
      <w:pPr>
        <w:pStyle w:val="Normal1"/>
        <w:jc w:val="both"/>
        <w:rPr>
          <w:b/>
        </w:rPr>
      </w:pPr>
      <w:r w:rsidRPr="000D4C6A">
        <w:rPr>
          <w:b/>
        </w:rPr>
        <w:t>Organizations supporting persons with disabilities</w:t>
      </w:r>
    </w:p>
    <w:p w14:paraId="4BD51CC8" w14:textId="77777777" w:rsidR="00A45397" w:rsidRPr="000D4C6A" w:rsidRDefault="00A45397" w:rsidP="000D4C6A">
      <w:pPr>
        <w:pStyle w:val="Normal1"/>
        <w:jc w:val="both"/>
        <w:rPr>
          <w:b/>
        </w:rPr>
      </w:pPr>
    </w:p>
    <w:p w14:paraId="49BE14C0" w14:textId="77777777" w:rsidR="00A45397" w:rsidRPr="000D4C6A" w:rsidRDefault="00986A15" w:rsidP="000D4C6A">
      <w:pPr>
        <w:pStyle w:val="Normal1"/>
        <w:jc w:val="both"/>
      </w:pPr>
      <w:r w:rsidRPr="000D4C6A">
        <w:t>• Dominican Disability Association (ADR)</w:t>
      </w:r>
    </w:p>
    <w:p w14:paraId="1C2ED967" w14:textId="77777777" w:rsidR="00A45397" w:rsidRPr="000D4C6A" w:rsidRDefault="00A45397" w:rsidP="000D4C6A">
      <w:pPr>
        <w:pStyle w:val="Normal1"/>
        <w:jc w:val="both"/>
      </w:pPr>
    </w:p>
    <w:p w14:paraId="4C56FB1D" w14:textId="77777777" w:rsidR="00A45397" w:rsidRPr="000D4C6A" w:rsidRDefault="00986A15" w:rsidP="000D4C6A">
      <w:pPr>
        <w:pStyle w:val="Normal1"/>
        <w:jc w:val="both"/>
        <w:rPr>
          <w:b/>
        </w:rPr>
      </w:pPr>
      <w:r w:rsidRPr="000D4C6A">
        <w:rPr>
          <w:b/>
        </w:rPr>
        <w:t>Disabled People’s Organizations (DPOs)</w:t>
      </w:r>
    </w:p>
    <w:p w14:paraId="3FEC784D" w14:textId="77777777" w:rsidR="00A45397" w:rsidRPr="000D4C6A" w:rsidRDefault="00A45397" w:rsidP="000D4C6A">
      <w:pPr>
        <w:pStyle w:val="Normal1"/>
        <w:jc w:val="both"/>
        <w:rPr>
          <w:b/>
        </w:rPr>
      </w:pPr>
    </w:p>
    <w:p w14:paraId="6DD009F8" w14:textId="77777777" w:rsidR="00A45397" w:rsidRPr="000D4C6A" w:rsidRDefault="00986A15" w:rsidP="000D4C6A">
      <w:pPr>
        <w:pStyle w:val="Normal1"/>
        <w:jc w:val="both"/>
      </w:pPr>
      <w:r w:rsidRPr="000D4C6A">
        <w:t>• The Ibero-American Network of Persons Living with Physical Disability in the Dominican Republic (La Red) is composed of the following organizations: Association of Persons with Physical and Motor Disabilities (ASODIFIMO), Circle of Women with Disabilities (CIMUDIS) and the National Federation of Persons with Disabilities (FENADID).</w:t>
      </w:r>
    </w:p>
    <w:p w14:paraId="611B73CA" w14:textId="77777777" w:rsidR="00A45397" w:rsidRPr="000D4C6A" w:rsidRDefault="00A45397" w:rsidP="000D4C6A">
      <w:pPr>
        <w:pStyle w:val="Normal1"/>
        <w:jc w:val="both"/>
        <w:rPr>
          <w:b/>
        </w:rPr>
      </w:pPr>
    </w:p>
    <w:p w14:paraId="75360098" w14:textId="77777777" w:rsidR="00A45397" w:rsidRPr="00CB7399" w:rsidRDefault="00986A15" w:rsidP="000D4C6A">
      <w:pPr>
        <w:pStyle w:val="Heading1"/>
        <w:numPr>
          <w:ilvl w:val="0"/>
          <w:numId w:val="17"/>
        </w:numPr>
        <w:jc w:val="both"/>
        <w:rPr>
          <w:rFonts w:ascii="Times New Roman" w:hAnsi="Times New Roman" w:cs="Times New Roman"/>
          <w:b/>
          <w:color w:val="4F81BD" w:themeColor="accent1"/>
        </w:rPr>
      </w:pPr>
      <w:r w:rsidRPr="00CB7399">
        <w:rPr>
          <w:rFonts w:ascii="Times New Roman" w:hAnsi="Times New Roman" w:cs="Times New Roman"/>
          <w:b/>
          <w:color w:val="4F81BD" w:themeColor="accent1"/>
        </w:rPr>
        <w:t xml:space="preserve">Long-term UN engagement </w:t>
      </w:r>
      <w:proofErr w:type="gramStart"/>
      <w:r w:rsidRPr="00CB7399">
        <w:rPr>
          <w:rFonts w:ascii="Times New Roman" w:hAnsi="Times New Roman" w:cs="Times New Roman"/>
          <w:b/>
          <w:color w:val="4F81BD" w:themeColor="accent1"/>
        </w:rPr>
        <w:t>in the area of</w:t>
      </w:r>
      <w:proofErr w:type="gramEnd"/>
      <w:r w:rsidRPr="00CB7399">
        <w:rPr>
          <w:rFonts w:ascii="Times New Roman" w:hAnsi="Times New Roman" w:cs="Times New Roman"/>
          <w:b/>
          <w:color w:val="4F81BD" w:themeColor="accent1"/>
        </w:rPr>
        <w:t xml:space="preserve"> disability</w:t>
      </w:r>
    </w:p>
    <w:p w14:paraId="33C1BCDB" w14:textId="77777777" w:rsidR="00A45397" w:rsidRPr="000D4C6A" w:rsidRDefault="00A45397" w:rsidP="000D4C6A">
      <w:pPr>
        <w:pStyle w:val="Normal1"/>
        <w:jc w:val="both"/>
      </w:pPr>
    </w:p>
    <w:p w14:paraId="2A76FE4B" w14:textId="77777777" w:rsidR="00A45397" w:rsidRPr="000D4C6A" w:rsidRDefault="00986A15" w:rsidP="000D4C6A">
      <w:pPr>
        <w:pStyle w:val="Normal1"/>
        <w:jc w:val="both"/>
      </w:pPr>
      <w:r w:rsidRPr="000D4C6A">
        <w:t xml:space="preserve">The United Nations System seeks to promote a Human Rights approach in its programmes by advocating for improving living conditions for persons with disabilities, in the components of the Participating UN organizations. The UNDAF includes indicators that promote strengthening of public institutions to ensure sustainable development and a rights-based approach without discrimination against persons with disabilities. Each organization involved has mainstreamed inclusion and protection issues for persons with disabilities, as follows: </w:t>
      </w:r>
    </w:p>
    <w:p w14:paraId="320649D4" w14:textId="77777777" w:rsidR="00A45397" w:rsidRPr="000D4C6A" w:rsidRDefault="00986A15" w:rsidP="000D4C6A">
      <w:pPr>
        <w:pStyle w:val="Normal1"/>
        <w:jc w:val="both"/>
      </w:pPr>
      <w:r w:rsidRPr="000D4C6A">
        <w:t>UNDP’s 2018-2022 proposed Country Programme Document includes areas of work geared at promoting inclusion and access for persons with disabilities, as well as inclusion of strategic partners like CONADIS, the Ministry of Labour, among others.</w:t>
      </w:r>
    </w:p>
    <w:p w14:paraId="364B27E7" w14:textId="77777777" w:rsidR="00A45397" w:rsidRPr="000D4C6A" w:rsidRDefault="00986A15" w:rsidP="000D4C6A">
      <w:pPr>
        <w:pStyle w:val="Normal1"/>
        <w:jc w:val="both"/>
      </w:pPr>
      <w:r w:rsidRPr="000D4C6A">
        <w:t>PAHO/WHO’s strategic plan, under the Health Systems and Services programme category, includes a development plan for people with disabilities with an inclusion and rights-based approach based on the Community-Based Rehabilitation strategy. Likewise, the interventions implemented by the Organizations are conducted as part of the WHO’s current 2014-2021 global action plan on disability.</w:t>
      </w:r>
    </w:p>
    <w:p w14:paraId="7C46933E" w14:textId="77777777" w:rsidR="00A45397" w:rsidRPr="000D4C6A" w:rsidRDefault="001E027D" w:rsidP="000D4C6A">
      <w:pPr>
        <w:pStyle w:val="Normal1"/>
        <w:jc w:val="both"/>
      </w:pPr>
      <w:r w:rsidRPr="000D4C6A">
        <w:t>UNICEF’s 2018–</w:t>
      </w:r>
      <w:r w:rsidR="00986A15" w:rsidRPr="000D4C6A">
        <w:t>2022 Country Programme aimed at achieving integrated care in early childhood development and inclusive quality education for children with disabilities.</w:t>
      </w:r>
    </w:p>
    <w:p w14:paraId="3A8BB8EB" w14:textId="77777777" w:rsidR="00A45397" w:rsidRPr="00CB7399" w:rsidRDefault="00986A15" w:rsidP="000D4C6A">
      <w:pPr>
        <w:pStyle w:val="Heading1"/>
        <w:numPr>
          <w:ilvl w:val="0"/>
          <w:numId w:val="17"/>
        </w:numPr>
        <w:jc w:val="both"/>
        <w:rPr>
          <w:rFonts w:ascii="Times New Roman" w:hAnsi="Times New Roman" w:cs="Times New Roman"/>
          <w:b/>
          <w:color w:val="4F81BD" w:themeColor="accent1"/>
        </w:rPr>
      </w:pPr>
      <w:r w:rsidRPr="00CB7399">
        <w:rPr>
          <w:rFonts w:ascii="Times New Roman" w:hAnsi="Times New Roman" w:cs="Times New Roman"/>
          <w:b/>
          <w:color w:val="4F81BD" w:themeColor="accent1"/>
        </w:rPr>
        <w:t>Management arrangements</w:t>
      </w:r>
    </w:p>
    <w:p w14:paraId="1D41F1E7" w14:textId="77777777" w:rsidR="00A45397" w:rsidRPr="000D4C6A" w:rsidRDefault="00A45397" w:rsidP="000D4C6A">
      <w:pPr>
        <w:pStyle w:val="Normal1"/>
        <w:pBdr>
          <w:top w:val="nil"/>
          <w:left w:val="nil"/>
          <w:bottom w:val="nil"/>
          <w:right w:val="nil"/>
          <w:between w:val="nil"/>
        </w:pBdr>
        <w:ind w:left="360" w:hanging="720"/>
        <w:jc w:val="both"/>
        <w:rPr>
          <w:rFonts w:eastAsia="Calibri"/>
          <w:b/>
        </w:rPr>
      </w:pPr>
    </w:p>
    <w:p w14:paraId="05E9FF4B" w14:textId="77777777" w:rsidR="00A45397" w:rsidRPr="000D4C6A" w:rsidRDefault="00986A15" w:rsidP="00F1792A">
      <w:pPr>
        <w:pStyle w:val="Normal1"/>
        <w:pBdr>
          <w:top w:val="nil"/>
          <w:left w:val="nil"/>
          <w:bottom w:val="nil"/>
          <w:right w:val="nil"/>
          <w:between w:val="nil"/>
        </w:pBdr>
        <w:jc w:val="both"/>
        <w:rPr>
          <w:rFonts w:eastAsia="Calibri"/>
        </w:rPr>
      </w:pPr>
      <w:r w:rsidRPr="000D4C6A">
        <w:rPr>
          <w:rFonts w:eastAsia="Calibri"/>
        </w:rPr>
        <w:t xml:space="preserve">The governance structure of the joint programme will consist of: </w:t>
      </w:r>
    </w:p>
    <w:p w14:paraId="7CF38196" w14:textId="77777777" w:rsidR="00A45397" w:rsidRPr="000D4C6A" w:rsidRDefault="00A45397" w:rsidP="000D4C6A">
      <w:pPr>
        <w:pStyle w:val="Normal1"/>
        <w:pBdr>
          <w:top w:val="nil"/>
          <w:left w:val="nil"/>
          <w:bottom w:val="nil"/>
          <w:right w:val="nil"/>
          <w:between w:val="nil"/>
        </w:pBdr>
        <w:ind w:left="360" w:hanging="720"/>
        <w:jc w:val="both"/>
        <w:rPr>
          <w:rFonts w:eastAsia="Calibri"/>
        </w:rPr>
      </w:pPr>
    </w:p>
    <w:p w14:paraId="24BF512D" w14:textId="77777777" w:rsidR="00A45397" w:rsidRPr="000D4C6A" w:rsidRDefault="00986A15" w:rsidP="000D4C6A">
      <w:pPr>
        <w:pStyle w:val="Normal1"/>
        <w:numPr>
          <w:ilvl w:val="0"/>
          <w:numId w:val="16"/>
        </w:numPr>
        <w:pBdr>
          <w:top w:val="nil"/>
          <w:left w:val="nil"/>
          <w:bottom w:val="nil"/>
          <w:right w:val="nil"/>
          <w:between w:val="nil"/>
        </w:pBdr>
        <w:jc w:val="both"/>
      </w:pPr>
      <w:r w:rsidRPr="000D4C6A">
        <w:rPr>
          <w:rFonts w:eastAsia="Calibri"/>
        </w:rPr>
        <w:t>Steering committee: UN participating organizations, UN Resident Coordinator, Ministry of Education, Ministry of Labour, CONADIS and one representative of civil society. This committee will meet twice a year for approval of the annual work plan and technical and financial reporting.</w:t>
      </w:r>
    </w:p>
    <w:p w14:paraId="5A9A0496" w14:textId="77777777" w:rsidR="00A45397" w:rsidRPr="000D4C6A" w:rsidRDefault="00986A15" w:rsidP="000D4C6A">
      <w:pPr>
        <w:pStyle w:val="Normal1"/>
        <w:numPr>
          <w:ilvl w:val="0"/>
          <w:numId w:val="16"/>
        </w:numPr>
        <w:pBdr>
          <w:top w:val="nil"/>
          <w:left w:val="nil"/>
          <w:bottom w:val="nil"/>
          <w:right w:val="nil"/>
          <w:between w:val="nil"/>
        </w:pBdr>
        <w:jc w:val="both"/>
      </w:pPr>
      <w:r w:rsidRPr="000D4C6A">
        <w:rPr>
          <w:rFonts w:eastAsia="Calibri"/>
        </w:rPr>
        <w:t>Monitoring committee: UN participating organizations, Resident Coordinator Office, all implementing partners and coordination unit of the joint programme. This committee will meet every quarter.</w:t>
      </w:r>
    </w:p>
    <w:p w14:paraId="61AED524" w14:textId="77777777" w:rsidR="00A45397" w:rsidRPr="000D4C6A" w:rsidRDefault="00A45397" w:rsidP="000D4C6A">
      <w:pPr>
        <w:pStyle w:val="Normal1"/>
        <w:pBdr>
          <w:top w:val="nil"/>
          <w:left w:val="nil"/>
          <w:bottom w:val="nil"/>
          <w:right w:val="nil"/>
          <w:between w:val="nil"/>
        </w:pBdr>
        <w:ind w:left="360" w:hanging="720"/>
        <w:jc w:val="both"/>
        <w:rPr>
          <w:rFonts w:eastAsia="Calibri"/>
        </w:rPr>
      </w:pPr>
    </w:p>
    <w:p w14:paraId="0B33C071" w14:textId="77777777" w:rsidR="00A45397" w:rsidRPr="000D4C6A" w:rsidRDefault="00986A15" w:rsidP="00F1792A">
      <w:pPr>
        <w:pStyle w:val="Normal1"/>
        <w:pBdr>
          <w:top w:val="nil"/>
          <w:left w:val="nil"/>
          <w:bottom w:val="nil"/>
          <w:right w:val="nil"/>
          <w:between w:val="nil"/>
        </w:pBdr>
        <w:jc w:val="both"/>
        <w:rPr>
          <w:rFonts w:eastAsia="Calibri"/>
        </w:rPr>
      </w:pPr>
      <w:r w:rsidRPr="000D4C6A">
        <w:rPr>
          <w:rFonts w:eastAsia="Calibri"/>
        </w:rPr>
        <w:t xml:space="preserve">The coordination unit of the joint programme will </w:t>
      </w:r>
      <w:proofErr w:type="gramStart"/>
      <w:r w:rsidRPr="000D4C6A">
        <w:rPr>
          <w:rFonts w:eastAsia="Calibri"/>
        </w:rPr>
        <w:t>be located in</w:t>
      </w:r>
      <w:proofErr w:type="gramEnd"/>
      <w:r w:rsidRPr="000D4C6A">
        <w:rPr>
          <w:rFonts w:eastAsia="Calibri"/>
        </w:rPr>
        <w:t xml:space="preserve"> UNDP premises under the oversight of the Resident Coordinator Office. The coordination unit will ensure coordination of the different components, monitoring of the joint programme in all participatory manner and accountability to the Resident Coordinator Office.</w:t>
      </w:r>
    </w:p>
    <w:p w14:paraId="5B6A53EA" w14:textId="77777777" w:rsidR="00A45397" w:rsidRPr="000D4C6A" w:rsidRDefault="00A45397" w:rsidP="000D4C6A">
      <w:pPr>
        <w:pStyle w:val="Normal1"/>
        <w:pBdr>
          <w:top w:val="nil"/>
          <w:left w:val="nil"/>
          <w:bottom w:val="nil"/>
          <w:right w:val="nil"/>
          <w:between w:val="nil"/>
        </w:pBdr>
        <w:ind w:left="360" w:hanging="720"/>
        <w:jc w:val="both"/>
        <w:rPr>
          <w:rFonts w:eastAsia="Calibri"/>
        </w:rPr>
      </w:pPr>
    </w:p>
    <w:p w14:paraId="19221FF0" w14:textId="77777777" w:rsidR="00A45397" w:rsidRDefault="00986A15" w:rsidP="00F1792A">
      <w:pPr>
        <w:pStyle w:val="Normal1"/>
        <w:pBdr>
          <w:top w:val="nil"/>
          <w:left w:val="nil"/>
          <w:bottom w:val="nil"/>
          <w:right w:val="nil"/>
          <w:between w:val="nil"/>
        </w:pBdr>
        <w:jc w:val="both"/>
        <w:rPr>
          <w:rFonts w:eastAsia="Calibri"/>
          <w:b/>
        </w:rPr>
      </w:pPr>
      <w:r w:rsidRPr="00977CBF">
        <w:rPr>
          <w:rFonts w:eastAsia="Calibri"/>
          <w:b/>
        </w:rPr>
        <w:t>Table 4. Implementation arrangements</w:t>
      </w:r>
    </w:p>
    <w:p w14:paraId="4D2FEB31" w14:textId="77777777" w:rsidR="001B02A0" w:rsidRDefault="001B02A0" w:rsidP="00F1792A">
      <w:pPr>
        <w:pStyle w:val="Normal1"/>
        <w:pBdr>
          <w:top w:val="nil"/>
          <w:left w:val="nil"/>
          <w:bottom w:val="nil"/>
          <w:right w:val="nil"/>
          <w:between w:val="nil"/>
        </w:pBdr>
        <w:jc w:val="both"/>
        <w:rPr>
          <w:rFonts w:eastAsia="Calibri"/>
          <w:b/>
        </w:rPr>
      </w:pPr>
    </w:p>
    <w:p w14:paraId="425E88B3" w14:textId="77777777" w:rsidR="001B02A0" w:rsidRDefault="001B02A0" w:rsidP="00F1792A">
      <w:pPr>
        <w:pStyle w:val="Normal1"/>
        <w:pBdr>
          <w:top w:val="nil"/>
          <w:left w:val="nil"/>
          <w:bottom w:val="nil"/>
          <w:right w:val="nil"/>
          <w:between w:val="nil"/>
        </w:pBdr>
        <w:jc w:val="both"/>
        <w:rPr>
          <w:rFonts w:eastAsia="Calibri"/>
          <w: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Description w:val="UNPRPD Focal point, implementing agencies and other partners by outcome."/>
      </w:tblPr>
      <w:tblGrid>
        <w:gridCol w:w="2446"/>
        <w:gridCol w:w="2428"/>
        <w:gridCol w:w="2499"/>
        <w:gridCol w:w="2497"/>
      </w:tblGrid>
      <w:tr w:rsidR="001B02A0" w:rsidRPr="00B92264" w14:paraId="3A4098C0" w14:textId="77777777" w:rsidTr="008005D5">
        <w:trPr>
          <w:tblHeader/>
        </w:trPr>
        <w:tc>
          <w:tcPr>
            <w:tcW w:w="1239" w:type="pct"/>
            <w:tcBorders>
              <w:bottom w:val="double" w:sz="4" w:space="0" w:color="auto"/>
            </w:tcBorders>
            <w:shd w:val="clear" w:color="auto" w:fill="A6A6A6" w:themeFill="background1" w:themeFillShade="A6"/>
          </w:tcPr>
          <w:p w14:paraId="3FAF02F5" w14:textId="77777777" w:rsidR="001B02A0" w:rsidRPr="00B92264" w:rsidRDefault="001B02A0" w:rsidP="008005D5">
            <w:pPr>
              <w:pStyle w:val="ListParagraph"/>
              <w:ind w:left="0"/>
              <w:contextualSpacing w:val="0"/>
              <w:jc w:val="both"/>
              <w:rPr>
                <w:b/>
                <w:bCs/>
                <w:sz w:val="20"/>
                <w:szCs w:val="20"/>
                <w:lang w:val="en-GB"/>
              </w:rPr>
            </w:pPr>
            <w:r w:rsidRPr="0038149A">
              <w:rPr>
                <w:b/>
                <w:color w:val="FFFFFF" w:themeColor="background1"/>
                <w:sz w:val="20"/>
              </w:rPr>
              <w:t>Outcome number</w:t>
            </w:r>
          </w:p>
        </w:tc>
        <w:tc>
          <w:tcPr>
            <w:tcW w:w="1230" w:type="pct"/>
            <w:tcBorders>
              <w:bottom w:val="double" w:sz="4" w:space="0" w:color="auto"/>
            </w:tcBorders>
            <w:shd w:val="clear" w:color="auto" w:fill="A6A6A6" w:themeFill="background1" w:themeFillShade="A6"/>
          </w:tcPr>
          <w:p w14:paraId="3811593B" w14:textId="77777777" w:rsidR="001B02A0" w:rsidRPr="00B92264" w:rsidRDefault="001B02A0" w:rsidP="008005D5">
            <w:pPr>
              <w:pStyle w:val="ListParagraph"/>
              <w:ind w:left="0"/>
              <w:contextualSpacing w:val="0"/>
              <w:jc w:val="both"/>
              <w:rPr>
                <w:b/>
                <w:bCs/>
                <w:sz w:val="20"/>
                <w:szCs w:val="20"/>
                <w:lang w:val="en-GB"/>
              </w:rPr>
            </w:pPr>
            <w:r w:rsidRPr="0038149A">
              <w:rPr>
                <w:b/>
                <w:color w:val="FFFFFF" w:themeColor="background1"/>
                <w:sz w:val="20"/>
              </w:rPr>
              <w:t>UNPRPD Focal Point</w:t>
            </w:r>
          </w:p>
        </w:tc>
        <w:tc>
          <w:tcPr>
            <w:tcW w:w="1266" w:type="pct"/>
            <w:tcBorders>
              <w:bottom w:val="double" w:sz="4" w:space="0" w:color="auto"/>
            </w:tcBorders>
            <w:shd w:val="clear" w:color="auto" w:fill="A6A6A6" w:themeFill="background1" w:themeFillShade="A6"/>
          </w:tcPr>
          <w:p w14:paraId="0C98F950" w14:textId="77777777" w:rsidR="001B02A0" w:rsidRPr="00B92264" w:rsidRDefault="001B02A0" w:rsidP="008005D5">
            <w:pPr>
              <w:pStyle w:val="ListParagraph"/>
              <w:ind w:left="0"/>
              <w:contextualSpacing w:val="0"/>
              <w:jc w:val="both"/>
              <w:rPr>
                <w:b/>
                <w:bCs/>
                <w:sz w:val="20"/>
                <w:szCs w:val="20"/>
                <w:lang w:val="en-GB"/>
              </w:rPr>
            </w:pPr>
            <w:r w:rsidRPr="0038149A">
              <w:rPr>
                <w:b/>
                <w:color w:val="FFFFFF" w:themeColor="background1"/>
                <w:sz w:val="20"/>
              </w:rPr>
              <w:t>Implementing agencies</w:t>
            </w:r>
          </w:p>
        </w:tc>
        <w:tc>
          <w:tcPr>
            <w:tcW w:w="1266" w:type="pct"/>
            <w:tcBorders>
              <w:bottom w:val="double" w:sz="4" w:space="0" w:color="auto"/>
            </w:tcBorders>
            <w:shd w:val="clear" w:color="auto" w:fill="A6A6A6" w:themeFill="background1" w:themeFillShade="A6"/>
          </w:tcPr>
          <w:p w14:paraId="63A13379" w14:textId="77777777" w:rsidR="001B02A0" w:rsidRPr="00B92264" w:rsidRDefault="001B02A0" w:rsidP="008005D5">
            <w:pPr>
              <w:pStyle w:val="ListParagraph"/>
              <w:ind w:left="0"/>
              <w:contextualSpacing w:val="0"/>
              <w:jc w:val="both"/>
              <w:rPr>
                <w:b/>
                <w:bCs/>
                <w:sz w:val="20"/>
                <w:szCs w:val="20"/>
                <w:lang w:val="en-GB"/>
              </w:rPr>
            </w:pPr>
            <w:r w:rsidRPr="0038149A">
              <w:rPr>
                <w:b/>
                <w:color w:val="FFFFFF" w:themeColor="background1"/>
                <w:sz w:val="20"/>
              </w:rPr>
              <w:t>Other partners</w:t>
            </w:r>
          </w:p>
        </w:tc>
      </w:tr>
      <w:tr w:rsidR="001B02A0" w:rsidRPr="00B92264" w14:paraId="1767E551" w14:textId="77777777" w:rsidTr="008005D5">
        <w:tc>
          <w:tcPr>
            <w:tcW w:w="1239" w:type="pct"/>
            <w:tcBorders>
              <w:top w:val="double" w:sz="4" w:space="0" w:color="auto"/>
              <w:bottom w:val="double" w:sz="4" w:space="0" w:color="auto"/>
              <w:right w:val="double" w:sz="4" w:space="0" w:color="auto"/>
            </w:tcBorders>
          </w:tcPr>
          <w:p w14:paraId="5B30D7E3" w14:textId="77777777" w:rsidR="001B02A0" w:rsidRPr="00B92264" w:rsidRDefault="001B02A0" w:rsidP="008005D5">
            <w:pPr>
              <w:rPr>
                <w:b/>
                <w:sz w:val="20"/>
                <w:szCs w:val="20"/>
                <w:lang w:val="en-GB"/>
              </w:rPr>
            </w:pPr>
            <w:r w:rsidRPr="00B92264">
              <w:rPr>
                <w:b/>
                <w:sz w:val="20"/>
                <w:szCs w:val="20"/>
                <w:lang w:val="en-GB"/>
              </w:rPr>
              <w:t xml:space="preserve">1. </w:t>
            </w:r>
            <w:r w:rsidRPr="00C97D2E">
              <w:rPr>
                <w:sz w:val="20"/>
                <w:szCs w:val="20"/>
                <w:lang w:val="en-GB"/>
              </w:rPr>
              <w:t>By 2020 children with disabilities have better access, can learn and stay in school</w:t>
            </w:r>
            <w:r>
              <w:rPr>
                <w:sz w:val="20"/>
                <w:szCs w:val="20"/>
                <w:lang w:val="en-GB"/>
              </w:rPr>
              <w:t>.</w:t>
            </w:r>
          </w:p>
          <w:p w14:paraId="7BD70D02" w14:textId="77777777" w:rsidR="001B02A0" w:rsidRPr="00B92264" w:rsidRDefault="001B02A0" w:rsidP="008005D5">
            <w:pPr>
              <w:pStyle w:val="ListParagraph"/>
              <w:ind w:left="0"/>
              <w:contextualSpacing w:val="0"/>
              <w:rPr>
                <w:b/>
                <w:bCs/>
                <w:sz w:val="20"/>
                <w:szCs w:val="20"/>
                <w:lang w:val="en-GB"/>
              </w:rPr>
            </w:pPr>
          </w:p>
        </w:tc>
        <w:tc>
          <w:tcPr>
            <w:tcW w:w="1230" w:type="pct"/>
            <w:tcBorders>
              <w:top w:val="double" w:sz="4" w:space="0" w:color="auto"/>
              <w:left w:val="double" w:sz="4" w:space="0" w:color="auto"/>
              <w:bottom w:val="double" w:sz="4" w:space="0" w:color="auto"/>
              <w:right w:val="double" w:sz="4" w:space="0" w:color="auto"/>
            </w:tcBorders>
          </w:tcPr>
          <w:p w14:paraId="041AF500" w14:textId="77777777" w:rsidR="001B02A0" w:rsidRPr="00B92264" w:rsidRDefault="001B02A0" w:rsidP="008005D5">
            <w:pPr>
              <w:pStyle w:val="ListParagraph"/>
              <w:ind w:left="0"/>
              <w:contextualSpacing w:val="0"/>
              <w:rPr>
                <w:bCs/>
                <w:sz w:val="20"/>
                <w:szCs w:val="20"/>
                <w:lang w:val="en-GB"/>
              </w:rPr>
            </w:pPr>
            <w:r w:rsidRPr="00B92264">
              <w:rPr>
                <w:bCs/>
                <w:sz w:val="20"/>
                <w:szCs w:val="20"/>
                <w:lang w:val="en-GB"/>
              </w:rPr>
              <w:t>UNICEF</w:t>
            </w:r>
          </w:p>
        </w:tc>
        <w:tc>
          <w:tcPr>
            <w:tcW w:w="1266" w:type="pct"/>
            <w:tcBorders>
              <w:top w:val="double" w:sz="4" w:space="0" w:color="auto"/>
              <w:left w:val="double" w:sz="4" w:space="0" w:color="auto"/>
              <w:bottom w:val="double" w:sz="4" w:space="0" w:color="auto"/>
              <w:right w:val="double" w:sz="4" w:space="0" w:color="auto"/>
            </w:tcBorders>
          </w:tcPr>
          <w:p w14:paraId="1935AA70" w14:textId="77777777" w:rsidR="001B02A0" w:rsidRPr="00B92264" w:rsidRDefault="001B02A0" w:rsidP="008005D5">
            <w:pPr>
              <w:rPr>
                <w:sz w:val="20"/>
                <w:lang w:val="en-GB"/>
              </w:rPr>
            </w:pPr>
            <w:r w:rsidRPr="002C6660">
              <w:rPr>
                <w:sz w:val="20"/>
                <w:lang w:val="en-GB"/>
              </w:rPr>
              <w:t xml:space="preserve">Ministry of Education (Directorate of Special Education and Diversity Support Centres (CAD), Regional and district </w:t>
            </w:r>
            <w:r w:rsidRPr="007A06C2">
              <w:rPr>
                <w:sz w:val="20"/>
                <w:lang w:val="en-GB"/>
              </w:rPr>
              <w:t>directions</w:t>
            </w:r>
            <w:r w:rsidRPr="00B92264">
              <w:rPr>
                <w:sz w:val="20"/>
                <w:lang w:val="en-GB"/>
              </w:rPr>
              <w:t xml:space="preserve"> and </w:t>
            </w:r>
            <w:r>
              <w:rPr>
                <w:sz w:val="20"/>
                <w:szCs w:val="20"/>
                <w:lang w:val="en-GB"/>
              </w:rPr>
              <w:t>Disabled People’s Organizations</w:t>
            </w:r>
          </w:p>
        </w:tc>
        <w:tc>
          <w:tcPr>
            <w:tcW w:w="1266" w:type="pct"/>
            <w:tcBorders>
              <w:top w:val="double" w:sz="4" w:space="0" w:color="auto"/>
              <w:left w:val="double" w:sz="4" w:space="0" w:color="auto"/>
              <w:bottom w:val="double" w:sz="4" w:space="0" w:color="auto"/>
            </w:tcBorders>
          </w:tcPr>
          <w:p w14:paraId="3AD84F53" w14:textId="77777777" w:rsidR="001B02A0" w:rsidRPr="00B92264" w:rsidRDefault="001B02A0" w:rsidP="008005D5">
            <w:pPr>
              <w:rPr>
                <w:sz w:val="20"/>
                <w:lang w:val="en-GB"/>
              </w:rPr>
            </w:pPr>
            <w:r w:rsidRPr="002C6660">
              <w:rPr>
                <w:sz w:val="20"/>
                <w:lang w:val="en-GB"/>
              </w:rPr>
              <w:t xml:space="preserve">National Disability Council </w:t>
            </w:r>
            <w:r>
              <w:rPr>
                <w:sz w:val="20"/>
                <w:lang w:val="en-GB"/>
              </w:rPr>
              <w:t>(CONADIS)</w:t>
            </w:r>
            <w:r w:rsidRPr="00B92264">
              <w:rPr>
                <w:sz w:val="20"/>
                <w:lang w:val="en-GB"/>
              </w:rPr>
              <w:t xml:space="preserve"> </w:t>
            </w:r>
            <w:r>
              <w:rPr>
                <w:sz w:val="20"/>
                <w:lang w:val="en-GB"/>
              </w:rPr>
              <w:t xml:space="preserve"> </w:t>
            </w:r>
          </w:p>
        </w:tc>
      </w:tr>
      <w:tr w:rsidR="001B02A0" w:rsidRPr="00B92264" w14:paraId="5CE1EC3E" w14:textId="77777777" w:rsidTr="008005D5">
        <w:tc>
          <w:tcPr>
            <w:tcW w:w="1239" w:type="pct"/>
            <w:tcBorders>
              <w:top w:val="double" w:sz="4" w:space="0" w:color="auto"/>
              <w:bottom w:val="double" w:sz="4" w:space="0" w:color="auto"/>
              <w:right w:val="double" w:sz="4" w:space="0" w:color="auto"/>
            </w:tcBorders>
          </w:tcPr>
          <w:p w14:paraId="07D516D1" w14:textId="77777777" w:rsidR="001B02A0" w:rsidRPr="00B92264" w:rsidRDefault="001B02A0" w:rsidP="008005D5">
            <w:pPr>
              <w:pStyle w:val="ListParagraph"/>
              <w:ind w:left="0"/>
              <w:contextualSpacing w:val="0"/>
              <w:rPr>
                <w:b/>
                <w:bCs/>
                <w:sz w:val="20"/>
                <w:szCs w:val="20"/>
                <w:lang w:val="en-GB"/>
              </w:rPr>
            </w:pPr>
            <w:r w:rsidRPr="00B92264">
              <w:rPr>
                <w:b/>
                <w:lang w:val="en-GB"/>
              </w:rPr>
              <w:t xml:space="preserve"> </w:t>
            </w:r>
            <w:r w:rsidRPr="00B92264">
              <w:rPr>
                <w:b/>
                <w:bCs/>
                <w:sz w:val="20"/>
                <w:szCs w:val="20"/>
                <w:lang w:val="en-GB"/>
              </w:rPr>
              <w:t xml:space="preserve">2. </w:t>
            </w:r>
            <w:r w:rsidRPr="00764E00">
              <w:rPr>
                <w:sz w:val="20"/>
                <w:szCs w:val="20"/>
                <w:lang w:val="en-GB"/>
              </w:rPr>
              <w:t xml:space="preserve">By 2020 PWD have increased access </w:t>
            </w:r>
            <w:r w:rsidRPr="001B02A0">
              <w:rPr>
                <w:sz w:val="20"/>
                <w:szCs w:val="20"/>
                <w:lang w:val="en-GB"/>
              </w:rPr>
              <w:t xml:space="preserve">to technical-professional training and better work opportunities, </w:t>
            </w:r>
            <w:proofErr w:type="gramStart"/>
            <w:r w:rsidRPr="001B02A0">
              <w:rPr>
                <w:sz w:val="20"/>
                <w:szCs w:val="20"/>
                <w:lang w:val="en-GB"/>
              </w:rPr>
              <w:t>taking into account</w:t>
            </w:r>
            <w:proofErr w:type="gramEnd"/>
            <w:r w:rsidRPr="001B02A0">
              <w:rPr>
                <w:sz w:val="20"/>
                <w:szCs w:val="20"/>
                <w:lang w:val="en-GB"/>
              </w:rPr>
              <w:t>, during the implementation, the labour gap between men and women.</w:t>
            </w:r>
          </w:p>
        </w:tc>
        <w:tc>
          <w:tcPr>
            <w:tcW w:w="1230" w:type="pct"/>
            <w:tcBorders>
              <w:top w:val="double" w:sz="4" w:space="0" w:color="auto"/>
              <w:left w:val="double" w:sz="4" w:space="0" w:color="auto"/>
              <w:bottom w:val="double" w:sz="4" w:space="0" w:color="auto"/>
              <w:right w:val="double" w:sz="4" w:space="0" w:color="auto"/>
            </w:tcBorders>
          </w:tcPr>
          <w:p w14:paraId="14D900DB" w14:textId="77777777" w:rsidR="001B02A0" w:rsidRPr="00B92264" w:rsidRDefault="001B02A0" w:rsidP="008005D5">
            <w:pPr>
              <w:pStyle w:val="ListParagraph"/>
              <w:ind w:left="0"/>
              <w:contextualSpacing w:val="0"/>
              <w:rPr>
                <w:sz w:val="20"/>
                <w:lang w:val="en-GB"/>
              </w:rPr>
            </w:pPr>
            <w:r w:rsidRPr="00B92264">
              <w:rPr>
                <w:sz w:val="20"/>
                <w:szCs w:val="20"/>
                <w:lang w:val="en-GB"/>
              </w:rPr>
              <w:t>UNDP</w:t>
            </w:r>
          </w:p>
        </w:tc>
        <w:tc>
          <w:tcPr>
            <w:tcW w:w="1266" w:type="pct"/>
            <w:tcBorders>
              <w:top w:val="double" w:sz="4" w:space="0" w:color="auto"/>
              <w:left w:val="double" w:sz="4" w:space="0" w:color="auto"/>
              <w:bottom w:val="double" w:sz="4" w:space="0" w:color="auto"/>
              <w:right w:val="double" w:sz="4" w:space="0" w:color="auto"/>
            </w:tcBorders>
          </w:tcPr>
          <w:p w14:paraId="64029C7C" w14:textId="77777777" w:rsidR="001B02A0" w:rsidRPr="002C6660" w:rsidRDefault="001B02A0" w:rsidP="008005D5">
            <w:pPr>
              <w:rPr>
                <w:sz w:val="20"/>
                <w:szCs w:val="20"/>
                <w:lang w:val="en-GB"/>
              </w:rPr>
            </w:pPr>
            <w:r w:rsidRPr="002C6660">
              <w:rPr>
                <w:sz w:val="20"/>
                <w:szCs w:val="20"/>
                <w:lang w:val="en-GB"/>
              </w:rPr>
              <w:t xml:space="preserve">Ministry of Labour (Disability Division and of the Equal Opportunities and Non-Discrimination Directorate); National Technical-Vocational Training Institute (INFOTEP), </w:t>
            </w:r>
            <w:r w:rsidRPr="00891012">
              <w:rPr>
                <w:iCs/>
                <w:sz w:val="20"/>
                <w:szCs w:val="20"/>
                <w:lang w:val="en-GB"/>
              </w:rPr>
              <w:t xml:space="preserve">Disabled People’s </w:t>
            </w:r>
            <w:r>
              <w:rPr>
                <w:iCs/>
                <w:sz w:val="20"/>
                <w:szCs w:val="20"/>
                <w:lang w:val="en-GB"/>
              </w:rPr>
              <w:t>Organizations</w:t>
            </w:r>
            <w:r w:rsidRPr="00891012">
              <w:rPr>
                <w:iCs/>
                <w:sz w:val="20"/>
                <w:szCs w:val="20"/>
                <w:lang w:val="en-GB"/>
              </w:rPr>
              <w:t xml:space="preserve"> </w:t>
            </w:r>
            <w:r>
              <w:rPr>
                <w:iCs/>
                <w:sz w:val="20"/>
                <w:szCs w:val="20"/>
                <w:lang w:val="en-GB"/>
              </w:rPr>
              <w:t xml:space="preserve">(DPOs) </w:t>
            </w:r>
            <w:r w:rsidRPr="002C6660">
              <w:rPr>
                <w:sz w:val="20"/>
                <w:szCs w:val="20"/>
                <w:lang w:val="en-GB"/>
              </w:rPr>
              <w:t xml:space="preserve">and </w:t>
            </w:r>
            <w:r>
              <w:rPr>
                <w:sz w:val="20"/>
                <w:szCs w:val="20"/>
                <w:lang w:val="en-GB"/>
              </w:rPr>
              <w:t>Organizations</w:t>
            </w:r>
            <w:r w:rsidRPr="002C6660">
              <w:rPr>
                <w:sz w:val="20"/>
                <w:szCs w:val="20"/>
                <w:lang w:val="en-GB"/>
              </w:rPr>
              <w:t xml:space="preserve"> supporting persons with disabilities</w:t>
            </w:r>
          </w:p>
          <w:p w14:paraId="533A3376" w14:textId="77777777" w:rsidR="001B02A0" w:rsidRPr="002C6660" w:rsidRDefault="001B02A0" w:rsidP="008005D5">
            <w:pPr>
              <w:pStyle w:val="ListParagraph"/>
              <w:ind w:left="0"/>
              <w:contextualSpacing w:val="0"/>
              <w:rPr>
                <w:sz w:val="20"/>
                <w:lang w:val="en-GB"/>
              </w:rPr>
            </w:pPr>
          </w:p>
        </w:tc>
        <w:tc>
          <w:tcPr>
            <w:tcW w:w="1266" w:type="pct"/>
            <w:tcBorders>
              <w:top w:val="double" w:sz="4" w:space="0" w:color="auto"/>
              <w:left w:val="double" w:sz="4" w:space="0" w:color="auto"/>
              <w:bottom w:val="double" w:sz="4" w:space="0" w:color="auto"/>
            </w:tcBorders>
          </w:tcPr>
          <w:p w14:paraId="7AD51DB7" w14:textId="77777777" w:rsidR="001B02A0" w:rsidRPr="002C6660" w:rsidRDefault="001B02A0" w:rsidP="008005D5">
            <w:pPr>
              <w:pStyle w:val="ListParagraph"/>
              <w:ind w:left="0"/>
              <w:contextualSpacing w:val="0"/>
              <w:rPr>
                <w:sz w:val="20"/>
                <w:lang w:val="en-GB"/>
              </w:rPr>
            </w:pPr>
            <w:r w:rsidRPr="002C6660">
              <w:rPr>
                <w:sz w:val="20"/>
                <w:lang w:val="en-GB"/>
              </w:rPr>
              <w:t>National Disability Council (CONADIS), Ministry for Public Administration</w:t>
            </w:r>
            <w:r w:rsidRPr="002C6660" w:rsidDel="00183EF6">
              <w:rPr>
                <w:sz w:val="20"/>
                <w:lang w:val="en-GB"/>
              </w:rPr>
              <w:t xml:space="preserve"> </w:t>
            </w:r>
            <w:r w:rsidRPr="002C6660">
              <w:rPr>
                <w:sz w:val="20"/>
                <w:lang w:val="en-GB"/>
              </w:rPr>
              <w:t>and Private Sector</w:t>
            </w:r>
          </w:p>
        </w:tc>
      </w:tr>
      <w:tr w:rsidR="001B02A0" w:rsidRPr="00B92264" w14:paraId="1B27F99B" w14:textId="77777777" w:rsidTr="008005D5">
        <w:tc>
          <w:tcPr>
            <w:tcW w:w="1239" w:type="pct"/>
            <w:tcBorders>
              <w:top w:val="double" w:sz="4" w:space="0" w:color="auto"/>
              <w:bottom w:val="double" w:sz="4" w:space="0" w:color="auto"/>
              <w:right w:val="double" w:sz="4" w:space="0" w:color="auto"/>
            </w:tcBorders>
          </w:tcPr>
          <w:p w14:paraId="6230DC9D" w14:textId="77777777" w:rsidR="001B02A0" w:rsidRPr="00B92264" w:rsidRDefault="001B02A0" w:rsidP="008005D5">
            <w:pPr>
              <w:rPr>
                <w:b/>
                <w:sz w:val="20"/>
                <w:szCs w:val="20"/>
                <w:lang w:val="en-GB"/>
              </w:rPr>
            </w:pPr>
            <w:r w:rsidRPr="00B92264">
              <w:rPr>
                <w:b/>
                <w:bCs/>
                <w:sz w:val="20"/>
                <w:szCs w:val="20"/>
                <w:lang w:val="en-GB"/>
              </w:rPr>
              <w:t>3.</w:t>
            </w:r>
            <w:r w:rsidRPr="00B92264">
              <w:rPr>
                <w:b/>
                <w:sz w:val="20"/>
                <w:szCs w:val="20"/>
                <w:lang w:val="en-GB"/>
              </w:rPr>
              <w:t xml:space="preserve"> </w:t>
            </w:r>
            <w:r w:rsidRPr="00764E00">
              <w:rPr>
                <w:sz w:val="20"/>
                <w:szCs w:val="20"/>
                <w:lang w:val="en-GB"/>
              </w:rPr>
              <w:t>By 2020 PWD have enhanced capacities for active participation in the community</w:t>
            </w:r>
            <w:r>
              <w:rPr>
                <w:sz w:val="20"/>
                <w:szCs w:val="20"/>
                <w:lang w:val="en-GB"/>
              </w:rPr>
              <w:t>.</w:t>
            </w:r>
          </w:p>
          <w:p w14:paraId="078C67ED" w14:textId="77777777" w:rsidR="001B02A0" w:rsidRPr="00B92264" w:rsidRDefault="001B02A0" w:rsidP="008005D5">
            <w:pPr>
              <w:pStyle w:val="ListParagraph"/>
              <w:ind w:left="0"/>
              <w:contextualSpacing w:val="0"/>
              <w:rPr>
                <w:b/>
                <w:bCs/>
                <w:sz w:val="20"/>
                <w:szCs w:val="20"/>
                <w:lang w:val="en-GB"/>
              </w:rPr>
            </w:pPr>
          </w:p>
        </w:tc>
        <w:tc>
          <w:tcPr>
            <w:tcW w:w="1230" w:type="pct"/>
            <w:tcBorders>
              <w:top w:val="double" w:sz="4" w:space="0" w:color="auto"/>
              <w:left w:val="double" w:sz="4" w:space="0" w:color="auto"/>
              <w:bottom w:val="double" w:sz="4" w:space="0" w:color="auto"/>
              <w:right w:val="double" w:sz="4" w:space="0" w:color="auto"/>
            </w:tcBorders>
          </w:tcPr>
          <w:p w14:paraId="307BB05D" w14:textId="77777777" w:rsidR="001B02A0" w:rsidRPr="00B92264" w:rsidRDefault="001B02A0" w:rsidP="008005D5">
            <w:pPr>
              <w:pStyle w:val="ListParagraph"/>
              <w:ind w:left="0"/>
              <w:contextualSpacing w:val="0"/>
              <w:rPr>
                <w:sz w:val="20"/>
                <w:lang w:val="en-GB"/>
              </w:rPr>
            </w:pPr>
            <w:r w:rsidRPr="00B92264">
              <w:rPr>
                <w:sz w:val="20"/>
                <w:lang w:val="en-GB"/>
              </w:rPr>
              <w:t>PAHO/WHO</w:t>
            </w:r>
          </w:p>
        </w:tc>
        <w:tc>
          <w:tcPr>
            <w:tcW w:w="1266" w:type="pct"/>
            <w:tcBorders>
              <w:top w:val="double" w:sz="4" w:space="0" w:color="auto"/>
              <w:left w:val="double" w:sz="4" w:space="0" w:color="auto"/>
              <w:bottom w:val="double" w:sz="4" w:space="0" w:color="auto"/>
              <w:right w:val="double" w:sz="4" w:space="0" w:color="auto"/>
            </w:tcBorders>
          </w:tcPr>
          <w:p w14:paraId="14299B48" w14:textId="77777777" w:rsidR="001B02A0" w:rsidRPr="002C6660" w:rsidRDefault="001B02A0" w:rsidP="008005D5">
            <w:pPr>
              <w:pStyle w:val="ListParagraph"/>
              <w:ind w:left="0"/>
              <w:contextualSpacing w:val="0"/>
              <w:rPr>
                <w:sz w:val="20"/>
                <w:lang w:val="en-GB"/>
              </w:rPr>
            </w:pPr>
            <w:r w:rsidRPr="002C6660">
              <w:rPr>
                <w:sz w:val="20"/>
                <w:lang w:val="en-GB"/>
              </w:rPr>
              <w:t xml:space="preserve">National Disability Council (CONADIS) and </w:t>
            </w:r>
            <w:r>
              <w:rPr>
                <w:sz w:val="20"/>
                <w:szCs w:val="20"/>
                <w:lang w:val="en-GB"/>
              </w:rPr>
              <w:t>Disabled People’s Organizations</w:t>
            </w:r>
          </w:p>
        </w:tc>
        <w:tc>
          <w:tcPr>
            <w:tcW w:w="1266" w:type="pct"/>
            <w:tcBorders>
              <w:top w:val="double" w:sz="4" w:space="0" w:color="auto"/>
              <w:left w:val="double" w:sz="4" w:space="0" w:color="auto"/>
              <w:bottom w:val="double" w:sz="4" w:space="0" w:color="auto"/>
            </w:tcBorders>
          </w:tcPr>
          <w:p w14:paraId="1B36D52D" w14:textId="77777777" w:rsidR="001B02A0" w:rsidRDefault="001B02A0" w:rsidP="008005D5">
            <w:pPr>
              <w:jc w:val="both"/>
              <w:rPr>
                <w:iCs/>
                <w:sz w:val="20"/>
                <w:szCs w:val="20"/>
                <w:lang w:val="en-GB"/>
              </w:rPr>
            </w:pPr>
            <w:r w:rsidRPr="002C6660">
              <w:rPr>
                <w:sz w:val="20"/>
                <w:lang w:val="en-GB"/>
              </w:rPr>
              <w:t xml:space="preserve">Ministry of Health (governing </w:t>
            </w:r>
            <w:r>
              <w:rPr>
                <w:sz w:val="20"/>
                <w:lang w:val="en-GB"/>
              </w:rPr>
              <w:t xml:space="preserve">body for the health sector), </w:t>
            </w:r>
            <w:r w:rsidRPr="002C6660">
              <w:rPr>
                <w:sz w:val="20"/>
                <w:lang w:val="en-GB"/>
              </w:rPr>
              <w:t xml:space="preserve">National Health Service </w:t>
            </w:r>
            <w:r>
              <w:rPr>
                <w:sz w:val="20"/>
                <w:lang w:val="en-GB"/>
              </w:rPr>
              <w:t xml:space="preserve">and </w:t>
            </w:r>
            <w:r>
              <w:rPr>
                <w:iCs/>
                <w:sz w:val="20"/>
                <w:szCs w:val="20"/>
                <w:lang w:val="en-GB"/>
              </w:rPr>
              <w:t xml:space="preserve">Integral Disability Centre (CAID), </w:t>
            </w:r>
          </w:p>
          <w:p w14:paraId="219CE5C8" w14:textId="77777777" w:rsidR="001B02A0" w:rsidRPr="008D2D36" w:rsidRDefault="001B02A0" w:rsidP="008005D5">
            <w:pPr>
              <w:jc w:val="both"/>
              <w:rPr>
                <w:iCs/>
                <w:sz w:val="20"/>
                <w:szCs w:val="20"/>
                <w:lang w:val="en-GB"/>
              </w:rPr>
            </w:pPr>
            <w:r w:rsidRPr="00977CBF">
              <w:rPr>
                <w:sz w:val="20"/>
                <w:szCs w:val="20"/>
              </w:rPr>
              <w:t>Dominican Republic Down’s Syndrome Association, Special Olympics Organization</w:t>
            </w:r>
            <w:r>
              <w:rPr>
                <w:sz w:val="20"/>
                <w:szCs w:val="20"/>
              </w:rPr>
              <w:t xml:space="preserve"> </w:t>
            </w:r>
          </w:p>
        </w:tc>
      </w:tr>
    </w:tbl>
    <w:p w14:paraId="679F81E1" w14:textId="77777777" w:rsidR="00A45397" w:rsidRPr="00CB7399" w:rsidRDefault="00986A15" w:rsidP="000D4C6A">
      <w:pPr>
        <w:pStyle w:val="Heading1"/>
        <w:numPr>
          <w:ilvl w:val="0"/>
          <w:numId w:val="17"/>
        </w:numPr>
        <w:jc w:val="both"/>
        <w:rPr>
          <w:rFonts w:ascii="Times New Roman" w:hAnsi="Times New Roman" w:cs="Times New Roman"/>
          <w:b/>
          <w:color w:val="4F81BD" w:themeColor="accent1"/>
        </w:rPr>
      </w:pPr>
      <w:r w:rsidRPr="00CB7399">
        <w:rPr>
          <w:rFonts w:ascii="Times New Roman" w:hAnsi="Times New Roman" w:cs="Times New Roman"/>
          <w:b/>
          <w:color w:val="4F81BD" w:themeColor="accent1"/>
        </w:rPr>
        <w:t>Knowledge management</w:t>
      </w:r>
    </w:p>
    <w:p w14:paraId="6D467505" w14:textId="77777777" w:rsidR="00A45397" w:rsidRPr="000D4C6A" w:rsidRDefault="00A45397" w:rsidP="000D4C6A">
      <w:pPr>
        <w:pStyle w:val="Normal1"/>
        <w:jc w:val="both"/>
        <w:rPr>
          <w:b/>
        </w:rPr>
      </w:pPr>
    </w:p>
    <w:p w14:paraId="43042A51" w14:textId="77777777" w:rsidR="00A45397" w:rsidRPr="000D4C6A" w:rsidRDefault="00986A15" w:rsidP="00F1792A">
      <w:pPr>
        <w:pStyle w:val="Normal1"/>
        <w:pBdr>
          <w:top w:val="nil"/>
          <w:left w:val="nil"/>
          <w:bottom w:val="nil"/>
          <w:right w:val="nil"/>
          <w:between w:val="nil"/>
        </w:pBdr>
        <w:jc w:val="both"/>
        <w:rPr>
          <w:rFonts w:eastAsia="Calibri"/>
        </w:rPr>
      </w:pPr>
      <w:r w:rsidRPr="000D4C6A">
        <w:rPr>
          <w:rFonts w:eastAsia="Calibri"/>
        </w:rPr>
        <w:t xml:space="preserve">A baseline study will be conducted at the initial stage </w:t>
      </w:r>
      <w:proofErr w:type="gramStart"/>
      <w:r w:rsidRPr="000D4C6A">
        <w:rPr>
          <w:rFonts w:eastAsia="Calibri"/>
        </w:rPr>
        <w:t>in order to</w:t>
      </w:r>
      <w:proofErr w:type="gramEnd"/>
      <w:r w:rsidRPr="000D4C6A">
        <w:rPr>
          <w:rFonts w:eastAsia="Calibri"/>
        </w:rPr>
        <w:t xml:space="preserve"> identify the situation with regards to inclusive and quality education, decent and inclusive employment and social participation of persons with disabilities in the project intervention areas.</w:t>
      </w:r>
    </w:p>
    <w:p w14:paraId="11D835AD" w14:textId="77777777" w:rsidR="00A45397" w:rsidRPr="000D4C6A" w:rsidRDefault="00A45397" w:rsidP="000D4C6A">
      <w:pPr>
        <w:pStyle w:val="Normal1"/>
        <w:pBdr>
          <w:top w:val="nil"/>
          <w:left w:val="nil"/>
          <w:bottom w:val="nil"/>
          <w:right w:val="nil"/>
          <w:between w:val="nil"/>
        </w:pBdr>
        <w:ind w:hanging="720"/>
        <w:jc w:val="both"/>
        <w:rPr>
          <w:rFonts w:eastAsia="Calibri"/>
        </w:rPr>
      </w:pPr>
    </w:p>
    <w:p w14:paraId="2E8FF5EE" w14:textId="77777777" w:rsidR="00A45397" w:rsidRPr="000D4C6A" w:rsidRDefault="00986A15" w:rsidP="00F1792A">
      <w:pPr>
        <w:pStyle w:val="Normal1"/>
        <w:pBdr>
          <w:top w:val="nil"/>
          <w:left w:val="nil"/>
          <w:bottom w:val="nil"/>
          <w:right w:val="nil"/>
          <w:between w:val="nil"/>
        </w:pBdr>
        <w:jc w:val="both"/>
        <w:rPr>
          <w:rFonts w:eastAsia="Calibri"/>
        </w:rPr>
      </w:pPr>
      <w:r w:rsidRPr="000D4C6A">
        <w:rPr>
          <w:rFonts w:eastAsia="Calibri"/>
        </w:rPr>
        <w:t>Monitoring committee made up by participating UN organizations, DPOs and Governmental Institutions will be set up as part of the project, to provide continuous follow-up on the implementation of the interventions, and to advocate for the achievement of the expected outcomes. Monitoring of the project activities will be achieved through meetings and events with DPOs and the government, as well as field visits. Integrated reports with information on each of the project components will be produced on a regular basis to provide updates on the progress made in the planned activities, which will enable timely adjustments as needed.</w:t>
      </w:r>
    </w:p>
    <w:p w14:paraId="63DA7B42" w14:textId="77777777" w:rsidR="00A45397" w:rsidRPr="000D4C6A" w:rsidRDefault="00A45397" w:rsidP="000D4C6A">
      <w:pPr>
        <w:pStyle w:val="Normal1"/>
        <w:pBdr>
          <w:top w:val="nil"/>
          <w:left w:val="nil"/>
          <w:bottom w:val="nil"/>
          <w:right w:val="nil"/>
          <w:between w:val="nil"/>
        </w:pBdr>
        <w:ind w:hanging="720"/>
        <w:jc w:val="both"/>
        <w:rPr>
          <w:rFonts w:eastAsia="Calibri"/>
        </w:rPr>
      </w:pPr>
    </w:p>
    <w:p w14:paraId="4FB77DF9" w14:textId="77777777" w:rsidR="00A45397" w:rsidRPr="000D4C6A" w:rsidRDefault="00986A15" w:rsidP="00F1792A">
      <w:pPr>
        <w:pStyle w:val="Normal1"/>
        <w:pBdr>
          <w:top w:val="nil"/>
          <w:left w:val="nil"/>
          <w:bottom w:val="nil"/>
          <w:right w:val="nil"/>
          <w:between w:val="nil"/>
        </w:pBdr>
        <w:jc w:val="both"/>
        <w:rPr>
          <w:rFonts w:eastAsia="Calibri"/>
        </w:rPr>
      </w:pPr>
      <w:r w:rsidRPr="000D4C6A">
        <w:rPr>
          <w:rFonts w:eastAsia="Calibri"/>
        </w:rPr>
        <w:t xml:space="preserve">Using all these inputs, a systematisation will be carried out when the project comes to an end, highlighting the attained achievements, which will be shared with the DPOs and government, as good practices for the elimination of obstacles and the social inclusion of persons with disabilities. </w:t>
      </w:r>
    </w:p>
    <w:p w14:paraId="4D68A1FB" w14:textId="77777777" w:rsidR="00A45397" w:rsidRPr="000D4C6A" w:rsidRDefault="00A45397" w:rsidP="000D4C6A">
      <w:pPr>
        <w:pStyle w:val="Normal1"/>
        <w:pBdr>
          <w:top w:val="nil"/>
          <w:left w:val="nil"/>
          <w:bottom w:val="nil"/>
          <w:right w:val="nil"/>
          <w:between w:val="nil"/>
        </w:pBdr>
        <w:ind w:hanging="720"/>
        <w:jc w:val="both"/>
        <w:rPr>
          <w:rFonts w:eastAsia="Calibri"/>
        </w:rPr>
      </w:pPr>
    </w:p>
    <w:p w14:paraId="421B02EF" w14:textId="77777777" w:rsidR="00A45397" w:rsidRPr="00CB7399" w:rsidRDefault="00986A15" w:rsidP="000D4C6A">
      <w:pPr>
        <w:pStyle w:val="Heading1"/>
        <w:numPr>
          <w:ilvl w:val="0"/>
          <w:numId w:val="17"/>
        </w:numPr>
        <w:jc w:val="both"/>
        <w:rPr>
          <w:rFonts w:ascii="Times New Roman" w:hAnsi="Times New Roman" w:cs="Times New Roman"/>
          <w:b/>
          <w:color w:val="4F81BD" w:themeColor="accent1"/>
        </w:rPr>
      </w:pPr>
      <w:r w:rsidRPr="00CB7399">
        <w:rPr>
          <w:rFonts w:ascii="Times New Roman" w:hAnsi="Times New Roman" w:cs="Times New Roman"/>
          <w:b/>
          <w:color w:val="4F81BD" w:themeColor="accent1"/>
        </w:rPr>
        <w:t xml:space="preserve">Inception Activities </w:t>
      </w:r>
    </w:p>
    <w:p w14:paraId="214C621E" w14:textId="77777777" w:rsidR="00A45397" w:rsidRPr="000D4C6A" w:rsidRDefault="00A45397" w:rsidP="000D4C6A">
      <w:pPr>
        <w:pStyle w:val="Normal1"/>
        <w:jc w:val="both"/>
      </w:pPr>
    </w:p>
    <w:p w14:paraId="0A5CE3D5" w14:textId="77777777" w:rsidR="00A45397" w:rsidRPr="000D4C6A" w:rsidRDefault="00986A15" w:rsidP="000D4C6A">
      <w:pPr>
        <w:pStyle w:val="Normal1"/>
        <w:jc w:val="both"/>
      </w:pPr>
      <w:r w:rsidRPr="000D4C6A">
        <w:t>The following initial activities will be carried out:</w:t>
      </w:r>
    </w:p>
    <w:p w14:paraId="289D0812" w14:textId="77777777" w:rsidR="00A45397" w:rsidRPr="000D4C6A" w:rsidRDefault="00A45397" w:rsidP="000D4C6A">
      <w:pPr>
        <w:pStyle w:val="Normal1"/>
        <w:jc w:val="both"/>
      </w:pPr>
    </w:p>
    <w:p w14:paraId="2B4B5C07" w14:textId="77777777" w:rsidR="00A45397" w:rsidRPr="000D4C6A" w:rsidRDefault="00986A15" w:rsidP="000D4C6A">
      <w:pPr>
        <w:pStyle w:val="Normal1"/>
        <w:numPr>
          <w:ilvl w:val="0"/>
          <w:numId w:val="8"/>
        </w:numPr>
        <w:pBdr>
          <w:top w:val="nil"/>
          <w:left w:val="nil"/>
          <w:bottom w:val="nil"/>
          <w:right w:val="nil"/>
          <w:between w:val="nil"/>
        </w:pBdr>
        <w:contextualSpacing/>
        <w:jc w:val="both"/>
      </w:pPr>
      <w:r w:rsidRPr="000D4C6A">
        <w:rPr>
          <w:rFonts w:eastAsia="Calibri"/>
        </w:rPr>
        <w:t xml:space="preserve">Presentation of the project to </w:t>
      </w:r>
      <w:r w:rsidR="009503FC">
        <w:rPr>
          <w:rFonts w:eastAsia="Calibri"/>
        </w:rPr>
        <w:t>align</w:t>
      </w:r>
      <w:r w:rsidR="009503FC" w:rsidRPr="000D4C6A">
        <w:rPr>
          <w:rFonts w:eastAsia="Calibri"/>
        </w:rPr>
        <w:t xml:space="preserve"> </w:t>
      </w:r>
      <w:r w:rsidRPr="000D4C6A">
        <w:rPr>
          <w:rFonts w:eastAsia="Calibri"/>
        </w:rPr>
        <w:t xml:space="preserve">Ministries and directors of Disabled People’s Organizations (DPOs). </w:t>
      </w:r>
    </w:p>
    <w:p w14:paraId="051648F2" w14:textId="77777777" w:rsidR="00A45397" w:rsidRPr="000D4C6A" w:rsidRDefault="00986A15" w:rsidP="000D4C6A">
      <w:pPr>
        <w:pStyle w:val="Normal1"/>
        <w:numPr>
          <w:ilvl w:val="0"/>
          <w:numId w:val="8"/>
        </w:numPr>
        <w:pBdr>
          <w:top w:val="nil"/>
          <w:left w:val="nil"/>
          <w:bottom w:val="nil"/>
          <w:right w:val="nil"/>
          <w:between w:val="nil"/>
        </w:pBdr>
        <w:contextualSpacing/>
        <w:jc w:val="both"/>
      </w:pPr>
      <w:r w:rsidRPr="000D4C6A">
        <w:rPr>
          <w:rFonts w:eastAsia="Calibri"/>
        </w:rPr>
        <w:t>Project monitoring committee meeting for M&amp;E planning.</w:t>
      </w:r>
    </w:p>
    <w:p w14:paraId="42F91B92" w14:textId="77777777" w:rsidR="00A45397" w:rsidRPr="000D4C6A" w:rsidRDefault="00986A15" w:rsidP="000D4C6A">
      <w:pPr>
        <w:pStyle w:val="Normal1"/>
        <w:numPr>
          <w:ilvl w:val="0"/>
          <w:numId w:val="4"/>
        </w:numPr>
        <w:pBdr>
          <w:top w:val="nil"/>
          <w:left w:val="nil"/>
          <w:bottom w:val="nil"/>
          <w:right w:val="nil"/>
          <w:between w:val="nil"/>
        </w:pBdr>
        <w:contextualSpacing/>
        <w:jc w:val="both"/>
      </w:pPr>
      <w:r w:rsidRPr="000D4C6A">
        <w:rPr>
          <w:rFonts w:eastAsia="Calibri"/>
        </w:rPr>
        <w:t xml:space="preserve">Socio-economic and Socio-demographic classification of women with disabilities. </w:t>
      </w:r>
      <w:r w:rsidR="009503FC">
        <w:rPr>
          <w:rFonts w:eastAsia="Calibri"/>
        </w:rPr>
        <w:t xml:space="preserve"> </w:t>
      </w:r>
    </w:p>
    <w:p w14:paraId="69A37798" w14:textId="77777777" w:rsidR="00A45397" w:rsidRPr="000D4C6A" w:rsidRDefault="00986A15" w:rsidP="000D4C6A">
      <w:pPr>
        <w:pStyle w:val="Normal1"/>
        <w:numPr>
          <w:ilvl w:val="0"/>
          <w:numId w:val="4"/>
        </w:numPr>
        <w:pBdr>
          <w:top w:val="nil"/>
          <w:left w:val="nil"/>
          <w:bottom w:val="nil"/>
          <w:right w:val="nil"/>
          <w:between w:val="nil"/>
        </w:pBdr>
        <w:contextualSpacing/>
        <w:jc w:val="both"/>
      </w:pPr>
      <w:r w:rsidRPr="000D4C6A">
        <w:rPr>
          <w:rFonts w:eastAsia="Calibri"/>
        </w:rPr>
        <w:t>Baseline study for each of the components (Education, Employment and Independent Living).</w:t>
      </w:r>
    </w:p>
    <w:p w14:paraId="3F2FEDF7" w14:textId="77777777" w:rsidR="00A45397" w:rsidRPr="000D4C6A" w:rsidRDefault="00986A15" w:rsidP="000D4C6A">
      <w:pPr>
        <w:pStyle w:val="Normal1"/>
        <w:numPr>
          <w:ilvl w:val="0"/>
          <w:numId w:val="4"/>
        </w:numPr>
        <w:pBdr>
          <w:top w:val="nil"/>
          <w:left w:val="nil"/>
          <w:bottom w:val="nil"/>
          <w:right w:val="nil"/>
          <w:between w:val="nil"/>
        </w:pBdr>
        <w:contextualSpacing/>
        <w:jc w:val="both"/>
      </w:pPr>
      <w:r w:rsidRPr="000D4C6A">
        <w:rPr>
          <w:rFonts w:eastAsia="Calibri"/>
        </w:rPr>
        <w:t>Workshops with all the project partners for understanding the CRPD (Government, DPOs, Private Sector, Trade Unions</w:t>
      </w:r>
      <w:r w:rsidR="00521ECD">
        <w:rPr>
          <w:rFonts w:eastAsia="Calibri"/>
        </w:rPr>
        <w:t>,</w:t>
      </w:r>
      <w:r w:rsidRPr="000D4C6A">
        <w:rPr>
          <w:rFonts w:eastAsia="Calibri"/>
        </w:rPr>
        <w:t xml:space="preserve">). </w:t>
      </w:r>
      <w:r w:rsidR="00521ECD">
        <w:rPr>
          <w:rFonts w:eastAsia="Calibri"/>
        </w:rPr>
        <w:t xml:space="preserve">It </w:t>
      </w:r>
      <w:r w:rsidR="00521ECD">
        <w:t>would include an expert on CRPD, gender and disability, and employment.</w:t>
      </w:r>
    </w:p>
    <w:p w14:paraId="2CC8FE37" w14:textId="77777777" w:rsidR="00A45397" w:rsidRPr="000D4C6A" w:rsidRDefault="00986A15" w:rsidP="000D4C6A">
      <w:pPr>
        <w:pStyle w:val="Normal1"/>
        <w:jc w:val="both"/>
        <w:rPr>
          <w:b/>
        </w:rPr>
      </w:pPr>
      <w:r w:rsidRPr="000D4C6A">
        <w:br w:type="page"/>
      </w:r>
    </w:p>
    <w:p w14:paraId="35CD4385" w14:textId="77777777" w:rsidR="00A45397" w:rsidRPr="00CB7399" w:rsidRDefault="00986A15" w:rsidP="000D4C6A">
      <w:pPr>
        <w:pStyle w:val="Heading1"/>
        <w:numPr>
          <w:ilvl w:val="0"/>
          <w:numId w:val="17"/>
        </w:numPr>
        <w:jc w:val="both"/>
        <w:rPr>
          <w:rFonts w:ascii="Times New Roman" w:hAnsi="Times New Roman" w:cs="Times New Roman"/>
          <w:b/>
          <w:color w:val="4F81BD" w:themeColor="accent1"/>
        </w:rPr>
      </w:pPr>
      <w:r w:rsidRPr="00CB7399">
        <w:rPr>
          <w:rFonts w:ascii="Times New Roman" w:hAnsi="Times New Roman" w:cs="Times New Roman"/>
          <w:b/>
          <w:color w:val="4F81BD" w:themeColor="accent1"/>
        </w:rPr>
        <w:t xml:space="preserve">Budget </w:t>
      </w:r>
    </w:p>
    <w:p w14:paraId="1EA4205B" w14:textId="77777777" w:rsidR="00A45397" w:rsidRPr="000D4C6A" w:rsidRDefault="00A45397" w:rsidP="000D4C6A">
      <w:pPr>
        <w:pStyle w:val="Normal1"/>
        <w:jc w:val="both"/>
        <w:rPr>
          <w:b/>
        </w:rPr>
      </w:pPr>
    </w:p>
    <w:p w14:paraId="197A1123" w14:textId="77777777" w:rsidR="00A45397" w:rsidRPr="000D4C6A" w:rsidRDefault="00986A15" w:rsidP="000D4C6A">
      <w:pPr>
        <w:pStyle w:val="Normal1"/>
        <w:pBdr>
          <w:top w:val="nil"/>
          <w:left w:val="nil"/>
          <w:bottom w:val="nil"/>
          <w:right w:val="nil"/>
          <w:between w:val="nil"/>
        </w:pBdr>
        <w:ind w:left="720" w:hanging="720"/>
        <w:jc w:val="both"/>
        <w:rPr>
          <w:rFonts w:eastAsia="Calibri"/>
          <w:b/>
        </w:rPr>
      </w:pPr>
      <w:r w:rsidRPr="000D4C6A">
        <w:rPr>
          <w:rFonts w:eastAsia="Calibri"/>
          <w:b/>
        </w:rPr>
        <w:t>Table 5. Project Budget</w:t>
      </w:r>
    </w:p>
    <w:p w14:paraId="7AF02987" w14:textId="77777777" w:rsidR="00A45397" w:rsidRPr="000D4C6A" w:rsidRDefault="00A45397" w:rsidP="000D4C6A">
      <w:pPr>
        <w:pStyle w:val="Normal1"/>
        <w:ind w:left="360"/>
        <w:jc w:val="both"/>
        <w:rPr>
          <w:b/>
        </w:rPr>
      </w:pPr>
    </w:p>
    <w:p w14:paraId="6A761AA0" w14:textId="77777777" w:rsidR="00A45397" w:rsidRPr="000D4C6A" w:rsidRDefault="00A45397" w:rsidP="000D4C6A">
      <w:pPr>
        <w:pStyle w:val="Normal1"/>
        <w:ind w:left="360"/>
        <w:jc w:val="both"/>
        <w:rPr>
          <w:b/>
        </w:rPr>
      </w:pPr>
    </w:p>
    <w:tbl>
      <w:tblPr>
        <w:tblStyle w:val="a9"/>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78"/>
        <w:gridCol w:w="1478"/>
        <w:gridCol w:w="1086"/>
        <w:gridCol w:w="839"/>
        <w:gridCol w:w="981"/>
        <w:gridCol w:w="1399"/>
        <w:gridCol w:w="1399"/>
        <w:gridCol w:w="1310"/>
      </w:tblGrid>
      <w:tr w:rsidR="00977CBF" w14:paraId="648473A7" w14:textId="77777777" w:rsidTr="00561177">
        <w:tc>
          <w:tcPr>
            <w:tcW w:w="1378" w:type="dxa"/>
            <w:tcBorders>
              <w:top w:val="single" w:sz="4" w:space="0" w:color="000000"/>
              <w:left w:val="single" w:sz="4" w:space="0" w:color="000000"/>
              <w:bottom w:val="single" w:sz="4" w:space="0" w:color="000000"/>
            </w:tcBorders>
            <w:shd w:val="clear" w:color="auto" w:fill="D9D9D9"/>
          </w:tcPr>
          <w:p w14:paraId="4FE84C42" w14:textId="77777777" w:rsidR="00977CBF" w:rsidRDefault="00977CBF" w:rsidP="00977CBF">
            <w:pPr>
              <w:pStyle w:val="Normal1"/>
              <w:ind w:left="360"/>
              <w:jc w:val="both"/>
              <w:rPr>
                <w:b/>
                <w:sz w:val="20"/>
                <w:szCs w:val="20"/>
              </w:rPr>
            </w:pPr>
            <w:r>
              <w:rPr>
                <w:b/>
                <w:sz w:val="20"/>
                <w:szCs w:val="20"/>
              </w:rPr>
              <w:t>Category</w:t>
            </w:r>
          </w:p>
        </w:tc>
        <w:tc>
          <w:tcPr>
            <w:tcW w:w="1478" w:type="dxa"/>
            <w:tcBorders>
              <w:top w:val="single" w:sz="4" w:space="0" w:color="000000"/>
              <w:bottom w:val="single" w:sz="4" w:space="0" w:color="000000"/>
            </w:tcBorders>
            <w:shd w:val="clear" w:color="auto" w:fill="D9D9D9"/>
          </w:tcPr>
          <w:p w14:paraId="1DC25B8B" w14:textId="77777777" w:rsidR="00977CBF" w:rsidRDefault="00977CBF" w:rsidP="00977CBF">
            <w:pPr>
              <w:pStyle w:val="Normal1"/>
              <w:ind w:left="360"/>
              <w:jc w:val="both"/>
              <w:rPr>
                <w:b/>
                <w:sz w:val="20"/>
                <w:szCs w:val="20"/>
              </w:rPr>
            </w:pPr>
            <w:r>
              <w:rPr>
                <w:b/>
                <w:sz w:val="20"/>
                <w:szCs w:val="20"/>
              </w:rPr>
              <w:t>Item</w:t>
            </w:r>
          </w:p>
        </w:tc>
        <w:tc>
          <w:tcPr>
            <w:tcW w:w="1086" w:type="dxa"/>
            <w:tcBorders>
              <w:top w:val="single" w:sz="4" w:space="0" w:color="000000"/>
              <w:bottom w:val="single" w:sz="4" w:space="0" w:color="000000"/>
            </w:tcBorders>
            <w:shd w:val="clear" w:color="auto" w:fill="D9D9D9"/>
          </w:tcPr>
          <w:p w14:paraId="443E95A0" w14:textId="77777777" w:rsidR="00977CBF" w:rsidRDefault="00977CBF" w:rsidP="00977CBF">
            <w:pPr>
              <w:pStyle w:val="Normal1"/>
              <w:ind w:left="360"/>
              <w:jc w:val="both"/>
              <w:rPr>
                <w:b/>
                <w:sz w:val="20"/>
                <w:szCs w:val="20"/>
              </w:rPr>
            </w:pPr>
            <w:r>
              <w:rPr>
                <w:b/>
                <w:sz w:val="20"/>
                <w:szCs w:val="20"/>
              </w:rPr>
              <w:t>Unit cost</w:t>
            </w:r>
          </w:p>
        </w:tc>
        <w:tc>
          <w:tcPr>
            <w:tcW w:w="839" w:type="dxa"/>
            <w:tcBorders>
              <w:top w:val="single" w:sz="4" w:space="0" w:color="000000"/>
              <w:bottom w:val="single" w:sz="4" w:space="0" w:color="000000"/>
            </w:tcBorders>
            <w:shd w:val="clear" w:color="auto" w:fill="D9D9D9"/>
          </w:tcPr>
          <w:p w14:paraId="2FFEE275" w14:textId="77777777" w:rsidR="00977CBF" w:rsidRDefault="00977CBF" w:rsidP="00977CBF">
            <w:pPr>
              <w:pStyle w:val="Normal1"/>
              <w:jc w:val="both"/>
              <w:rPr>
                <w:b/>
                <w:sz w:val="20"/>
                <w:szCs w:val="20"/>
              </w:rPr>
            </w:pPr>
            <w:r>
              <w:rPr>
                <w:b/>
                <w:sz w:val="20"/>
                <w:szCs w:val="20"/>
              </w:rPr>
              <w:t>No units</w:t>
            </w:r>
          </w:p>
        </w:tc>
        <w:tc>
          <w:tcPr>
            <w:tcW w:w="981" w:type="dxa"/>
            <w:tcBorders>
              <w:top w:val="single" w:sz="4" w:space="0" w:color="000000"/>
              <w:bottom w:val="single" w:sz="4" w:space="0" w:color="000000"/>
            </w:tcBorders>
            <w:shd w:val="clear" w:color="auto" w:fill="D9D9D9"/>
          </w:tcPr>
          <w:p w14:paraId="60427958" w14:textId="77777777" w:rsidR="00977CBF" w:rsidRDefault="00977CBF" w:rsidP="00977CBF">
            <w:pPr>
              <w:pStyle w:val="Normal1"/>
              <w:jc w:val="both"/>
              <w:rPr>
                <w:b/>
                <w:sz w:val="20"/>
                <w:szCs w:val="20"/>
              </w:rPr>
            </w:pPr>
            <w:r>
              <w:rPr>
                <w:b/>
                <w:sz w:val="20"/>
                <w:szCs w:val="20"/>
              </w:rPr>
              <w:t>Total cost</w:t>
            </w:r>
          </w:p>
        </w:tc>
        <w:tc>
          <w:tcPr>
            <w:tcW w:w="1399" w:type="dxa"/>
            <w:tcBorders>
              <w:top w:val="single" w:sz="4" w:space="0" w:color="000000"/>
              <w:bottom w:val="single" w:sz="4" w:space="0" w:color="000000"/>
            </w:tcBorders>
            <w:shd w:val="clear" w:color="auto" w:fill="D9D9D9"/>
          </w:tcPr>
          <w:p w14:paraId="713612D0" w14:textId="77777777" w:rsidR="00977CBF" w:rsidRDefault="00977CBF" w:rsidP="00977CBF">
            <w:pPr>
              <w:pStyle w:val="Normal1"/>
              <w:ind w:left="360"/>
              <w:jc w:val="both"/>
              <w:rPr>
                <w:b/>
                <w:sz w:val="20"/>
                <w:szCs w:val="20"/>
              </w:rPr>
            </w:pPr>
            <w:r>
              <w:rPr>
                <w:b/>
                <w:sz w:val="20"/>
                <w:szCs w:val="20"/>
              </w:rPr>
              <w:t>Request from UNPRPD Fund</w:t>
            </w:r>
          </w:p>
        </w:tc>
        <w:tc>
          <w:tcPr>
            <w:tcW w:w="1399" w:type="dxa"/>
            <w:tcBorders>
              <w:top w:val="single" w:sz="4" w:space="0" w:color="000000"/>
              <w:bottom w:val="single" w:sz="4" w:space="0" w:color="000000"/>
            </w:tcBorders>
            <w:shd w:val="clear" w:color="auto" w:fill="D9D9D9"/>
          </w:tcPr>
          <w:p w14:paraId="427C9A57" w14:textId="77777777" w:rsidR="00977CBF" w:rsidRDefault="00977CBF" w:rsidP="00977CBF">
            <w:pPr>
              <w:pStyle w:val="Normal1"/>
              <w:ind w:left="360"/>
              <w:jc w:val="both"/>
              <w:rPr>
                <w:b/>
                <w:sz w:val="20"/>
                <w:szCs w:val="20"/>
              </w:rPr>
            </w:pPr>
            <w:r>
              <w:rPr>
                <w:b/>
                <w:sz w:val="20"/>
                <w:szCs w:val="20"/>
              </w:rPr>
              <w:t>UNPRPD POs cost-sharing</w:t>
            </w:r>
          </w:p>
        </w:tc>
        <w:tc>
          <w:tcPr>
            <w:tcW w:w="1310" w:type="dxa"/>
            <w:tcBorders>
              <w:top w:val="single" w:sz="4" w:space="0" w:color="000000"/>
              <w:bottom w:val="single" w:sz="4" w:space="0" w:color="000000"/>
              <w:right w:val="single" w:sz="4" w:space="0" w:color="000000"/>
            </w:tcBorders>
            <w:shd w:val="clear" w:color="auto" w:fill="D9D9D9"/>
          </w:tcPr>
          <w:p w14:paraId="4139E149" w14:textId="77777777" w:rsidR="00977CBF" w:rsidRDefault="00977CBF" w:rsidP="00977CBF">
            <w:pPr>
              <w:pStyle w:val="Normal1"/>
              <w:ind w:left="360"/>
              <w:jc w:val="both"/>
              <w:rPr>
                <w:b/>
                <w:sz w:val="20"/>
                <w:szCs w:val="20"/>
              </w:rPr>
            </w:pPr>
            <w:r>
              <w:rPr>
                <w:b/>
                <w:sz w:val="20"/>
                <w:szCs w:val="20"/>
              </w:rPr>
              <w:t>Other partners cost-sharing</w:t>
            </w:r>
          </w:p>
        </w:tc>
      </w:tr>
      <w:tr w:rsidR="00977CBF" w14:paraId="71A44BC4" w14:textId="77777777" w:rsidTr="00561177">
        <w:trPr>
          <w:trHeight w:val="540"/>
        </w:trPr>
        <w:tc>
          <w:tcPr>
            <w:tcW w:w="1378" w:type="dxa"/>
            <w:tcBorders>
              <w:top w:val="single" w:sz="4" w:space="0" w:color="000000"/>
              <w:left w:val="single" w:sz="4" w:space="0" w:color="000000"/>
              <w:bottom w:val="single" w:sz="4" w:space="0" w:color="FFFFFF"/>
            </w:tcBorders>
          </w:tcPr>
          <w:p w14:paraId="4855A81B" w14:textId="77777777" w:rsidR="00977CBF" w:rsidRDefault="00977CBF" w:rsidP="00977CBF">
            <w:pPr>
              <w:pStyle w:val="Normal1"/>
              <w:rPr>
                <w:b/>
                <w:color w:val="0000FF"/>
                <w:sz w:val="20"/>
                <w:szCs w:val="20"/>
              </w:rPr>
            </w:pPr>
            <w:r>
              <w:rPr>
                <w:b/>
                <w:sz w:val="20"/>
                <w:szCs w:val="20"/>
              </w:rPr>
              <w:t>Staff and Personnel Costs</w:t>
            </w:r>
          </w:p>
        </w:tc>
        <w:tc>
          <w:tcPr>
            <w:tcW w:w="1478" w:type="dxa"/>
            <w:tcBorders>
              <w:top w:val="single" w:sz="4" w:space="0" w:color="000000"/>
              <w:bottom w:val="single" w:sz="4" w:space="0" w:color="000000"/>
              <w:right w:val="single" w:sz="4" w:space="0" w:color="000000"/>
            </w:tcBorders>
            <w:shd w:val="clear" w:color="auto" w:fill="auto"/>
          </w:tcPr>
          <w:p w14:paraId="191EF6DE" w14:textId="77777777" w:rsidR="00977CBF" w:rsidRDefault="00977CBF" w:rsidP="00977CBF">
            <w:pPr>
              <w:pStyle w:val="Normal1"/>
              <w:rPr>
                <w:sz w:val="20"/>
                <w:szCs w:val="20"/>
              </w:rPr>
            </w:pPr>
            <w:r>
              <w:rPr>
                <w:sz w:val="20"/>
                <w:szCs w:val="20"/>
              </w:rPr>
              <w:t>Project Coordinator</w:t>
            </w:r>
          </w:p>
        </w:tc>
        <w:tc>
          <w:tcPr>
            <w:tcW w:w="1086" w:type="dxa"/>
            <w:tcBorders>
              <w:top w:val="single" w:sz="4" w:space="0" w:color="000000"/>
              <w:bottom w:val="single" w:sz="4" w:space="0" w:color="000000"/>
              <w:right w:val="single" w:sz="4" w:space="0" w:color="000000"/>
            </w:tcBorders>
          </w:tcPr>
          <w:p w14:paraId="53F15B12" w14:textId="77777777" w:rsidR="00977CBF" w:rsidRDefault="00E90B84" w:rsidP="00950486">
            <w:pPr>
              <w:pStyle w:val="Normal1"/>
              <w:rPr>
                <w:sz w:val="20"/>
                <w:szCs w:val="20"/>
              </w:rPr>
            </w:pPr>
            <w:r>
              <w:rPr>
                <w:sz w:val="20"/>
                <w:szCs w:val="20"/>
              </w:rPr>
              <w:t xml:space="preserve">2004 </w:t>
            </w:r>
          </w:p>
        </w:tc>
        <w:tc>
          <w:tcPr>
            <w:tcW w:w="839" w:type="dxa"/>
            <w:tcBorders>
              <w:top w:val="single" w:sz="4" w:space="0" w:color="000000"/>
              <w:bottom w:val="single" w:sz="4" w:space="0" w:color="000000"/>
              <w:right w:val="single" w:sz="4" w:space="0" w:color="000000"/>
            </w:tcBorders>
          </w:tcPr>
          <w:p w14:paraId="6D3F92C2" w14:textId="77777777" w:rsidR="00977CBF" w:rsidRDefault="00977CBF" w:rsidP="00977CBF">
            <w:pPr>
              <w:pStyle w:val="Normal1"/>
              <w:rPr>
                <w:sz w:val="20"/>
                <w:szCs w:val="20"/>
              </w:rPr>
            </w:pPr>
            <w:r>
              <w:rPr>
                <w:sz w:val="20"/>
                <w:szCs w:val="20"/>
              </w:rPr>
              <w:t>24</w:t>
            </w:r>
          </w:p>
        </w:tc>
        <w:tc>
          <w:tcPr>
            <w:tcW w:w="981" w:type="dxa"/>
            <w:tcBorders>
              <w:top w:val="single" w:sz="4" w:space="0" w:color="000000"/>
              <w:bottom w:val="single" w:sz="4" w:space="0" w:color="000000"/>
              <w:right w:val="single" w:sz="4" w:space="0" w:color="000000"/>
            </w:tcBorders>
          </w:tcPr>
          <w:p w14:paraId="3AEE18C9" w14:textId="77777777" w:rsidR="00977CBF" w:rsidRPr="00ED5810" w:rsidRDefault="00E4069F" w:rsidP="00977CBF">
            <w:pPr>
              <w:pStyle w:val="Normal1"/>
              <w:rPr>
                <w:sz w:val="20"/>
                <w:szCs w:val="20"/>
              </w:rPr>
            </w:pPr>
            <w:r>
              <w:rPr>
                <w:sz w:val="20"/>
                <w:szCs w:val="20"/>
              </w:rPr>
              <w:t>48,106</w:t>
            </w:r>
          </w:p>
        </w:tc>
        <w:tc>
          <w:tcPr>
            <w:tcW w:w="1399" w:type="dxa"/>
            <w:tcBorders>
              <w:top w:val="single" w:sz="4" w:space="0" w:color="000000"/>
              <w:bottom w:val="single" w:sz="4" w:space="0" w:color="000000"/>
              <w:right w:val="single" w:sz="4" w:space="0" w:color="000000"/>
            </w:tcBorders>
          </w:tcPr>
          <w:p w14:paraId="5B3997AE" w14:textId="77777777" w:rsidR="00977CBF" w:rsidRDefault="00977CBF" w:rsidP="00977CBF">
            <w:pPr>
              <w:pStyle w:val="Normal1"/>
              <w:rPr>
                <w:sz w:val="20"/>
                <w:szCs w:val="20"/>
              </w:rPr>
            </w:pPr>
            <w:r>
              <w:rPr>
                <w:sz w:val="20"/>
                <w:szCs w:val="20"/>
              </w:rPr>
              <w:t>48,106</w:t>
            </w:r>
          </w:p>
        </w:tc>
        <w:tc>
          <w:tcPr>
            <w:tcW w:w="1399" w:type="dxa"/>
            <w:tcBorders>
              <w:top w:val="single" w:sz="4" w:space="0" w:color="000000"/>
              <w:bottom w:val="single" w:sz="4" w:space="0" w:color="000000"/>
              <w:right w:val="single" w:sz="4" w:space="0" w:color="000000"/>
            </w:tcBorders>
          </w:tcPr>
          <w:p w14:paraId="4B7CE50C" w14:textId="77777777" w:rsidR="00977CBF" w:rsidRDefault="00977CBF" w:rsidP="00977CBF">
            <w:pPr>
              <w:pStyle w:val="Normal1"/>
              <w:rPr>
                <w:sz w:val="20"/>
                <w:szCs w:val="20"/>
              </w:rPr>
            </w:pPr>
            <w:r>
              <w:rPr>
                <w:sz w:val="20"/>
                <w:szCs w:val="20"/>
              </w:rPr>
              <w:t>-</w:t>
            </w:r>
          </w:p>
        </w:tc>
        <w:tc>
          <w:tcPr>
            <w:tcW w:w="1310" w:type="dxa"/>
            <w:tcBorders>
              <w:top w:val="single" w:sz="4" w:space="0" w:color="000000"/>
              <w:bottom w:val="single" w:sz="4" w:space="0" w:color="000000"/>
              <w:right w:val="single" w:sz="4" w:space="0" w:color="000000"/>
            </w:tcBorders>
          </w:tcPr>
          <w:p w14:paraId="116BDA59" w14:textId="77777777" w:rsidR="00977CBF" w:rsidRDefault="00977CBF" w:rsidP="00977CBF">
            <w:pPr>
              <w:pStyle w:val="Normal1"/>
              <w:rPr>
                <w:sz w:val="20"/>
                <w:szCs w:val="20"/>
              </w:rPr>
            </w:pPr>
            <w:r>
              <w:rPr>
                <w:sz w:val="20"/>
                <w:szCs w:val="20"/>
              </w:rPr>
              <w:t>-</w:t>
            </w:r>
          </w:p>
        </w:tc>
      </w:tr>
      <w:tr w:rsidR="00977CBF" w14:paraId="53E83EEF" w14:textId="77777777" w:rsidTr="00561177">
        <w:trPr>
          <w:trHeight w:val="480"/>
        </w:trPr>
        <w:tc>
          <w:tcPr>
            <w:tcW w:w="1378" w:type="dxa"/>
            <w:tcBorders>
              <w:top w:val="single" w:sz="4" w:space="0" w:color="FFFFFF"/>
              <w:left w:val="single" w:sz="4" w:space="0" w:color="000000"/>
              <w:bottom w:val="single" w:sz="4" w:space="0" w:color="FFFFFF"/>
            </w:tcBorders>
          </w:tcPr>
          <w:p w14:paraId="46FB8A53" w14:textId="77777777" w:rsidR="00977CBF" w:rsidRDefault="00977CBF" w:rsidP="00977CBF">
            <w:pPr>
              <w:pStyle w:val="Normal1"/>
              <w:ind w:left="360"/>
              <w:jc w:val="both"/>
              <w:rPr>
                <w:b/>
                <w:color w:val="0000FF"/>
                <w:sz w:val="20"/>
                <w:szCs w:val="20"/>
              </w:rPr>
            </w:pPr>
          </w:p>
        </w:tc>
        <w:tc>
          <w:tcPr>
            <w:tcW w:w="1478" w:type="dxa"/>
            <w:tcBorders>
              <w:top w:val="single" w:sz="4" w:space="0" w:color="000000"/>
              <w:bottom w:val="single" w:sz="4" w:space="0" w:color="000000"/>
              <w:right w:val="single" w:sz="4" w:space="0" w:color="000000"/>
            </w:tcBorders>
            <w:shd w:val="clear" w:color="auto" w:fill="auto"/>
          </w:tcPr>
          <w:p w14:paraId="3AF67030" w14:textId="77777777" w:rsidR="00977CBF" w:rsidRDefault="00977CBF" w:rsidP="00977CBF">
            <w:pPr>
              <w:pStyle w:val="Normal1"/>
              <w:rPr>
                <w:sz w:val="20"/>
                <w:szCs w:val="20"/>
              </w:rPr>
            </w:pPr>
            <w:r>
              <w:rPr>
                <w:sz w:val="20"/>
                <w:szCs w:val="20"/>
              </w:rPr>
              <w:t>UNDP Focal Point</w:t>
            </w:r>
          </w:p>
        </w:tc>
        <w:tc>
          <w:tcPr>
            <w:tcW w:w="1086" w:type="dxa"/>
            <w:tcBorders>
              <w:top w:val="single" w:sz="4" w:space="0" w:color="000000"/>
              <w:bottom w:val="single" w:sz="4" w:space="0" w:color="000000"/>
              <w:right w:val="single" w:sz="4" w:space="0" w:color="000000"/>
            </w:tcBorders>
          </w:tcPr>
          <w:p w14:paraId="1B3AB9B5" w14:textId="77777777" w:rsidR="00977CBF" w:rsidRDefault="00977CBF" w:rsidP="00977CBF">
            <w:pPr>
              <w:pStyle w:val="Normal1"/>
              <w:rPr>
                <w:sz w:val="20"/>
                <w:szCs w:val="20"/>
              </w:rPr>
            </w:pPr>
            <w:r>
              <w:rPr>
                <w:sz w:val="20"/>
                <w:szCs w:val="20"/>
              </w:rPr>
              <w:t>703.916</w:t>
            </w:r>
          </w:p>
        </w:tc>
        <w:tc>
          <w:tcPr>
            <w:tcW w:w="839" w:type="dxa"/>
            <w:tcBorders>
              <w:top w:val="single" w:sz="4" w:space="0" w:color="000000"/>
              <w:bottom w:val="single" w:sz="4" w:space="0" w:color="000000"/>
              <w:right w:val="single" w:sz="4" w:space="0" w:color="000000"/>
            </w:tcBorders>
          </w:tcPr>
          <w:p w14:paraId="36F3072E" w14:textId="77777777" w:rsidR="00977CBF" w:rsidRDefault="00977CBF" w:rsidP="00977CBF">
            <w:pPr>
              <w:pStyle w:val="Normal1"/>
              <w:rPr>
                <w:sz w:val="20"/>
                <w:szCs w:val="20"/>
              </w:rPr>
            </w:pPr>
            <w:r>
              <w:rPr>
                <w:sz w:val="20"/>
                <w:szCs w:val="20"/>
              </w:rPr>
              <w:t>24</w:t>
            </w:r>
          </w:p>
        </w:tc>
        <w:tc>
          <w:tcPr>
            <w:tcW w:w="981" w:type="dxa"/>
            <w:tcBorders>
              <w:top w:val="single" w:sz="4" w:space="0" w:color="000000"/>
              <w:bottom w:val="single" w:sz="4" w:space="0" w:color="000000"/>
              <w:right w:val="single" w:sz="4" w:space="0" w:color="000000"/>
            </w:tcBorders>
          </w:tcPr>
          <w:p w14:paraId="246752EB" w14:textId="77777777" w:rsidR="00977CBF" w:rsidRDefault="00977CBF" w:rsidP="00977CBF">
            <w:pPr>
              <w:pStyle w:val="Normal1"/>
              <w:rPr>
                <w:sz w:val="20"/>
                <w:szCs w:val="20"/>
              </w:rPr>
            </w:pPr>
            <w:r>
              <w:rPr>
                <w:sz w:val="20"/>
                <w:szCs w:val="20"/>
              </w:rPr>
              <w:t>16,894</w:t>
            </w:r>
          </w:p>
        </w:tc>
        <w:tc>
          <w:tcPr>
            <w:tcW w:w="1399" w:type="dxa"/>
            <w:tcBorders>
              <w:top w:val="single" w:sz="4" w:space="0" w:color="000000"/>
              <w:bottom w:val="single" w:sz="4" w:space="0" w:color="000000"/>
              <w:right w:val="single" w:sz="4" w:space="0" w:color="000000"/>
            </w:tcBorders>
          </w:tcPr>
          <w:p w14:paraId="2AE4C7BB" w14:textId="77777777" w:rsidR="00977CBF" w:rsidRDefault="00977CBF" w:rsidP="00977CBF">
            <w:pPr>
              <w:pStyle w:val="Normal1"/>
              <w:rPr>
                <w:sz w:val="20"/>
                <w:szCs w:val="20"/>
              </w:rPr>
            </w:pPr>
            <w:r>
              <w:rPr>
                <w:sz w:val="20"/>
                <w:szCs w:val="20"/>
              </w:rPr>
              <w:t>-</w:t>
            </w:r>
          </w:p>
        </w:tc>
        <w:tc>
          <w:tcPr>
            <w:tcW w:w="1399" w:type="dxa"/>
            <w:tcBorders>
              <w:top w:val="single" w:sz="4" w:space="0" w:color="000000"/>
              <w:bottom w:val="single" w:sz="4" w:space="0" w:color="000000"/>
              <w:right w:val="single" w:sz="4" w:space="0" w:color="000000"/>
            </w:tcBorders>
          </w:tcPr>
          <w:p w14:paraId="25CF19EA" w14:textId="77777777" w:rsidR="00977CBF" w:rsidRDefault="00977CBF" w:rsidP="00977CBF">
            <w:pPr>
              <w:pStyle w:val="Normal1"/>
              <w:rPr>
                <w:sz w:val="20"/>
                <w:szCs w:val="20"/>
              </w:rPr>
            </w:pPr>
            <w:r>
              <w:rPr>
                <w:sz w:val="20"/>
                <w:szCs w:val="20"/>
              </w:rPr>
              <w:t>16,894</w:t>
            </w:r>
          </w:p>
        </w:tc>
        <w:tc>
          <w:tcPr>
            <w:tcW w:w="1310" w:type="dxa"/>
            <w:tcBorders>
              <w:top w:val="single" w:sz="4" w:space="0" w:color="000000"/>
              <w:bottom w:val="single" w:sz="4" w:space="0" w:color="000000"/>
              <w:right w:val="single" w:sz="4" w:space="0" w:color="000000"/>
            </w:tcBorders>
          </w:tcPr>
          <w:p w14:paraId="1521FCB4" w14:textId="77777777" w:rsidR="00977CBF" w:rsidRDefault="00977CBF" w:rsidP="00977CBF">
            <w:pPr>
              <w:pStyle w:val="Normal1"/>
              <w:rPr>
                <w:sz w:val="20"/>
                <w:szCs w:val="20"/>
              </w:rPr>
            </w:pPr>
            <w:r>
              <w:rPr>
                <w:sz w:val="20"/>
                <w:szCs w:val="20"/>
              </w:rPr>
              <w:t>-</w:t>
            </w:r>
          </w:p>
        </w:tc>
      </w:tr>
      <w:tr w:rsidR="00977CBF" w14:paraId="6A4E13E1" w14:textId="77777777" w:rsidTr="00561177">
        <w:trPr>
          <w:trHeight w:val="120"/>
        </w:trPr>
        <w:tc>
          <w:tcPr>
            <w:tcW w:w="1378" w:type="dxa"/>
            <w:tcBorders>
              <w:top w:val="single" w:sz="4" w:space="0" w:color="FFFFFF"/>
              <w:left w:val="single" w:sz="4" w:space="0" w:color="000000"/>
              <w:bottom w:val="single" w:sz="4" w:space="0" w:color="FFFFFF"/>
            </w:tcBorders>
          </w:tcPr>
          <w:p w14:paraId="0FC343D9" w14:textId="77777777" w:rsidR="00977CBF" w:rsidRDefault="00977CBF" w:rsidP="00977CBF">
            <w:pPr>
              <w:pStyle w:val="Normal1"/>
              <w:ind w:left="360"/>
              <w:jc w:val="both"/>
              <w:rPr>
                <w:b/>
                <w:color w:val="0000FF"/>
                <w:sz w:val="20"/>
                <w:szCs w:val="20"/>
              </w:rPr>
            </w:pPr>
          </w:p>
        </w:tc>
        <w:tc>
          <w:tcPr>
            <w:tcW w:w="1478" w:type="dxa"/>
            <w:tcBorders>
              <w:top w:val="single" w:sz="4" w:space="0" w:color="000000"/>
              <w:bottom w:val="single" w:sz="4" w:space="0" w:color="000000"/>
              <w:right w:val="single" w:sz="4" w:space="0" w:color="000000"/>
            </w:tcBorders>
            <w:shd w:val="clear" w:color="auto" w:fill="auto"/>
          </w:tcPr>
          <w:p w14:paraId="510E9A52" w14:textId="77777777" w:rsidR="00977CBF" w:rsidRDefault="00977CBF" w:rsidP="00977CBF">
            <w:pPr>
              <w:pStyle w:val="Normal1"/>
              <w:rPr>
                <w:sz w:val="20"/>
                <w:szCs w:val="20"/>
              </w:rPr>
            </w:pPr>
            <w:r>
              <w:rPr>
                <w:sz w:val="20"/>
                <w:szCs w:val="20"/>
              </w:rPr>
              <w:t>PAHO/WHO Focal Point</w:t>
            </w:r>
          </w:p>
        </w:tc>
        <w:tc>
          <w:tcPr>
            <w:tcW w:w="1086" w:type="dxa"/>
            <w:tcBorders>
              <w:top w:val="single" w:sz="4" w:space="0" w:color="000000"/>
              <w:bottom w:val="single" w:sz="4" w:space="0" w:color="000000"/>
              <w:right w:val="single" w:sz="4" w:space="0" w:color="000000"/>
            </w:tcBorders>
          </w:tcPr>
          <w:p w14:paraId="3843285C" w14:textId="77777777" w:rsidR="00977CBF" w:rsidRDefault="00977CBF" w:rsidP="00977CBF">
            <w:pPr>
              <w:pStyle w:val="Normal1"/>
              <w:rPr>
                <w:sz w:val="20"/>
                <w:szCs w:val="20"/>
              </w:rPr>
            </w:pPr>
            <w:r>
              <w:rPr>
                <w:sz w:val="20"/>
                <w:szCs w:val="20"/>
              </w:rPr>
              <w:t>375</w:t>
            </w:r>
          </w:p>
        </w:tc>
        <w:tc>
          <w:tcPr>
            <w:tcW w:w="839" w:type="dxa"/>
            <w:tcBorders>
              <w:top w:val="single" w:sz="4" w:space="0" w:color="000000"/>
              <w:bottom w:val="single" w:sz="4" w:space="0" w:color="000000"/>
              <w:right w:val="single" w:sz="4" w:space="0" w:color="000000"/>
            </w:tcBorders>
          </w:tcPr>
          <w:p w14:paraId="037032D5" w14:textId="77777777" w:rsidR="00977CBF" w:rsidRDefault="00977CBF" w:rsidP="00977CBF">
            <w:pPr>
              <w:pStyle w:val="Normal1"/>
              <w:rPr>
                <w:sz w:val="20"/>
                <w:szCs w:val="20"/>
              </w:rPr>
            </w:pPr>
            <w:r>
              <w:rPr>
                <w:sz w:val="20"/>
                <w:szCs w:val="20"/>
              </w:rPr>
              <w:t>24</w:t>
            </w:r>
          </w:p>
        </w:tc>
        <w:tc>
          <w:tcPr>
            <w:tcW w:w="981" w:type="dxa"/>
            <w:tcBorders>
              <w:top w:val="single" w:sz="4" w:space="0" w:color="000000"/>
              <w:bottom w:val="single" w:sz="4" w:space="0" w:color="000000"/>
              <w:right w:val="single" w:sz="4" w:space="0" w:color="000000"/>
            </w:tcBorders>
          </w:tcPr>
          <w:p w14:paraId="025ACDF4" w14:textId="77777777" w:rsidR="00977CBF" w:rsidRDefault="00977CBF" w:rsidP="00977CBF">
            <w:pPr>
              <w:pStyle w:val="Normal1"/>
              <w:rPr>
                <w:sz w:val="20"/>
                <w:szCs w:val="20"/>
              </w:rPr>
            </w:pPr>
            <w:r>
              <w:rPr>
                <w:sz w:val="20"/>
                <w:szCs w:val="20"/>
              </w:rPr>
              <w:t xml:space="preserve">9,000 </w:t>
            </w:r>
          </w:p>
        </w:tc>
        <w:tc>
          <w:tcPr>
            <w:tcW w:w="1399" w:type="dxa"/>
            <w:tcBorders>
              <w:top w:val="single" w:sz="4" w:space="0" w:color="000000"/>
              <w:bottom w:val="single" w:sz="4" w:space="0" w:color="000000"/>
              <w:right w:val="single" w:sz="4" w:space="0" w:color="000000"/>
            </w:tcBorders>
          </w:tcPr>
          <w:p w14:paraId="709BC26F" w14:textId="77777777" w:rsidR="00977CBF" w:rsidRDefault="00977CBF" w:rsidP="00977CBF">
            <w:pPr>
              <w:pStyle w:val="Normal1"/>
              <w:rPr>
                <w:sz w:val="20"/>
                <w:szCs w:val="20"/>
              </w:rPr>
            </w:pPr>
            <w:r>
              <w:rPr>
                <w:sz w:val="20"/>
                <w:szCs w:val="20"/>
              </w:rPr>
              <w:t>-</w:t>
            </w:r>
          </w:p>
        </w:tc>
        <w:tc>
          <w:tcPr>
            <w:tcW w:w="1399" w:type="dxa"/>
            <w:tcBorders>
              <w:top w:val="single" w:sz="4" w:space="0" w:color="000000"/>
              <w:bottom w:val="single" w:sz="4" w:space="0" w:color="000000"/>
              <w:right w:val="single" w:sz="4" w:space="0" w:color="000000"/>
            </w:tcBorders>
          </w:tcPr>
          <w:p w14:paraId="227F1065" w14:textId="77777777" w:rsidR="00977CBF" w:rsidRDefault="00977CBF" w:rsidP="00977CBF">
            <w:pPr>
              <w:pStyle w:val="Normal1"/>
              <w:rPr>
                <w:sz w:val="20"/>
                <w:szCs w:val="20"/>
              </w:rPr>
            </w:pPr>
            <w:r>
              <w:rPr>
                <w:sz w:val="20"/>
                <w:szCs w:val="20"/>
              </w:rPr>
              <w:t>9,000</w:t>
            </w:r>
          </w:p>
        </w:tc>
        <w:tc>
          <w:tcPr>
            <w:tcW w:w="1310" w:type="dxa"/>
            <w:tcBorders>
              <w:top w:val="single" w:sz="4" w:space="0" w:color="000000"/>
              <w:bottom w:val="single" w:sz="4" w:space="0" w:color="000000"/>
              <w:right w:val="single" w:sz="4" w:space="0" w:color="000000"/>
            </w:tcBorders>
          </w:tcPr>
          <w:p w14:paraId="7FA4A4AA" w14:textId="77777777" w:rsidR="00977CBF" w:rsidRDefault="00977CBF" w:rsidP="00977CBF">
            <w:pPr>
              <w:pStyle w:val="Normal1"/>
              <w:rPr>
                <w:sz w:val="20"/>
                <w:szCs w:val="20"/>
              </w:rPr>
            </w:pPr>
            <w:r>
              <w:rPr>
                <w:sz w:val="20"/>
                <w:szCs w:val="20"/>
              </w:rPr>
              <w:t>-</w:t>
            </w:r>
          </w:p>
        </w:tc>
      </w:tr>
      <w:tr w:rsidR="00977CBF" w14:paraId="64B1EEBA" w14:textId="77777777" w:rsidTr="00561177">
        <w:trPr>
          <w:trHeight w:val="200"/>
        </w:trPr>
        <w:tc>
          <w:tcPr>
            <w:tcW w:w="1378" w:type="dxa"/>
            <w:tcBorders>
              <w:top w:val="single" w:sz="4" w:space="0" w:color="FFFFFF"/>
              <w:left w:val="single" w:sz="4" w:space="0" w:color="000000"/>
              <w:bottom w:val="single" w:sz="4" w:space="0" w:color="FFFFFF"/>
            </w:tcBorders>
          </w:tcPr>
          <w:p w14:paraId="505D7DF9" w14:textId="77777777" w:rsidR="00977CBF" w:rsidRDefault="00977CBF" w:rsidP="00977CBF">
            <w:pPr>
              <w:pStyle w:val="Normal1"/>
              <w:ind w:left="360"/>
              <w:jc w:val="both"/>
              <w:rPr>
                <w:b/>
                <w:color w:val="0000FF"/>
                <w:sz w:val="20"/>
                <w:szCs w:val="20"/>
              </w:rPr>
            </w:pPr>
          </w:p>
        </w:tc>
        <w:tc>
          <w:tcPr>
            <w:tcW w:w="1478" w:type="dxa"/>
            <w:tcBorders>
              <w:top w:val="single" w:sz="4" w:space="0" w:color="000000"/>
              <w:bottom w:val="single" w:sz="4" w:space="0" w:color="000000"/>
              <w:right w:val="single" w:sz="4" w:space="0" w:color="000000"/>
            </w:tcBorders>
            <w:shd w:val="clear" w:color="auto" w:fill="auto"/>
          </w:tcPr>
          <w:p w14:paraId="2DB68E21" w14:textId="77777777" w:rsidR="00977CBF" w:rsidRDefault="00977CBF" w:rsidP="00977CBF">
            <w:pPr>
              <w:pStyle w:val="Normal1"/>
              <w:rPr>
                <w:sz w:val="20"/>
                <w:szCs w:val="20"/>
              </w:rPr>
            </w:pPr>
            <w:r>
              <w:rPr>
                <w:sz w:val="20"/>
                <w:szCs w:val="20"/>
              </w:rPr>
              <w:t>UNICEF Focal Point</w:t>
            </w:r>
          </w:p>
        </w:tc>
        <w:tc>
          <w:tcPr>
            <w:tcW w:w="1086" w:type="dxa"/>
            <w:tcBorders>
              <w:top w:val="single" w:sz="4" w:space="0" w:color="000000"/>
              <w:bottom w:val="single" w:sz="4" w:space="0" w:color="000000"/>
              <w:right w:val="single" w:sz="4" w:space="0" w:color="000000"/>
            </w:tcBorders>
          </w:tcPr>
          <w:p w14:paraId="4F774534" w14:textId="77777777" w:rsidR="00977CBF" w:rsidRDefault="00977CBF" w:rsidP="00977CBF">
            <w:pPr>
              <w:pStyle w:val="Normal1"/>
              <w:rPr>
                <w:sz w:val="20"/>
                <w:szCs w:val="20"/>
              </w:rPr>
            </w:pPr>
            <w:r>
              <w:rPr>
                <w:sz w:val="20"/>
                <w:szCs w:val="20"/>
              </w:rPr>
              <w:t>1,100</w:t>
            </w:r>
          </w:p>
        </w:tc>
        <w:tc>
          <w:tcPr>
            <w:tcW w:w="839" w:type="dxa"/>
            <w:tcBorders>
              <w:top w:val="single" w:sz="4" w:space="0" w:color="000000"/>
              <w:bottom w:val="single" w:sz="4" w:space="0" w:color="000000"/>
              <w:right w:val="single" w:sz="4" w:space="0" w:color="000000"/>
            </w:tcBorders>
          </w:tcPr>
          <w:p w14:paraId="2DA6C517" w14:textId="77777777" w:rsidR="00977CBF" w:rsidRDefault="00977CBF" w:rsidP="00977CBF">
            <w:pPr>
              <w:pStyle w:val="Normal1"/>
              <w:rPr>
                <w:sz w:val="20"/>
                <w:szCs w:val="20"/>
              </w:rPr>
            </w:pPr>
            <w:r>
              <w:rPr>
                <w:sz w:val="20"/>
                <w:szCs w:val="20"/>
              </w:rPr>
              <w:t>24</w:t>
            </w:r>
          </w:p>
        </w:tc>
        <w:tc>
          <w:tcPr>
            <w:tcW w:w="981" w:type="dxa"/>
            <w:tcBorders>
              <w:top w:val="single" w:sz="4" w:space="0" w:color="000000"/>
              <w:bottom w:val="single" w:sz="4" w:space="0" w:color="000000"/>
              <w:right w:val="single" w:sz="4" w:space="0" w:color="000000"/>
            </w:tcBorders>
          </w:tcPr>
          <w:p w14:paraId="71E3DE17" w14:textId="77777777" w:rsidR="00977CBF" w:rsidRDefault="00977CBF" w:rsidP="00977CBF">
            <w:pPr>
              <w:pStyle w:val="Normal1"/>
              <w:rPr>
                <w:sz w:val="20"/>
                <w:szCs w:val="20"/>
              </w:rPr>
            </w:pPr>
            <w:r>
              <w:rPr>
                <w:sz w:val="20"/>
                <w:szCs w:val="20"/>
              </w:rPr>
              <w:t>26,400</w:t>
            </w:r>
          </w:p>
        </w:tc>
        <w:tc>
          <w:tcPr>
            <w:tcW w:w="1399" w:type="dxa"/>
            <w:tcBorders>
              <w:top w:val="single" w:sz="4" w:space="0" w:color="000000"/>
              <w:bottom w:val="single" w:sz="4" w:space="0" w:color="000000"/>
              <w:right w:val="single" w:sz="4" w:space="0" w:color="000000"/>
            </w:tcBorders>
          </w:tcPr>
          <w:p w14:paraId="4DCC1749" w14:textId="77777777" w:rsidR="00977CBF" w:rsidRDefault="00977CBF" w:rsidP="00977CBF">
            <w:pPr>
              <w:pStyle w:val="Normal1"/>
              <w:rPr>
                <w:sz w:val="20"/>
                <w:szCs w:val="20"/>
              </w:rPr>
            </w:pPr>
            <w:r>
              <w:rPr>
                <w:sz w:val="20"/>
                <w:szCs w:val="20"/>
              </w:rPr>
              <w:t>-</w:t>
            </w:r>
          </w:p>
        </w:tc>
        <w:tc>
          <w:tcPr>
            <w:tcW w:w="1399" w:type="dxa"/>
            <w:tcBorders>
              <w:top w:val="single" w:sz="4" w:space="0" w:color="000000"/>
              <w:bottom w:val="single" w:sz="4" w:space="0" w:color="000000"/>
              <w:right w:val="single" w:sz="4" w:space="0" w:color="000000"/>
            </w:tcBorders>
          </w:tcPr>
          <w:p w14:paraId="29A619F9" w14:textId="77777777" w:rsidR="00977CBF" w:rsidRDefault="00977CBF" w:rsidP="00977CBF">
            <w:pPr>
              <w:pStyle w:val="Normal1"/>
              <w:rPr>
                <w:sz w:val="20"/>
                <w:szCs w:val="20"/>
              </w:rPr>
            </w:pPr>
            <w:r>
              <w:rPr>
                <w:sz w:val="20"/>
                <w:szCs w:val="20"/>
              </w:rPr>
              <w:t>26,400</w:t>
            </w:r>
          </w:p>
        </w:tc>
        <w:tc>
          <w:tcPr>
            <w:tcW w:w="1310" w:type="dxa"/>
            <w:tcBorders>
              <w:top w:val="single" w:sz="4" w:space="0" w:color="000000"/>
              <w:bottom w:val="single" w:sz="4" w:space="0" w:color="000000"/>
              <w:right w:val="single" w:sz="4" w:space="0" w:color="000000"/>
            </w:tcBorders>
          </w:tcPr>
          <w:p w14:paraId="643F1FC0" w14:textId="77777777" w:rsidR="00977CBF" w:rsidRDefault="00977CBF" w:rsidP="00977CBF">
            <w:pPr>
              <w:pStyle w:val="Normal1"/>
              <w:rPr>
                <w:sz w:val="20"/>
                <w:szCs w:val="20"/>
              </w:rPr>
            </w:pPr>
            <w:r>
              <w:rPr>
                <w:sz w:val="20"/>
                <w:szCs w:val="20"/>
              </w:rPr>
              <w:t>-</w:t>
            </w:r>
          </w:p>
        </w:tc>
      </w:tr>
      <w:tr w:rsidR="00977CBF" w14:paraId="755DC53C" w14:textId="77777777" w:rsidTr="00561177">
        <w:tc>
          <w:tcPr>
            <w:tcW w:w="1378" w:type="dxa"/>
            <w:tcBorders>
              <w:top w:val="single" w:sz="4" w:space="0" w:color="000000"/>
              <w:left w:val="single" w:sz="4" w:space="0" w:color="000000"/>
              <w:bottom w:val="single" w:sz="4" w:space="0" w:color="FFFFFF"/>
            </w:tcBorders>
          </w:tcPr>
          <w:p w14:paraId="19203794" w14:textId="77777777" w:rsidR="00977CBF" w:rsidRDefault="00977CBF" w:rsidP="00977CBF">
            <w:pPr>
              <w:pStyle w:val="Normal1"/>
              <w:rPr>
                <w:b/>
                <w:color w:val="0000FF"/>
                <w:sz w:val="20"/>
                <w:szCs w:val="20"/>
              </w:rPr>
            </w:pPr>
            <w:r>
              <w:rPr>
                <w:b/>
                <w:sz w:val="20"/>
                <w:szCs w:val="20"/>
              </w:rPr>
              <w:t>Supplies, commodities and materials</w:t>
            </w:r>
          </w:p>
        </w:tc>
        <w:tc>
          <w:tcPr>
            <w:tcW w:w="1478" w:type="dxa"/>
            <w:tcBorders>
              <w:top w:val="single" w:sz="4" w:space="0" w:color="000000"/>
            </w:tcBorders>
          </w:tcPr>
          <w:p w14:paraId="0400F2B9" w14:textId="77777777" w:rsidR="00977CBF" w:rsidRDefault="00977CBF" w:rsidP="00977CBF">
            <w:pPr>
              <w:pStyle w:val="Normal1"/>
              <w:rPr>
                <w:sz w:val="20"/>
                <w:szCs w:val="20"/>
              </w:rPr>
            </w:pPr>
            <w:r>
              <w:rPr>
                <w:sz w:val="20"/>
                <w:szCs w:val="20"/>
              </w:rPr>
              <w:t>50 kits with instruction materials for implementing the inclusive pedagogical method in the classroom</w:t>
            </w:r>
          </w:p>
        </w:tc>
        <w:tc>
          <w:tcPr>
            <w:tcW w:w="1086" w:type="dxa"/>
            <w:tcBorders>
              <w:top w:val="single" w:sz="4" w:space="0" w:color="000000"/>
            </w:tcBorders>
          </w:tcPr>
          <w:p w14:paraId="336C6166" w14:textId="77777777" w:rsidR="00977CBF" w:rsidRDefault="00977CBF" w:rsidP="00977CBF">
            <w:pPr>
              <w:pStyle w:val="Normal1"/>
              <w:rPr>
                <w:sz w:val="20"/>
                <w:szCs w:val="20"/>
              </w:rPr>
            </w:pPr>
            <w:r>
              <w:rPr>
                <w:sz w:val="20"/>
                <w:szCs w:val="20"/>
              </w:rPr>
              <w:t>150</w:t>
            </w:r>
          </w:p>
        </w:tc>
        <w:tc>
          <w:tcPr>
            <w:tcW w:w="839" w:type="dxa"/>
            <w:tcBorders>
              <w:top w:val="single" w:sz="4" w:space="0" w:color="000000"/>
            </w:tcBorders>
          </w:tcPr>
          <w:p w14:paraId="5FE156C0" w14:textId="77777777" w:rsidR="00977CBF" w:rsidRDefault="00977CBF" w:rsidP="00977CBF">
            <w:pPr>
              <w:pStyle w:val="Normal1"/>
              <w:rPr>
                <w:sz w:val="20"/>
                <w:szCs w:val="20"/>
              </w:rPr>
            </w:pPr>
            <w:r>
              <w:rPr>
                <w:sz w:val="20"/>
                <w:szCs w:val="20"/>
              </w:rPr>
              <w:t>50</w:t>
            </w:r>
          </w:p>
        </w:tc>
        <w:tc>
          <w:tcPr>
            <w:tcW w:w="981" w:type="dxa"/>
            <w:tcBorders>
              <w:top w:val="single" w:sz="4" w:space="0" w:color="000000"/>
            </w:tcBorders>
          </w:tcPr>
          <w:p w14:paraId="62C9F5A4" w14:textId="77777777" w:rsidR="00977CBF" w:rsidRDefault="00977CBF" w:rsidP="00977CBF">
            <w:pPr>
              <w:pStyle w:val="Normal1"/>
              <w:rPr>
                <w:sz w:val="20"/>
                <w:szCs w:val="20"/>
              </w:rPr>
            </w:pPr>
            <w:r>
              <w:rPr>
                <w:sz w:val="20"/>
                <w:szCs w:val="20"/>
              </w:rPr>
              <w:t>7,500</w:t>
            </w:r>
          </w:p>
        </w:tc>
        <w:tc>
          <w:tcPr>
            <w:tcW w:w="1399" w:type="dxa"/>
            <w:tcBorders>
              <w:top w:val="single" w:sz="4" w:space="0" w:color="000000"/>
            </w:tcBorders>
          </w:tcPr>
          <w:p w14:paraId="78E17203" w14:textId="77777777" w:rsidR="00977CBF" w:rsidRDefault="00977CBF" w:rsidP="00977CBF">
            <w:pPr>
              <w:pStyle w:val="Normal1"/>
              <w:rPr>
                <w:sz w:val="20"/>
                <w:szCs w:val="20"/>
              </w:rPr>
            </w:pPr>
            <w:r>
              <w:rPr>
                <w:sz w:val="20"/>
                <w:szCs w:val="20"/>
              </w:rPr>
              <w:t>7,500</w:t>
            </w:r>
          </w:p>
        </w:tc>
        <w:tc>
          <w:tcPr>
            <w:tcW w:w="1399" w:type="dxa"/>
            <w:tcBorders>
              <w:top w:val="single" w:sz="4" w:space="0" w:color="000000"/>
            </w:tcBorders>
          </w:tcPr>
          <w:p w14:paraId="7BDFCA55" w14:textId="77777777" w:rsidR="00977CBF" w:rsidRDefault="00977CBF" w:rsidP="00977CBF">
            <w:pPr>
              <w:pStyle w:val="Normal1"/>
              <w:rPr>
                <w:sz w:val="20"/>
                <w:szCs w:val="20"/>
              </w:rPr>
            </w:pPr>
            <w:r>
              <w:rPr>
                <w:sz w:val="20"/>
                <w:szCs w:val="20"/>
              </w:rPr>
              <w:t>-</w:t>
            </w:r>
          </w:p>
        </w:tc>
        <w:tc>
          <w:tcPr>
            <w:tcW w:w="1310" w:type="dxa"/>
            <w:tcBorders>
              <w:top w:val="single" w:sz="4" w:space="0" w:color="000000"/>
              <w:right w:val="single" w:sz="4" w:space="0" w:color="000000"/>
            </w:tcBorders>
          </w:tcPr>
          <w:p w14:paraId="536218C9" w14:textId="77777777" w:rsidR="00977CBF" w:rsidRDefault="00977CBF" w:rsidP="00977CBF">
            <w:pPr>
              <w:pStyle w:val="Normal1"/>
              <w:rPr>
                <w:sz w:val="20"/>
                <w:szCs w:val="20"/>
              </w:rPr>
            </w:pPr>
            <w:r>
              <w:rPr>
                <w:sz w:val="20"/>
                <w:szCs w:val="20"/>
              </w:rPr>
              <w:t>-</w:t>
            </w:r>
          </w:p>
        </w:tc>
      </w:tr>
      <w:tr w:rsidR="00977CBF" w14:paraId="07FCEB42" w14:textId="77777777" w:rsidTr="00561177">
        <w:tc>
          <w:tcPr>
            <w:tcW w:w="1378" w:type="dxa"/>
            <w:tcBorders>
              <w:top w:val="single" w:sz="4" w:space="0" w:color="FFFFFF"/>
              <w:left w:val="single" w:sz="4" w:space="0" w:color="000000"/>
              <w:bottom w:val="single" w:sz="4" w:space="0" w:color="FFFFFF"/>
            </w:tcBorders>
          </w:tcPr>
          <w:p w14:paraId="2964966B" w14:textId="77777777" w:rsidR="00977CBF" w:rsidRDefault="00977CBF" w:rsidP="00977CBF">
            <w:pPr>
              <w:pStyle w:val="Normal1"/>
              <w:ind w:left="360"/>
              <w:jc w:val="both"/>
              <w:rPr>
                <w:b/>
                <w:color w:val="0000FF"/>
                <w:sz w:val="20"/>
                <w:szCs w:val="20"/>
              </w:rPr>
            </w:pPr>
          </w:p>
        </w:tc>
        <w:tc>
          <w:tcPr>
            <w:tcW w:w="1478" w:type="dxa"/>
          </w:tcPr>
          <w:p w14:paraId="12EB5806" w14:textId="77777777" w:rsidR="00977CBF" w:rsidRDefault="00977CBF" w:rsidP="00977CBF">
            <w:pPr>
              <w:pStyle w:val="Normal1"/>
              <w:rPr>
                <w:sz w:val="20"/>
                <w:szCs w:val="20"/>
              </w:rPr>
            </w:pPr>
            <w:r>
              <w:rPr>
                <w:sz w:val="20"/>
                <w:szCs w:val="20"/>
              </w:rPr>
              <w:t>Visual communication materials</w:t>
            </w:r>
          </w:p>
        </w:tc>
        <w:tc>
          <w:tcPr>
            <w:tcW w:w="1086" w:type="dxa"/>
          </w:tcPr>
          <w:p w14:paraId="699C86CA" w14:textId="77777777" w:rsidR="00977CBF" w:rsidRDefault="00E4069F" w:rsidP="00977CBF">
            <w:pPr>
              <w:pStyle w:val="Normal1"/>
              <w:rPr>
                <w:sz w:val="20"/>
                <w:szCs w:val="20"/>
              </w:rPr>
            </w:pPr>
            <w:r>
              <w:rPr>
                <w:sz w:val="20"/>
                <w:szCs w:val="20"/>
              </w:rPr>
              <w:t>-</w:t>
            </w:r>
          </w:p>
        </w:tc>
        <w:tc>
          <w:tcPr>
            <w:tcW w:w="839" w:type="dxa"/>
          </w:tcPr>
          <w:p w14:paraId="34EBDE75" w14:textId="77777777" w:rsidR="00977CBF" w:rsidRDefault="00E4069F" w:rsidP="00977CBF">
            <w:pPr>
              <w:pStyle w:val="Normal1"/>
              <w:rPr>
                <w:sz w:val="20"/>
                <w:szCs w:val="20"/>
              </w:rPr>
            </w:pPr>
            <w:r>
              <w:rPr>
                <w:sz w:val="20"/>
                <w:szCs w:val="20"/>
              </w:rPr>
              <w:t>-</w:t>
            </w:r>
          </w:p>
        </w:tc>
        <w:tc>
          <w:tcPr>
            <w:tcW w:w="981" w:type="dxa"/>
          </w:tcPr>
          <w:p w14:paraId="57C1F7A2" w14:textId="77777777" w:rsidR="00977CBF" w:rsidRDefault="00977CBF" w:rsidP="00977CBF">
            <w:pPr>
              <w:pStyle w:val="Normal1"/>
              <w:rPr>
                <w:sz w:val="20"/>
                <w:szCs w:val="20"/>
              </w:rPr>
            </w:pPr>
            <w:r>
              <w:rPr>
                <w:sz w:val="20"/>
                <w:szCs w:val="20"/>
              </w:rPr>
              <w:t>6,300</w:t>
            </w:r>
          </w:p>
        </w:tc>
        <w:tc>
          <w:tcPr>
            <w:tcW w:w="1399" w:type="dxa"/>
          </w:tcPr>
          <w:p w14:paraId="4745E67B" w14:textId="77777777" w:rsidR="00977CBF" w:rsidRDefault="00977CBF" w:rsidP="00977CBF">
            <w:pPr>
              <w:pStyle w:val="Normal1"/>
              <w:rPr>
                <w:sz w:val="20"/>
                <w:szCs w:val="20"/>
              </w:rPr>
            </w:pPr>
            <w:r>
              <w:rPr>
                <w:sz w:val="20"/>
                <w:szCs w:val="20"/>
              </w:rPr>
              <w:t>6,300</w:t>
            </w:r>
          </w:p>
        </w:tc>
        <w:tc>
          <w:tcPr>
            <w:tcW w:w="1399" w:type="dxa"/>
          </w:tcPr>
          <w:p w14:paraId="5FA7D459"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448A481A" w14:textId="77777777" w:rsidR="00977CBF" w:rsidRDefault="00977CBF" w:rsidP="00977CBF">
            <w:pPr>
              <w:pStyle w:val="Normal1"/>
              <w:rPr>
                <w:sz w:val="20"/>
                <w:szCs w:val="20"/>
              </w:rPr>
            </w:pPr>
            <w:r>
              <w:rPr>
                <w:sz w:val="20"/>
                <w:szCs w:val="20"/>
              </w:rPr>
              <w:t>-</w:t>
            </w:r>
          </w:p>
        </w:tc>
      </w:tr>
      <w:tr w:rsidR="00977CBF" w14:paraId="5252F084" w14:textId="77777777" w:rsidTr="00561177">
        <w:tc>
          <w:tcPr>
            <w:tcW w:w="1378" w:type="dxa"/>
            <w:tcBorders>
              <w:top w:val="single" w:sz="4" w:space="0" w:color="FFFFFF"/>
              <w:left w:val="single" w:sz="4" w:space="0" w:color="000000"/>
              <w:bottom w:val="single" w:sz="4" w:space="0" w:color="FFFFFF"/>
            </w:tcBorders>
          </w:tcPr>
          <w:p w14:paraId="0CDA0657" w14:textId="77777777" w:rsidR="00977CBF" w:rsidRDefault="00977CBF" w:rsidP="00977CBF">
            <w:pPr>
              <w:pStyle w:val="Normal1"/>
              <w:ind w:left="360"/>
              <w:jc w:val="both"/>
              <w:rPr>
                <w:b/>
                <w:color w:val="0000FF"/>
                <w:sz w:val="20"/>
                <w:szCs w:val="20"/>
              </w:rPr>
            </w:pPr>
          </w:p>
        </w:tc>
        <w:tc>
          <w:tcPr>
            <w:tcW w:w="1478" w:type="dxa"/>
          </w:tcPr>
          <w:p w14:paraId="2331F666" w14:textId="77777777" w:rsidR="00977CBF" w:rsidRDefault="00977CBF" w:rsidP="00977CBF">
            <w:pPr>
              <w:pStyle w:val="Normal1"/>
              <w:rPr>
                <w:sz w:val="20"/>
                <w:szCs w:val="20"/>
              </w:rPr>
            </w:pPr>
            <w:r>
              <w:rPr>
                <w:sz w:val="20"/>
                <w:szCs w:val="20"/>
              </w:rPr>
              <w:t>Workshops for following up and ratifying the identification of gaps</w:t>
            </w:r>
          </w:p>
        </w:tc>
        <w:tc>
          <w:tcPr>
            <w:tcW w:w="1086" w:type="dxa"/>
          </w:tcPr>
          <w:p w14:paraId="4EC662C6" w14:textId="77777777" w:rsidR="00977CBF" w:rsidRDefault="00977CBF" w:rsidP="00977CBF">
            <w:pPr>
              <w:pStyle w:val="Normal1"/>
              <w:rPr>
                <w:sz w:val="20"/>
                <w:szCs w:val="20"/>
              </w:rPr>
            </w:pPr>
            <w:r>
              <w:rPr>
                <w:sz w:val="20"/>
                <w:szCs w:val="20"/>
              </w:rPr>
              <w:t>500</w:t>
            </w:r>
          </w:p>
        </w:tc>
        <w:tc>
          <w:tcPr>
            <w:tcW w:w="839" w:type="dxa"/>
          </w:tcPr>
          <w:p w14:paraId="2BC816DB" w14:textId="77777777" w:rsidR="00977CBF" w:rsidRDefault="00977CBF" w:rsidP="00977CBF">
            <w:pPr>
              <w:pStyle w:val="Normal1"/>
              <w:rPr>
                <w:sz w:val="20"/>
                <w:szCs w:val="20"/>
              </w:rPr>
            </w:pPr>
            <w:r>
              <w:rPr>
                <w:sz w:val="20"/>
                <w:szCs w:val="20"/>
              </w:rPr>
              <w:t>4</w:t>
            </w:r>
          </w:p>
        </w:tc>
        <w:tc>
          <w:tcPr>
            <w:tcW w:w="981" w:type="dxa"/>
          </w:tcPr>
          <w:p w14:paraId="362189A1" w14:textId="77777777" w:rsidR="00977CBF" w:rsidRDefault="00977CBF" w:rsidP="00977CBF">
            <w:pPr>
              <w:pStyle w:val="Normal1"/>
              <w:rPr>
                <w:sz w:val="20"/>
                <w:szCs w:val="20"/>
              </w:rPr>
            </w:pPr>
            <w:r>
              <w:rPr>
                <w:sz w:val="20"/>
                <w:szCs w:val="20"/>
              </w:rPr>
              <w:t>2,000</w:t>
            </w:r>
          </w:p>
        </w:tc>
        <w:tc>
          <w:tcPr>
            <w:tcW w:w="1399" w:type="dxa"/>
          </w:tcPr>
          <w:p w14:paraId="3FA9B690" w14:textId="77777777" w:rsidR="00977CBF" w:rsidRDefault="00977CBF" w:rsidP="00977CBF">
            <w:pPr>
              <w:pStyle w:val="Normal1"/>
              <w:rPr>
                <w:sz w:val="20"/>
                <w:szCs w:val="20"/>
              </w:rPr>
            </w:pPr>
            <w:r>
              <w:rPr>
                <w:sz w:val="20"/>
                <w:szCs w:val="20"/>
              </w:rPr>
              <w:t>2,000</w:t>
            </w:r>
          </w:p>
        </w:tc>
        <w:tc>
          <w:tcPr>
            <w:tcW w:w="1399" w:type="dxa"/>
          </w:tcPr>
          <w:p w14:paraId="6CCD7A51"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21DA649F" w14:textId="77777777" w:rsidR="00977CBF" w:rsidRDefault="00977CBF" w:rsidP="00977CBF">
            <w:pPr>
              <w:pStyle w:val="Normal1"/>
              <w:rPr>
                <w:sz w:val="20"/>
                <w:szCs w:val="20"/>
              </w:rPr>
            </w:pPr>
            <w:r>
              <w:rPr>
                <w:sz w:val="20"/>
                <w:szCs w:val="20"/>
              </w:rPr>
              <w:t>-</w:t>
            </w:r>
          </w:p>
        </w:tc>
      </w:tr>
      <w:tr w:rsidR="00977CBF" w14:paraId="48F5707A" w14:textId="77777777" w:rsidTr="00561177">
        <w:tc>
          <w:tcPr>
            <w:tcW w:w="1378" w:type="dxa"/>
            <w:tcBorders>
              <w:top w:val="single" w:sz="4" w:space="0" w:color="FFFFFF"/>
              <w:left w:val="single" w:sz="4" w:space="0" w:color="000000"/>
              <w:bottom w:val="single" w:sz="4" w:space="0" w:color="FFFFFF"/>
            </w:tcBorders>
          </w:tcPr>
          <w:p w14:paraId="52E1E01A" w14:textId="77777777" w:rsidR="00977CBF" w:rsidRDefault="00977CBF" w:rsidP="00977CBF">
            <w:pPr>
              <w:pStyle w:val="Normal1"/>
              <w:ind w:left="360"/>
              <w:jc w:val="both"/>
              <w:rPr>
                <w:b/>
                <w:color w:val="0000FF"/>
                <w:sz w:val="20"/>
                <w:szCs w:val="20"/>
              </w:rPr>
            </w:pPr>
          </w:p>
        </w:tc>
        <w:tc>
          <w:tcPr>
            <w:tcW w:w="1478" w:type="dxa"/>
          </w:tcPr>
          <w:p w14:paraId="3E5F31B8" w14:textId="77777777" w:rsidR="00977CBF" w:rsidRDefault="00977CBF" w:rsidP="00977CBF">
            <w:pPr>
              <w:pStyle w:val="Normal1"/>
              <w:rPr>
                <w:sz w:val="20"/>
                <w:szCs w:val="20"/>
              </w:rPr>
            </w:pPr>
            <w:r>
              <w:rPr>
                <w:sz w:val="20"/>
                <w:szCs w:val="20"/>
              </w:rPr>
              <w:t>Workshops for following up and ratifying improvements in vocational and technical training</w:t>
            </w:r>
          </w:p>
        </w:tc>
        <w:tc>
          <w:tcPr>
            <w:tcW w:w="1086" w:type="dxa"/>
          </w:tcPr>
          <w:p w14:paraId="65032560" w14:textId="77777777" w:rsidR="00977CBF" w:rsidRDefault="00977CBF" w:rsidP="00977CBF">
            <w:pPr>
              <w:pStyle w:val="Normal1"/>
              <w:rPr>
                <w:sz w:val="20"/>
                <w:szCs w:val="20"/>
              </w:rPr>
            </w:pPr>
            <w:r>
              <w:rPr>
                <w:sz w:val="20"/>
                <w:szCs w:val="20"/>
              </w:rPr>
              <w:t>500</w:t>
            </w:r>
          </w:p>
        </w:tc>
        <w:tc>
          <w:tcPr>
            <w:tcW w:w="839" w:type="dxa"/>
          </w:tcPr>
          <w:p w14:paraId="44BDC34B" w14:textId="77777777" w:rsidR="00977CBF" w:rsidRDefault="00977CBF" w:rsidP="00977CBF">
            <w:pPr>
              <w:pStyle w:val="Normal1"/>
              <w:rPr>
                <w:sz w:val="20"/>
                <w:szCs w:val="20"/>
              </w:rPr>
            </w:pPr>
            <w:r>
              <w:rPr>
                <w:sz w:val="20"/>
                <w:szCs w:val="20"/>
              </w:rPr>
              <w:t>4</w:t>
            </w:r>
          </w:p>
        </w:tc>
        <w:tc>
          <w:tcPr>
            <w:tcW w:w="981" w:type="dxa"/>
          </w:tcPr>
          <w:p w14:paraId="3EF9F1E8" w14:textId="77777777" w:rsidR="00977CBF" w:rsidRDefault="00977CBF" w:rsidP="00977CBF">
            <w:pPr>
              <w:pStyle w:val="Normal1"/>
              <w:rPr>
                <w:sz w:val="20"/>
                <w:szCs w:val="20"/>
              </w:rPr>
            </w:pPr>
            <w:r>
              <w:rPr>
                <w:sz w:val="20"/>
                <w:szCs w:val="20"/>
              </w:rPr>
              <w:t>2,000</w:t>
            </w:r>
          </w:p>
        </w:tc>
        <w:tc>
          <w:tcPr>
            <w:tcW w:w="1399" w:type="dxa"/>
          </w:tcPr>
          <w:p w14:paraId="15C22D12" w14:textId="77777777" w:rsidR="00977CBF" w:rsidRDefault="00977CBF" w:rsidP="00977CBF">
            <w:pPr>
              <w:pStyle w:val="Normal1"/>
              <w:rPr>
                <w:sz w:val="20"/>
                <w:szCs w:val="20"/>
              </w:rPr>
            </w:pPr>
            <w:r>
              <w:rPr>
                <w:sz w:val="20"/>
                <w:szCs w:val="20"/>
              </w:rPr>
              <w:t>2,000</w:t>
            </w:r>
          </w:p>
        </w:tc>
        <w:tc>
          <w:tcPr>
            <w:tcW w:w="1399" w:type="dxa"/>
          </w:tcPr>
          <w:p w14:paraId="5547D292"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3F660C5F" w14:textId="77777777" w:rsidR="00977CBF" w:rsidRDefault="00977CBF" w:rsidP="00977CBF">
            <w:pPr>
              <w:pStyle w:val="Normal1"/>
              <w:rPr>
                <w:sz w:val="20"/>
                <w:szCs w:val="20"/>
              </w:rPr>
            </w:pPr>
            <w:r>
              <w:rPr>
                <w:sz w:val="20"/>
                <w:szCs w:val="20"/>
              </w:rPr>
              <w:t>-</w:t>
            </w:r>
          </w:p>
        </w:tc>
      </w:tr>
      <w:tr w:rsidR="00977CBF" w14:paraId="40C3A2BC" w14:textId="77777777" w:rsidTr="00561177">
        <w:tc>
          <w:tcPr>
            <w:tcW w:w="1378" w:type="dxa"/>
            <w:tcBorders>
              <w:top w:val="single" w:sz="4" w:space="0" w:color="FFFFFF"/>
              <w:left w:val="single" w:sz="4" w:space="0" w:color="000000"/>
              <w:bottom w:val="single" w:sz="4" w:space="0" w:color="FFFFFF"/>
            </w:tcBorders>
          </w:tcPr>
          <w:p w14:paraId="0AE8DB9B" w14:textId="77777777" w:rsidR="00977CBF" w:rsidRDefault="00977CBF" w:rsidP="00977CBF">
            <w:pPr>
              <w:pStyle w:val="Normal1"/>
              <w:ind w:left="360"/>
              <w:jc w:val="both"/>
              <w:rPr>
                <w:b/>
                <w:color w:val="0000FF"/>
                <w:sz w:val="20"/>
                <w:szCs w:val="20"/>
              </w:rPr>
            </w:pPr>
          </w:p>
        </w:tc>
        <w:tc>
          <w:tcPr>
            <w:tcW w:w="1478" w:type="dxa"/>
          </w:tcPr>
          <w:p w14:paraId="223D7046" w14:textId="77777777" w:rsidR="00977CBF" w:rsidRDefault="00977CBF" w:rsidP="00977CBF">
            <w:pPr>
              <w:pStyle w:val="Normal1"/>
              <w:rPr>
                <w:sz w:val="20"/>
                <w:szCs w:val="20"/>
              </w:rPr>
            </w:pPr>
            <w:r>
              <w:rPr>
                <w:sz w:val="20"/>
                <w:szCs w:val="20"/>
              </w:rPr>
              <w:t xml:space="preserve">Workshops for following up and ratifying Ministry of Labour employment training manuals </w:t>
            </w:r>
          </w:p>
        </w:tc>
        <w:tc>
          <w:tcPr>
            <w:tcW w:w="1086" w:type="dxa"/>
          </w:tcPr>
          <w:p w14:paraId="2A08F24A" w14:textId="77777777" w:rsidR="00977CBF" w:rsidRDefault="00977CBF" w:rsidP="00977CBF">
            <w:pPr>
              <w:pStyle w:val="Normal1"/>
              <w:rPr>
                <w:sz w:val="20"/>
                <w:szCs w:val="20"/>
              </w:rPr>
            </w:pPr>
            <w:r>
              <w:rPr>
                <w:sz w:val="20"/>
                <w:szCs w:val="20"/>
              </w:rPr>
              <w:t>500</w:t>
            </w:r>
          </w:p>
        </w:tc>
        <w:tc>
          <w:tcPr>
            <w:tcW w:w="839" w:type="dxa"/>
          </w:tcPr>
          <w:p w14:paraId="3443D7F3" w14:textId="77777777" w:rsidR="00977CBF" w:rsidRDefault="00977CBF" w:rsidP="00977CBF">
            <w:pPr>
              <w:pStyle w:val="Normal1"/>
              <w:rPr>
                <w:sz w:val="20"/>
                <w:szCs w:val="20"/>
              </w:rPr>
            </w:pPr>
            <w:r>
              <w:rPr>
                <w:sz w:val="20"/>
                <w:szCs w:val="20"/>
              </w:rPr>
              <w:t>4</w:t>
            </w:r>
          </w:p>
        </w:tc>
        <w:tc>
          <w:tcPr>
            <w:tcW w:w="981" w:type="dxa"/>
          </w:tcPr>
          <w:p w14:paraId="29C061AA" w14:textId="77777777" w:rsidR="00977CBF" w:rsidRDefault="00977CBF" w:rsidP="00977CBF">
            <w:pPr>
              <w:pStyle w:val="Normal1"/>
              <w:rPr>
                <w:sz w:val="20"/>
                <w:szCs w:val="20"/>
              </w:rPr>
            </w:pPr>
            <w:r>
              <w:rPr>
                <w:sz w:val="20"/>
                <w:szCs w:val="20"/>
              </w:rPr>
              <w:t>2,000</w:t>
            </w:r>
          </w:p>
        </w:tc>
        <w:tc>
          <w:tcPr>
            <w:tcW w:w="1399" w:type="dxa"/>
          </w:tcPr>
          <w:p w14:paraId="546F8F2C" w14:textId="77777777" w:rsidR="00977CBF" w:rsidRDefault="00977CBF" w:rsidP="00977CBF">
            <w:pPr>
              <w:pStyle w:val="Normal1"/>
              <w:rPr>
                <w:sz w:val="20"/>
                <w:szCs w:val="20"/>
              </w:rPr>
            </w:pPr>
            <w:r>
              <w:rPr>
                <w:sz w:val="20"/>
                <w:szCs w:val="20"/>
              </w:rPr>
              <w:t>2,000</w:t>
            </w:r>
          </w:p>
        </w:tc>
        <w:tc>
          <w:tcPr>
            <w:tcW w:w="1399" w:type="dxa"/>
          </w:tcPr>
          <w:p w14:paraId="56D471B6"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2F1B2E15" w14:textId="77777777" w:rsidR="00977CBF" w:rsidRDefault="00977CBF" w:rsidP="00977CBF">
            <w:pPr>
              <w:pStyle w:val="Normal1"/>
              <w:rPr>
                <w:sz w:val="20"/>
                <w:szCs w:val="20"/>
              </w:rPr>
            </w:pPr>
            <w:r>
              <w:rPr>
                <w:sz w:val="20"/>
                <w:szCs w:val="20"/>
              </w:rPr>
              <w:t>-</w:t>
            </w:r>
          </w:p>
        </w:tc>
      </w:tr>
      <w:tr w:rsidR="00977CBF" w14:paraId="24DCA8FE" w14:textId="77777777" w:rsidTr="00561177">
        <w:tc>
          <w:tcPr>
            <w:tcW w:w="1378" w:type="dxa"/>
            <w:tcBorders>
              <w:top w:val="single" w:sz="4" w:space="0" w:color="FFFFFF"/>
              <w:left w:val="single" w:sz="4" w:space="0" w:color="000000"/>
              <w:bottom w:val="single" w:sz="4" w:space="0" w:color="FFFFFF"/>
            </w:tcBorders>
          </w:tcPr>
          <w:p w14:paraId="2C46EE99" w14:textId="77777777" w:rsidR="00977CBF" w:rsidRDefault="00977CBF" w:rsidP="00977CBF">
            <w:pPr>
              <w:pStyle w:val="Normal1"/>
              <w:ind w:left="360"/>
              <w:jc w:val="both"/>
              <w:rPr>
                <w:b/>
                <w:color w:val="0000FF"/>
                <w:sz w:val="20"/>
                <w:szCs w:val="20"/>
              </w:rPr>
            </w:pPr>
          </w:p>
        </w:tc>
        <w:tc>
          <w:tcPr>
            <w:tcW w:w="1478" w:type="dxa"/>
          </w:tcPr>
          <w:p w14:paraId="383C376D" w14:textId="77777777" w:rsidR="00977CBF" w:rsidRDefault="00977CBF" w:rsidP="00977CBF">
            <w:pPr>
              <w:pStyle w:val="Normal1"/>
              <w:rPr>
                <w:sz w:val="20"/>
                <w:szCs w:val="20"/>
              </w:rPr>
            </w:pPr>
            <w:r>
              <w:rPr>
                <w:sz w:val="20"/>
                <w:szCs w:val="20"/>
              </w:rPr>
              <w:t>Forums for promoting affirmative action for workplace inclusion</w:t>
            </w:r>
          </w:p>
        </w:tc>
        <w:tc>
          <w:tcPr>
            <w:tcW w:w="1086" w:type="dxa"/>
          </w:tcPr>
          <w:p w14:paraId="79273440" w14:textId="77777777" w:rsidR="00977CBF" w:rsidRDefault="00977CBF" w:rsidP="00977CBF">
            <w:pPr>
              <w:pStyle w:val="Normal1"/>
              <w:rPr>
                <w:sz w:val="20"/>
                <w:szCs w:val="20"/>
              </w:rPr>
            </w:pPr>
            <w:r>
              <w:rPr>
                <w:sz w:val="20"/>
                <w:szCs w:val="20"/>
              </w:rPr>
              <w:t>2,500</w:t>
            </w:r>
          </w:p>
        </w:tc>
        <w:tc>
          <w:tcPr>
            <w:tcW w:w="839" w:type="dxa"/>
          </w:tcPr>
          <w:p w14:paraId="700C6B6A" w14:textId="77777777" w:rsidR="00977CBF" w:rsidRDefault="00977CBF" w:rsidP="00977CBF">
            <w:pPr>
              <w:pStyle w:val="Normal1"/>
              <w:rPr>
                <w:sz w:val="20"/>
                <w:szCs w:val="20"/>
              </w:rPr>
            </w:pPr>
            <w:r>
              <w:rPr>
                <w:sz w:val="20"/>
                <w:szCs w:val="20"/>
              </w:rPr>
              <w:t>4</w:t>
            </w:r>
          </w:p>
        </w:tc>
        <w:tc>
          <w:tcPr>
            <w:tcW w:w="981" w:type="dxa"/>
          </w:tcPr>
          <w:p w14:paraId="2781BE91" w14:textId="77777777" w:rsidR="00977CBF" w:rsidRDefault="00977CBF" w:rsidP="00977CBF">
            <w:pPr>
              <w:pStyle w:val="Normal1"/>
              <w:rPr>
                <w:sz w:val="20"/>
                <w:szCs w:val="20"/>
              </w:rPr>
            </w:pPr>
            <w:r>
              <w:rPr>
                <w:sz w:val="20"/>
                <w:szCs w:val="20"/>
              </w:rPr>
              <w:t>10,000</w:t>
            </w:r>
          </w:p>
        </w:tc>
        <w:tc>
          <w:tcPr>
            <w:tcW w:w="1399" w:type="dxa"/>
          </w:tcPr>
          <w:p w14:paraId="37787A4C" w14:textId="77777777" w:rsidR="00977CBF" w:rsidRDefault="00977CBF" w:rsidP="00977CBF">
            <w:pPr>
              <w:pStyle w:val="Normal1"/>
              <w:rPr>
                <w:sz w:val="20"/>
                <w:szCs w:val="20"/>
              </w:rPr>
            </w:pPr>
            <w:r>
              <w:rPr>
                <w:sz w:val="20"/>
                <w:szCs w:val="20"/>
              </w:rPr>
              <w:t>10,000</w:t>
            </w:r>
          </w:p>
        </w:tc>
        <w:tc>
          <w:tcPr>
            <w:tcW w:w="1399" w:type="dxa"/>
          </w:tcPr>
          <w:p w14:paraId="23F8833D"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0FCF7588" w14:textId="77777777" w:rsidR="00977CBF" w:rsidRDefault="00977CBF" w:rsidP="00977CBF">
            <w:pPr>
              <w:pStyle w:val="Normal1"/>
              <w:rPr>
                <w:sz w:val="20"/>
                <w:szCs w:val="20"/>
              </w:rPr>
            </w:pPr>
            <w:r>
              <w:rPr>
                <w:sz w:val="20"/>
                <w:szCs w:val="20"/>
              </w:rPr>
              <w:t>-</w:t>
            </w:r>
          </w:p>
        </w:tc>
      </w:tr>
      <w:tr w:rsidR="00977CBF" w14:paraId="0E44B177" w14:textId="77777777" w:rsidTr="00561177">
        <w:tc>
          <w:tcPr>
            <w:tcW w:w="1378" w:type="dxa"/>
            <w:tcBorders>
              <w:top w:val="single" w:sz="4" w:space="0" w:color="FFFFFF"/>
              <w:left w:val="single" w:sz="4" w:space="0" w:color="000000"/>
              <w:bottom w:val="single" w:sz="4" w:space="0" w:color="FFFFFF"/>
            </w:tcBorders>
          </w:tcPr>
          <w:p w14:paraId="404BCFCC" w14:textId="77777777" w:rsidR="00977CBF" w:rsidRDefault="00977CBF" w:rsidP="00977CBF">
            <w:pPr>
              <w:pStyle w:val="Normal1"/>
              <w:ind w:left="360"/>
              <w:jc w:val="both"/>
              <w:rPr>
                <w:b/>
                <w:color w:val="0000FF"/>
                <w:sz w:val="20"/>
                <w:szCs w:val="20"/>
              </w:rPr>
            </w:pPr>
          </w:p>
        </w:tc>
        <w:tc>
          <w:tcPr>
            <w:tcW w:w="1478" w:type="dxa"/>
          </w:tcPr>
          <w:p w14:paraId="376F8F70" w14:textId="77777777" w:rsidR="00977CBF" w:rsidRDefault="00977CBF" w:rsidP="00977CBF">
            <w:pPr>
              <w:pStyle w:val="Normal1"/>
              <w:rPr>
                <w:sz w:val="20"/>
                <w:szCs w:val="20"/>
              </w:rPr>
            </w:pPr>
            <w:r>
              <w:rPr>
                <w:sz w:val="20"/>
                <w:szCs w:val="20"/>
              </w:rPr>
              <w:t>Actions for the implementation of the accessible employment manual (inter-ministerial dialogues, meetings, events, publication of the manual, media tour …)</w:t>
            </w:r>
          </w:p>
        </w:tc>
        <w:tc>
          <w:tcPr>
            <w:tcW w:w="1086" w:type="dxa"/>
          </w:tcPr>
          <w:p w14:paraId="4DDE9CB8" w14:textId="77777777" w:rsidR="00977CBF" w:rsidRDefault="00977CBF" w:rsidP="00977CBF">
            <w:pPr>
              <w:pStyle w:val="Normal1"/>
              <w:rPr>
                <w:sz w:val="20"/>
                <w:szCs w:val="20"/>
              </w:rPr>
            </w:pPr>
            <w:r>
              <w:rPr>
                <w:sz w:val="20"/>
                <w:szCs w:val="20"/>
              </w:rPr>
              <w:t>-</w:t>
            </w:r>
          </w:p>
        </w:tc>
        <w:tc>
          <w:tcPr>
            <w:tcW w:w="839" w:type="dxa"/>
          </w:tcPr>
          <w:p w14:paraId="702F214C" w14:textId="77777777" w:rsidR="00977CBF" w:rsidRDefault="00977CBF" w:rsidP="00977CBF">
            <w:pPr>
              <w:pStyle w:val="Normal1"/>
              <w:rPr>
                <w:sz w:val="20"/>
                <w:szCs w:val="20"/>
              </w:rPr>
            </w:pPr>
            <w:r>
              <w:rPr>
                <w:sz w:val="20"/>
                <w:szCs w:val="20"/>
              </w:rPr>
              <w:t>-</w:t>
            </w:r>
          </w:p>
        </w:tc>
        <w:tc>
          <w:tcPr>
            <w:tcW w:w="981" w:type="dxa"/>
          </w:tcPr>
          <w:p w14:paraId="5B1D545F" w14:textId="77777777" w:rsidR="00977CBF" w:rsidRDefault="00977CBF" w:rsidP="00977CBF">
            <w:pPr>
              <w:pStyle w:val="Normal1"/>
              <w:rPr>
                <w:sz w:val="20"/>
                <w:szCs w:val="20"/>
              </w:rPr>
            </w:pPr>
            <w:r>
              <w:rPr>
                <w:sz w:val="20"/>
                <w:szCs w:val="20"/>
              </w:rPr>
              <w:t>11,000</w:t>
            </w:r>
          </w:p>
        </w:tc>
        <w:tc>
          <w:tcPr>
            <w:tcW w:w="1399" w:type="dxa"/>
          </w:tcPr>
          <w:p w14:paraId="0F3AB2C8" w14:textId="77777777" w:rsidR="00977CBF" w:rsidRDefault="00977CBF" w:rsidP="00977CBF">
            <w:pPr>
              <w:pStyle w:val="Normal1"/>
              <w:rPr>
                <w:sz w:val="20"/>
                <w:szCs w:val="20"/>
              </w:rPr>
            </w:pPr>
            <w:r>
              <w:rPr>
                <w:sz w:val="20"/>
                <w:szCs w:val="20"/>
              </w:rPr>
              <w:t>11,000</w:t>
            </w:r>
          </w:p>
        </w:tc>
        <w:tc>
          <w:tcPr>
            <w:tcW w:w="1399" w:type="dxa"/>
          </w:tcPr>
          <w:p w14:paraId="59E95635"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679D07E4" w14:textId="77777777" w:rsidR="00977CBF" w:rsidRDefault="00977CBF" w:rsidP="00977CBF">
            <w:pPr>
              <w:pStyle w:val="Normal1"/>
              <w:rPr>
                <w:sz w:val="20"/>
                <w:szCs w:val="20"/>
              </w:rPr>
            </w:pPr>
            <w:r>
              <w:rPr>
                <w:sz w:val="20"/>
                <w:szCs w:val="20"/>
              </w:rPr>
              <w:t>-</w:t>
            </w:r>
          </w:p>
        </w:tc>
      </w:tr>
      <w:tr w:rsidR="00977CBF" w14:paraId="55C237BA" w14:textId="77777777" w:rsidTr="00561177">
        <w:tc>
          <w:tcPr>
            <w:tcW w:w="1378" w:type="dxa"/>
            <w:tcBorders>
              <w:top w:val="single" w:sz="4" w:space="0" w:color="FFFFFF"/>
              <w:left w:val="single" w:sz="4" w:space="0" w:color="000000"/>
              <w:bottom w:val="single" w:sz="4" w:space="0" w:color="FFFFFF"/>
            </w:tcBorders>
          </w:tcPr>
          <w:p w14:paraId="7C58CA77" w14:textId="77777777" w:rsidR="00977CBF" w:rsidRDefault="00977CBF" w:rsidP="00977CBF">
            <w:pPr>
              <w:pStyle w:val="Normal1"/>
              <w:ind w:left="360"/>
              <w:jc w:val="both"/>
              <w:rPr>
                <w:b/>
                <w:color w:val="0000FF"/>
                <w:sz w:val="20"/>
                <w:szCs w:val="20"/>
              </w:rPr>
            </w:pPr>
          </w:p>
        </w:tc>
        <w:tc>
          <w:tcPr>
            <w:tcW w:w="1478" w:type="dxa"/>
          </w:tcPr>
          <w:p w14:paraId="755C25D2" w14:textId="77777777" w:rsidR="00977CBF" w:rsidRDefault="00F72AFB" w:rsidP="00977CBF">
            <w:pPr>
              <w:pStyle w:val="Normal1"/>
              <w:rPr>
                <w:sz w:val="20"/>
                <w:szCs w:val="20"/>
              </w:rPr>
            </w:pPr>
            <w:r>
              <w:rPr>
                <w:sz w:val="20"/>
                <w:szCs w:val="20"/>
              </w:rPr>
              <w:t>I</w:t>
            </w:r>
            <w:r w:rsidRPr="00F72AFB">
              <w:rPr>
                <w:sz w:val="20"/>
                <w:szCs w:val="20"/>
              </w:rPr>
              <w:t>nternational seminar on Educational and technical-professional</w:t>
            </w:r>
          </w:p>
        </w:tc>
        <w:tc>
          <w:tcPr>
            <w:tcW w:w="1086" w:type="dxa"/>
          </w:tcPr>
          <w:p w14:paraId="6B23ED63" w14:textId="77777777" w:rsidR="00977CBF" w:rsidRDefault="00977CBF" w:rsidP="00977CBF">
            <w:pPr>
              <w:pStyle w:val="Normal1"/>
              <w:rPr>
                <w:sz w:val="20"/>
                <w:szCs w:val="20"/>
              </w:rPr>
            </w:pPr>
            <w:r>
              <w:rPr>
                <w:sz w:val="20"/>
                <w:szCs w:val="20"/>
              </w:rPr>
              <w:t>-</w:t>
            </w:r>
          </w:p>
        </w:tc>
        <w:tc>
          <w:tcPr>
            <w:tcW w:w="839" w:type="dxa"/>
          </w:tcPr>
          <w:p w14:paraId="5C56D1CB" w14:textId="77777777" w:rsidR="00977CBF" w:rsidRDefault="00977CBF" w:rsidP="00977CBF">
            <w:pPr>
              <w:pStyle w:val="Normal1"/>
              <w:rPr>
                <w:sz w:val="20"/>
                <w:szCs w:val="20"/>
              </w:rPr>
            </w:pPr>
            <w:r>
              <w:rPr>
                <w:sz w:val="20"/>
                <w:szCs w:val="20"/>
              </w:rPr>
              <w:t>-</w:t>
            </w:r>
          </w:p>
        </w:tc>
        <w:tc>
          <w:tcPr>
            <w:tcW w:w="981" w:type="dxa"/>
          </w:tcPr>
          <w:p w14:paraId="09BB4911" w14:textId="77777777" w:rsidR="00977CBF" w:rsidRDefault="00977CBF" w:rsidP="00977CBF">
            <w:pPr>
              <w:pStyle w:val="Normal1"/>
              <w:rPr>
                <w:sz w:val="20"/>
                <w:szCs w:val="20"/>
              </w:rPr>
            </w:pPr>
            <w:r>
              <w:rPr>
                <w:sz w:val="20"/>
                <w:szCs w:val="20"/>
              </w:rPr>
              <w:t>10,000</w:t>
            </w:r>
          </w:p>
        </w:tc>
        <w:tc>
          <w:tcPr>
            <w:tcW w:w="1399" w:type="dxa"/>
          </w:tcPr>
          <w:p w14:paraId="70EECF5D" w14:textId="77777777" w:rsidR="00977CBF" w:rsidRDefault="00977CBF" w:rsidP="00977CBF">
            <w:pPr>
              <w:pStyle w:val="Normal1"/>
              <w:rPr>
                <w:sz w:val="20"/>
                <w:szCs w:val="20"/>
              </w:rPr>
            </w:pPr>
            <w:r>
              <w:rPr>
                <w:sz w:val="20"/>
                <w:szCs w:val="20"/>
              </w:rPr>
              <w:t>10,000</w:t>
            </w:r>
          </w:p>
        </w:tc>
        <w:tc>
          <w:tcPr>
            <w:tcW w:w="1399" w:type="dxa"/>
          </w:tcPr>
          <w:p w14:paraId="149619D9"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5D6A656F" w14:textId="77777777" w:rsidR="00977CBF" w:rsidRDefault="00977CBF" w:rsidP="00977CBF">
            <w:pPr>
              <w:pStyle w:val="Normal1"/>
              <w:rPr>
                <w:sz w:val="20"/>
                <w:szCs w:val="20"/>
              </w:rPr>
            </w:pPr>
            <w:r>
              <w:rPr>
                <w:sz w:val="20"/>
                <w:szCs w:val="20"/>
              </w:rPr>
              <w:t>-</w:t>
            </w:r>
          </w:p>
        </w:tc>
      </w:tr>
      <w:tr w:rsidR="00977CBF" w14:paraId="431CF137" w14:textId="77777777" w:rsidTr="00561177">
        <w:tc>
          <w:tcPr>
            <w:tcW w:w="1378" w:type="dxa"/>
            <w:tcBorders>
              <w:top w:val="single" w:sz="4" w:space="0" w:color="FFFFFF"/>
              <w:left w:val="single" w:sz="4" w:space="0" w:color="000000"/>
              <w:bottom w:val="single" w:sz="4" w:space="0" w:color="FFFFFF"/>
            </w:tcBorders>
          </w:tcPr>
          <w:p w14:paraId="16E0C3B3" w14:textId="77777777" w:rsidR="00977CBF" w:rsidRDefault="00977CBF" w:rsidP="00977CBF">
            <w:pPr>
              <w:pStyle w:val="Normal1"/>
              <w:ind w:left="360"/>
              <w:jc w:val="both"/>
              <w:rPr>
                <w:b/>
                <w:color w:val="0000FF"/>
                <w:sz w:val="20"/>
                <w:szCs w:val="20"/>
              </w:rPr>
            </w:pPr>
          </w:p>
        </w:tc>
        <w:tc>
          <w:tcPr>
            <w:tcW w:w="1478" w:type="dxa"/>
          </w:tcPr>
          <w:p w14:paraId="47C0576F" w14:textId="77777777" w:rsidR="00977CBF" w:rsidRDefault="00977CBF" w:rsidP="00977CBF">
            <w:pPr>
              <w:pStyle w:val="Normal1"/>
              <w:rPr>
                <w:sz w:val="20"/>
                <w:szCs w:val="20"/>
              </w:rPr>
            </w:pPr>
            <w:r>
              <w:rPr>
                <w:sz w:val="20"/>
                <w:szCs w:val="20"/>
              </w:rPr>
              <w:t>Presentation of the project to ministers and directors of DPOs</w:t>
            </w:r>
          </w:p>
        </w:tc>
        <w:tc>
          <w:tcPr>
            <w:tcW w:w="1086" w:type="dxa"/>
          </w:tcPr>
          <w:p w14:paraId="38E71A03" w14:textId="77777777" w:rsidR="00977CBF" w:rsidRDefault="00977CBF" w:rsidP="00977CBF">
            <w:pPr>
              <w:pStyle w:val="Normal1"/>
              <w:rPr>
                <w:sz w:val="20"/>
                <w:szCs w:val="20"/>
              </w:rPr>
            </w:pPr>
            <w:r>
              <w:rPr>
                <w:sz w:val="20"/>
                <w:szCs w:val="20"/>
              </w:rPr>
              <w:t>500</w:t>
            </w:r>
          </w:p>
        </w:tc>
        <w:tc>
          <w:tcPr>
            <w:tcW w:w="839" w:type="dxa"/>
          </w:tcPr>
          <w:p w14:paraId="14DDB305" w14:textId="77777777" w:rsidR="00977CBF" w:rsidRDefault="00977CBF" w:rsidP="00977CBF">
            <w:pPr>
              <w:pStyle w:val="Normal1"/>
              <w:rPr>
                <w:sz w:val="20"/>
                <w:szCs w:val="20"/>
              </w:rPr>
            </w:pPr>
            <w:r>
              <w:rPr>
                <w:sz w:val="20"/>
                <w:szCs w:val="20"/>
              </w:rPr>
              <w:t>1</w:t>
            </w:r>
          </w:p>
        </w:tc>
        <w:tc>
          <w:tcPr>
            <w:tcW w:w="981" w:type="dxa"/>
          </w:tcPr>
          <w:p w14:paraId="182976B3" w14:textId="77777777" w:rsidR="00977CBF" w:rsidRDefault="00977CBF" w:rsidP="00977CBF">
            <w:pPr>
              <w:pStyle w:val="Normal1"/>
              <w:rPr>
                <w:sz w:val="20"/>
                <w:szCs w:val="20"/>
              </w:rPr>
            </w:pPr>
            <w:r>
              <w:rPr>
                <w:sz w:val="20"/>
                <w:szCs w:val="20"/>
              </w:rPr>
              <w:t>500</w:t>
            </w:r>
          </w:p>
        </w:tc>
        <w:tc>
          <w:tcPr>
            <w:tcW w:w="1399" w:type="dxa"/>
          </w:tcPr>
          <w:p w14:paraId="09BB6721" w14:textId="77777777" w:rsidR="00977CBF" w:rsidRDefault="00977CBF" w:rsidP="00977CBF">
            <w:pPr>
              <w:pStyle w:val="Normal1"/>
              <w:rPr>
                <w:sz w:val="20"/>
                <w:szCs w:val="20"/>
              </w:rPr>
            </w:pPr>
            <w:r>
              <w:rPr>
                <w:sz w:val="20"/>
                <w:szCs w:val="20"/>
              </w:rPr>
              <w:t>500</w:t>
            </w:r>
          </w:p>
        </w:tc>
        <w:tc>
          <w:tcPr>
            <w:tcW w:w="1399" w:type="dxa"/>
          </w:tcPr>
          <w:p w14:paraId="75701601"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68092D54" w14:textId="77777777" w:rsidR="00977CBF" w:rsidRDefault="00977CBF" w:rsidP="00977CBF">
            <w:pPr>
              <w:pStyle w:val="Normal1"/>
              <w:rPr>
                <w:sz w:val="20"/>
                <w:szCs w:val="20"/>
              </w:rPr>
            </w:pPr>
            <w:r>
              <w:rPr>
                <w:sz w:val="20"/>
                <w:szCs w:val="20"/>
              </w:rPr>
              <w:t>-</w:t>
            </w:r>
          </w:p>
        </w:tc>
      </w:tr>
      <w:tr w:rsidR="00977CBF" w14:paraId="7DA89B19" w14:textId="77777777" w:rsidTr="00561177">
        <w:tc>
          <w:tcPr>
            <w:tcW w:w="1378" w:type="dxa"/>
            <w:tcBorders>
              <w:top w:val="single" w:sz="4" w:space="0" w:color="FFFFFF"/>
              <w:left w:val="single" w:sz="4" w:space="0" w:color="000000"/>
              <w:bottom w:val="single" w:sz="4" w:space="0" w:color="FFFFFF"/>
            </w:tcBorders>
          </w:tcPr>
          <w:p w14:paraId="485EB4EE" w14:textId="77777777" w:rsidR="00977CBF" w:rsidRDefault="00977CBF" w:rsidP="00977CBF">
            <w:pPr>
              <w:pStyle w:val="Normal1"/>
              <w:ind w:left="360"/>
              <w:jc w:val="both"/>
              <w:rPr>
                <w:b/>
                <w:color w:val="0000FF"/>
                <w:sz w:val="20"/>
                <w:szCs w:val="20"/>
              </w:rPr>
            </w:pPr>
          </w:p>
        </w:tc>
        <w:tc>
          <w:tcPr>
            <w:tcW w:w="1478" w:type="dxa"/>
          </w:tcPr>
          <w:p w14:paraId="744FE227" w14:textId="77777777" w:rsidR="00977CBF" w:rsidRDefault="00E4069F" w:rsidP="00977CBF">
            <w:pPr>
              <w:pStyle w:val="Normal1"/>
              <w:rPr>
                <w:sz w:val="20"/>
                <w:szCs w:val="20"/>
              </w:rPr>
            </w:pPr>
            <w:r>
              <w:rPr>
                <w:sz w:val="20"/>
                <w:szCs w:val="20"/>
              </w:rPr>
              <w:t>Project follow-up committee meeting for planning the monitoring and evaluation</w:t>
            </w:r>
          </w:p>
        </w:tc>
        <w:tc>
          <w:tcPr>
            <w:tcW w:w="1086" w:type="dxa"/>
          </w:tcPr>
          <w:p w14:paraId="37A3EE40" w14:textId="77777777" w:rsidR="00977CBF" w:rsidRDefault="00977CBF" w:rsidP="00977CBF">
            <w:pPr>
              <w:pStyle w:val="Normal1"/>
              <w:rPr>
                <w:sz w:val="20"/>
                <w:szCs w:val="20"/>
              </w:rPr>
            </w:pPr>
            <w:r>
              <w:rPr>
                <w:sz w:val="20"/>
                <w:szCs w:val="20"/>
              </w:rPr>
              <w:t>500</w:t>
            </w:r>
          </w:p>
        </w:tc>
        <w:tc>
          <w:tcPr>
            <w:tcW w:w="839" w:type="dxa"/>
          </w:tcPr>
          <w:p w14:paraId="26F7DF4C" w14:textId="77777777" w:rsidR="00977CBF" w:rsidRDefault="00977CBF" w:rsidP="00977CBF">
            <w:pPr>
              <w:pStyle w:val="Normal1"/>
              <w:rPr>
                <w:sz w:val="20"/>
                <w:szCs w:val="20"/>
              </w:rPr>
            </w:pPr>
            <w:r>
              <w:rPr>
                <w:sz w:val="20"/>
                <w:szCs w:val="20"/>
              </w:rPr>
              <w:t>1</w:t>
            </w:r>
          </w:p>
        </w:tc>
        <w:tc>
          <w:tcPr>
            <w:tcW w:w="981" w:type="dxa"/>
          </w:tcPr>
          <w:p w14:paraId="0E3E3C7B" w14:textId="77777777" w:rsidR="00977CBF" w:rsidRDefault="00977CBF" w:rsidP="00977CBF">
            <w:pPr>
              <w:pStyle w:val="Normal1"/>
              <w:rPr>
                <w:sz w:val="20"/>
                <w:szCs w:val="20"/>
              </w:rPr>
            </w:pPr>
            <w:r>
              <w:rPr>
                <w:sz w:val="20"/>
                <w:szCs w:val="20"/>
              </w:rPr>
              <w:t>500</w:t>
            </w:r>
          </w:p>
        </w:tc>
        <w:tc>
          <w:tcPr>
            <w:tcW w:w="1399" w:type="dxa"/>
          </w:tcPr>
          <w:p w14:paraId="04A2F44F" w14:textId="77777777" w:rsidR="00977CBF" w:rsidRDefault="00977CBF" w:rsidP="00977CBF">
            <w:pPr>
              <w:pStyle w:val="Normal1"/>
              <w:rPr>
                <w:sz w:val="20"/>
                <w:szCs w:val="20"/>
              </w:rPr>
            </w:pPr>
            <w:r>
              <w:rPr>
                <w:sz w:val="20"/>
                <w:szCs w:val="20"/>
              </w:rPr>
              <w:t>500</w:t>
            </w:r>
          </w:p>
        </w:tc>
        <w:tc>
          <w:tcPr>
            <w:tcW w:w="1399" w:type="dxa"/>
          </w:tcPr>
          <w:p w14:paraId="7A8321F5"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13BABB1A" w14:textId="77777777" w:rsidR="00977CBF" w:rsidRDefault="00977CBF" w:rsidP="00977CBF">
            <w:pPr>
              <w:pStyle w:val="Normal1"/>
              <w:rPr>
                <w:sz w:val="20"/>
                <w:szCs w:val="20"/>
              </w:rPr>
            </w:pPr>
            <w:r>
              <w:rPr>
                <w:sz w:val="20"/>
                <w:szCs w:val="20"/>
              </w:rPr>
              <w:t>-</w:t>
            </w:r>
          </w:p>
        </w:tc>
      </w:tr>
      <w:tr w:rsidR="00977CBF" w14:paraId="602CA676" w14:textId="77777777" w:rsidTr="00561177">
        <w:tc>
          <w:tcPr>
            <w:tcW w:w="1378" w:type="dxa"/>
            <w:tcBorders>
              <w:top w:val="single" w:sz="4" w:space="0" w:color="FFFFFF"/>
              <w:left w:val="single" w:sz="4" w:space="0" w:color="000000"/>
              <w:bottom w:val="single" w:sz="4" w:space="0" w:color="FFFFFF"/>
            </w:tcBorders>
          </w:tcPr>
          <w:p w14:paraId="4853194C" w14:textId="77777777" w:rsidR="00977CBF" w:rsidRDefault="00977CBF" w:rsidP="00977CBF">
            <w:pPr>
              <w:pStyle w:val="Normal1"/>
              <w:ind w:left="360"/>
              <w:jc w:val="both"/>
              <w:rPr>
                <w:b/>
                <w:color w:val="0000FF"/>
                <w:sz w:val="20"/>
                <w:szCs w:val="20"/>
              </w:rPr>
            </w:pPr>
          </w:p>
        </w:tc>
        <w:tc>
          <w:tcPr>
            <w:tcW w:w="1478" w:type="dxa"/>
          </w:tcPr>
          <w:p w14:paraId="36FE6555" w14:textId="77777777" w:rsidR="00977CBF" w:rsidRDefault="00977CBF" w:rsidP="00977CBF">
            <w:pPr>
              <w:pStyle w:val="Normal1"/>
              <w:rPr>
                <w:sz w:val="20"/>
                <w:szCs w:val="20"/>
              </w:rPr>
            </w:pPr>
            <w:r>
              <w:rPr>
                <w:sz w:val="20"/>
                <w:szCs w:val="20"/>
              </w:rPr>
              <w:t>Meetings for understanding the CRPD and the scope of 2030 Agenda in the disability sector</w:t>
            </w:r>
          </w:p>
        </w:tc>
        <w:tc>
          <w:tcPr>
            <w:tcW w:w="1086" w:type="dxa"/>
          </w:tcPr>
          <w:p w14:paraId="588236DC" w14:textId="77777777" w:rsidR="00977CBF" w:rsidRDefault="00977CBF" w:rsidP="00977CBF">
            <w:pPr>
              <w:pStyle w:val="Normal1"/>
              <w:rPr>
                <w:sz w:val="20"/>
                <w:szCs w:val="20"/>
              </w:rPr>
            </w:pPr>
            <w:r>
              <w:rPr>
                <w:sz w:val="20"/>
                <w:szCs w:val="20"/>
              </w:rPr>
              <w:t>1,000</w:t>
            </w:r>
          </w:p>
        </w:tc>
        <w:tc>
          <w:tcPr>
            <w:tcW w:w="839" w:type="dxa"/>
          </w:tcPr>
          <w:p w14:paraId="167F6C9E" w14:textId="77777777" w:rsidR="00977CBF" w:rsidRDefault="00977CBF" w:rsidP="00977CBF">
            <w:pPr>
              <w:pStyle w:val="Normal1"/>
              <w:rPr>
                <w:sz w:val="20"/>
                <w:szCs w:val="20"/>
              </w:rPr>
            </w:pPr>
            <w:r>
              <w:rPr>
                <w:sz w:val="20"/>
                <w:szCs w:val="20"/>
              </w:rPr>
              <w:t>1</w:t>
            </w:r>
          </w:p>
        </w:tc>
        <w:tc>
          <w:tcPr>
            <w:tcW w:w="981" w:type="dxa"/>
          </w:tcPr>
          <w:p w14:paraId="3176A2F2" w14:textId="77777777" w:rsidR="00977CBF" w:rsidRDefault="00977CBF" w:rsidP="00977CBF">
            <w:pPr>
              <w:pStyle w:val="Normal1"/>
              <w:rPr>
                <w:sz w:val="20"/>
                <w:szCs w:val="20"/>
              </w:rPr>
            </w:pPr>
            <w:r>
              <w:rPr>
                <w:sz w:val="20"/>
                <w:szCs w:val="20"/>
              </w:rPr>
              <w:t>1,000</w:t>
            </w:r>
          </w:p>
        </w:tc>
        <w:tc>
          <w:tcPr>
            <w:tcW w:w="1399" w:type="dxa"/>
          </w:tcPr>
          <w:p w14:paraId="2F55E493" w14:textId="77777777" w:rsidR="00977CBF" w:rsidRDefault="00977CBF" w:rsidP="00977CBF">
            <w:pPr>
              <w:pStyle w:val="Normal1"/>
              <w:rPr>
                <w:sz w:val="20"/>
                <w:szCs w:val="20"/>
              </w:rPr>
            </w:pPr>
            <w:r>
              <w:rPr>
                <w:sz w:val="20"/>
                <w:szCs w:val="20"/>
              </w:rPr>
              <w:t>1,000</w:t>
            </w:r>
          </w:p>
        </w:tc>
        <w:tc>
          <w:tcPr>
            <w:tcW w:w="1399" w:type="dxa"/>
          </w:tcPr>
          <w:p w14:paraId="0D2E99E5"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4FD2AC66" w14:textId="77777777" w:rsidR="00977CBF" w:rsidRDefault="00977CBF" w:rsidP="00977CBF">
            <w:pPr>
              <w:pStyle w:val="Normal1"/>
              <w:rPr>
                <w:sz w:val="20"/>
                <w:szCs w:val="20"/>
              </w:rPr>
            </w:pPr>
            <w:r>
              <w:rPr>
                <w:sz w:val="20"/>
                <w:szCs w:val="20"/>
              </w:rPr>
              <w:t>-</w:t>
            </w:r>
          </w:p>
        </w:tc>
      </w:tr>
      <w:tr w:rsidR="00977CBF" w14:paraId="47DADEB6" w14:textId="77777777" w:rsidTr="00561177">
        <w:tc>
          <w:tcPr>
            <w:tcW w:w="1378" w:type="dxa"/>
            <w:tcBorders>
              <w:top w:val="single" w:sz="4" w:space="0" w:color="FFFFFF"/>
              <w:left w:val="single" w:sz="4" w:space="0" w:color="000000"/>
              <w:bottom w:val="single" w:sz="4" w:space="0" w:color="FFFFFF"/>
            </w:tcBorders>
          </w:tcPr>
          <w:p w14:paraId="2BFADBCE" w14:textId="77777777" w:rsidR="00977CBF" w:rsidRDefault="00977CBF" w:rsidP="00977CBF">
            <w:pPr>
              <w:pStyle w:val="Normal1"/>
              <w:ind w:left="360"/>
              <w:jc w:val="both"/>
              <w:rPr>
                <w:b/>
                <w:color w:val="0000FF"/>
                <w:sz w:val="20"/>
                <w:szCs w:val="20"/>
              </w:rPr>
            </w:pPr>
          </w:p>
        </w:tc>
        <w:tc>
          <w:tcPr>
            <w:tcW w:w="1478" w:type="dxa"/>
          </w:tcPr>
          <w:p w14:paraId="51CF26A1" w14:textId="77777777" w:rsidR="00977CBF" w:rsidRDefault="00E4069F" w:rsidP="00977CBF">
            <w:pPr>
              <w:pStyle w:val="Normal1"/>
              <w:rPr>
                <w:sz w:val="20"/>
                <w:szCs w:val="20"/>
              </w:rPr>
            </w:pPr>
            <w:r>
              <w:rPr>
                <w:sz w:val="20"/>
                <w:szCs w:val="20"/>
              </w:rPr>
              <w:t xml:space="preserve">Independent Living Workshops </w:t>
            </w:r>
          </w:p>
        </w:tc>
        <w:tc>
          <w:tcPr>
            <w:tcW w:w="1086" w:type="dxa"/>
          </w:tcPr>
          <w:p w14:paraId="1309E28E" w14:textId="77777777" w:rsidR="00977CBF" w:rsidRDefault="00E4069F" w:rsidP="00977CBF">
            <w:pPr>
              <w:pStyle w:val="Normal1"/>
              <w:rPr>
                <w:sz w:val="20"/>
                <w:szCs w:val="20"/>
              </w:rPr>
            </w:pPr>
            <w:r>
              <w:rPr>
                <w:sz w:val="20"/>
                <w:szCs w:val="20"/>
              </w:rPr>
              <w:t>-</w:t>
            </w:r>
          </w:p>
        </w:tc>
        <w:tc>
          <w:tcPr>
            <w:tcW w:w="839" w:type="dxa"/>
          </w:tcPr>
          <w:p w14:paraId="7D4522EC" w14:textId="77777777" w:rsidR="00977CBF" w:rsidRDefault="00E4069F" w:rsidP="00977CBF">
            <w:pPr>
              <w:pStyle w:val="Normal1"/>
              <w:rPr>
                <w:sz w:val="20"/>
                <w:szCs w:val="20"/>
              </w:rPr>
            </w:pPr>
            <w:r>
              <w:rPr>
                <w:sz w:val="20"/>
                <w:szCs w:val="20"/>
              </w:rPr>
              <w:t>-</w:t>
            </w:r>
          </w:p>
        </w:tc>
        <w:tc>
          <w:tcPr>
            <w:tcW w:w="981" w:type="dxa"/>
          </w:tcPr>
          <w:p w14:paraId="6059A08F" w14:textId="77777777" w:rsidR="00977CBF" w:rsidRDefault="00977CBF" w:rsidP="00977CBF">
            <w:pPr>
              <w:pStyle w:val="Normal1"/>
              <w:rPr>
                <w:sz w:val="20"/>
                <w:szCs w:val="20"/>
              </w:rPr>
            </w:pPr>
            <w:r>
              <w:rPr>
                <w:sz w:val="20"/>
                <w:szCs w:val="20"/>
              </w:rPr>
              <w:t>63,000</w:t>
            </w:r>
          </w:p>
        </w:tc>
        <w:tc>
          <w:tcPr>
            <w:tcW w:w="1399" w:type="dxa"/>
          </w:tcPr>
          <w:p w14:paraId="69716C48" w14:textId="77777777" w:rsidR="00977CBF" w:rsidRDefault="00977CBF" w:rsidP="00977CBF">
            <w:pPr>
              <w:pStyle w:val="Normal1"/>
              <w:rPr>
                <w:sz w:val="20"/>
                <w:szCs w:val="20"/>
              </w:rPr>
            </w:pPr>
            <w:r>
              <w:rPr>
                <w:sz w:val="20"/>
                <w:szCs w:val="20"/>
              </w:rPr>
              <w:t>63,000</w:t>
            </w:r>
          </w:p>
        </w:tc>
        <w:tc>
          <w:tcPr>
            <w:tcW w:w="1399" w:type="dxa"/>
          </w:tcPr>
          <w:p w14:paraId="3F53FA4C"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13B5FDEB" w14:textId="77777777" w:rsidR="00977CBF" w:rsidRDefault="00977CBF" w:rsidP="00977CBF">
            <w:pPr>
              <w:pStyle w:val="Normal1"/>
              <w:rPr>
                <w:sz w:val="20"/>
                <w:szCs w:val="20"/>
              </w:rPr>
            </w:pPr>
            <w:r>
              <w:rPr>
                <w:sz w:val="20"/>
                <w:szCs w:val="20"/>
              </w:rPr>
              <w:t>-</w:t>
            </w:r>
          </w:p>
        </w:tc>
      </w:tr>
      <w:tr w:rsidR="00977CBF" w14:paraId="4F526E91" w14:textId="77777777" w:rsidTr="00561177">
        <w:tc>
          <w:tcPr>
            <w:tcW w:w="1378" w:type="dxa"/>
            <w:tcBorders>
              <w:top w:val="single" w:sz="4" w:space="0" w:color="FFFFFF"/>
              <w:left w:val="single" w:sz="4" w:space="0" w:color="000000"/>
              <w:bottom w:val="single" w:sz="4" w:space="0" w:color="FFFFFF"/>
            </w:tcBorders>
          </w:tcPr>
          <w:p w14:paraId="329ECAC1" w14:textId="77777777" w:rsidR="00977CBF" w:rsidRDefault="00977CBF" w:rsidP="00977CBF">
            <w:pPr>
              <w:pStyle w:val="Normal1"/>
              <w:ind w:left="360"/>
              <w:jc w:val="both"/>
              <w:rPr>
                <w:b/>
                <w:color w:val="0000FF"/>
                <w:sz w:val="20"/>
                <w:szCs w:val="20"/>
              </w:rPr>
            </w:pPr>
          </w:p>
        </w:tc>
        <w:tc>
          <w:tcPr>
            <w:tcW w:w="1478" w:type="dxa"/>
          </w:tcPr>
          <w:p w14:paraId="10D51167" w14:textId="77777777" w:rsidR="00977CBF" w:rsidRDefault="00977CBF" w:rsidP="00977CBF">
            <w:pPr>
              <w:pStyle w:val="Normal1"/>
              <w:rPr>
                <w:sz w:val="20"/>
                <w:szCs w:val="20"/>
              </w:rPr>
            </w:pPr>
            <w:r>
              <w:rPr>
                <w:sz w:val="20"/>
                <w:szCs w:val="20"/>
              </w:rPr>
              <w:t>Workshops for ratification of the assessment system (inter-sectorial participation)</w:t>
            </w:r>
          </w:p>
        </w:tc>
        <w:tc>
          <w:tcPr>
            <w:tcW w:w="1086" w:type="dxa"/>
          </w:tcPr>
          <w:p w14:paraId="5909543D" w14:textId="77777777" w:rsidR="00977CBF" w:rsidRDefault="00977CBF" w:rsidP="00977CBF">
            <w:pPr>
              <w:pStyle w:val="Normal1"/>
              <w:rPr>
                <w:sz w:val="20"/>
                <w:szCs w:val="20"/>
              </w:rPr>
            </w:pPr>
            <w:r>
              <w:rPr>
                <w:sz w:val="20"/>
                <w:szCs w:val="20"/>
              </w:rPr>
              <w:t>10,400</w:t>
            </w:r>
          </w:p>
        </w:tc>
        <w:tc>
          <w:tcPr>
            <w:tcW w:w="839" w:type="dxa"/>
          </w:tcPr>
          <w:p w14:paraId="55F18E5D" w14:textId="77777777" w:rsidR="00977CBF" w:rsidRDefault="00977CBF" w:rsidP="00977CBF">
            <w:pPr>
              <w:pStyle w:val="Normal1"/>
              <w:rPr>
                <w:sz w:val="20"/>
                <w:szCs w:val="20"/>
              </w:rPr>
            </w:pPr>
            <w:r>
              <w:rPr>
                <w:sz w:val="20"/>
                <w:szCs w:val="20"/>
              </w:rPr>
              <w:t>1</w:t>
            </w:r>
          </w:p>
        </w:tc>
        <w:tc>
          <w:tcPr>
            <w:tcW w:w="981" w:type="dxa"/>
          </w:tcPr>
          <w:p w14:paraId="2EEF5656" w14:textId="77777777" w:rsidR="00977CBF" w:rsidRDefault="00977CBF" w:rsidP="00977CBF">
            <w:pPr>
              <w:pStyle w:val="Normal1"/>
              <w:rPr>
                <w:sz w:val="20"/>
                <w:szCs w:val="20"/>
              </w:rPr>
            </w:pPr>
            <w:r>
              <w:rPr>
                <w:sz w:val="20"/>
                <w:szCs w:val="20"/>
              </w:rPr>
              <w:t>10,400</w:t>
            </w:r>
          </w:p>
        </w:tc>
        <w:tc>
          <w:tcPr>
            <w:tcW w:w="1399" w:type="dxa"/>
          </w:tcPr>
          <w:p w14:paraId="2ECFDED6" w14:textId="77777777" w:rsidR="00977CBF" w:rsidRDefault="00977CBF" w:rsidP="00977CBF">
            <w:pPr>
              <w:pStyle w:val="Normal1"/>
              <w:rPr>
                <w:sz w:val="20"/>
                <w:szCs w:val="20"/>
              </w:rPr>
            </w:pPr>
            <w:r>
              <w:rPr>
                <w:sz w:val="20"/>
                <w:szCs w:val="20"/>
              </w:rPr>
              <w:t>10,400</w:t>
            </w:r>
          </w:p>
        </w:tc>
        <w:tc>
          <w:tcPr>
            <w:tcW w:w="1399" w:type="dxa"/>
          </w:tcPr>
          <w:p w14:paraId="77A4770E"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7B784094" w14:textId="77777777" w:rsidR="00977CBF" w:rsidRDefault="00977CBF" w:rsidP="00977CBF">
            <w:pPr>
              <w:pStyle w:val="Normal1"/>
              <w:rPr>
                <w:sz w:val="20"/>
                <w:szCs w:val="20"/>
              </w:rPr>
            </w:pPr>
            <w:r>
              <w:rPr>
                <w:sz w:val="20"/>
                <w:szCs w:val="20"/>
              </w:rPr>
              <w:t>-</w:t>
            </w:r>
          </w:p>
        </w:tc>
      </w:tr>
      <w:tr w:rsidR="00977CBF" w14:paraId="148B6215" w14:textId="77777777" w:rsidTr="00561177">
        <w:trPr>
          <w:trHeight w:val="540"/>
        </w:trPr>
        <w:tc>
          <w:tcPr>
            <w:tcW w:w="1378" w:type="dxa"/>
            <w:tcBorders>
              <w:top w:val="single" w:sz="4" w:space="0" w:color="000000"/>
              <w:left w:val="single" w:sz="4" w:space="0" w:color="000000"/>
              <w:bottom w:val="single" w:sz="4" w:space="0" w:color="FFFFFF"/>
            </w:tcBorders>
          </w:tcPr>
          <w:p w14:paraId="286893CF" w14:textId="77777777" w:rsidR="00977CBF" w:rsidRDefault="00977CBF" w:rsidP="00977CBF">
            <w:pPr>
              <w:pStyle w:val="Normal1"/>
              <w:rPr>
                <w:b/>
                <w:sz w:val="20"/>
                <w:szCs w:val="20"/>
              </w:rPr>
            </w:pPr>
            <w:r>
              <w:rPr>
                <w:b/>
                <w:sz w:val="20"/>
                <w:szCs w:val="20"/>
              </w:rPr>
              <w:t>Contractual Services</w:t>
            </w:r>
          </w:p>
          <w:p w14:paraId="4EFB2B97" w14:textId="77777777" w:rsidR="00977CBF" w:rsidRDefault="00977CBF" w:rsidP="00977CBF">
            <w:pPr>
              <w:pStyle w:val="Normal1"/>
              <w:jc w:val="both"/>
              <w:rPr>
                <w:b/>
                <w:color w:val="0000FF"/>
                <w:sz w:val="20"/>
                <w:szCs w:val="20"/>
              </w:rPr>
            </w:pPr>
          </w:p>
        </w:tc>
        <w:tc>
          <w:tcPr>
            <w:tcW w:w="1478" w:type="dxa"/>
            <w:tcBorders>
              <w:top w:val="single" w:sz="4" w:space="0" w:color="000000"/>
            </w:tcBorders>
          </w:tcPr>
          <w:p w14:paraId="14C40CF6" w14:textId="77777777" w:rsidR="00977CBF" w:rsidRDefault="00977CBF" w:rsidP="00977CBF">
            <w:pPr>
              <w:pStyle w:val="Normal1"/>
              <w:rPr>
                <w:sz w:val="20"/>
                <w:szCs w:val="20"/>
              </w:rPr>
            </w:pPr>
            <w:r>
              <w:rPr>
                <w:sz w:val="20"/>
                <w:szCs w:val="20"/>
              </w:rPr>
              <w:t>International technical support for training 11 CADs in the inclusive pedagogical model.</w:t>
            </w:r>
          </w:p>
        </w:tc>
        <w:tc>
          <w:tcPr>
            <w:tcW w:w="1086" w:type="dxa"/>
            <w:tcBorders>
              <w:top w:val="single" w:sz="4" w:space="0" w:color="000000"/>
            </w:tcBorders>
          </w:tcPr>
          <w:p w14:paraId="4031E952" w14:textId="77777777" w:rsidR="00977CBF" w:rsidRDefault="00E4069F" w:rsidP="00977CBF">
            <w:pPr>
              <w:pStyle w:val="Normal1"/>
              <w:rPr>
                <w:sz w:val="20"/>
                <w:szCs w:val="20"/>
              </w:rPr>
            </w:pPr>
            <w:r>
              <w:rPr>
                <w:sz w:val="20"/>
                <w:szCs w:val="20"/>
              </w:rPr>
              <w:t>43,000</w:t>
            </w:r>
          </w:p>
        </w:tc>
        <w:tc>
          <w:tcPr>
            <w:tcW w:w="839" w:type="dxa"/>
            <w:tcBorders>
              <w:top w:val="single" w:sz="4" w:space="0" w:color="000000"/>
            </w:tcBorders>
          </w:tcPr>
          <w:p w14:paraId="55D0D238" w14:textId="77777777" w:rsidR="00977CBF" w:rsidRDefault="00E4069F" w:rsidP="00977CBF">
            <w:pPr>
              <w:pStyle w:val="Normal1"/>
              <w:rPr>
                <w:sz w:val="20"/>
                <w:szCs w:val="20"/>
              </w:rPr>
            </w:pPr>
            <w:r>
              <w:rPr>
                <w:sz w:val="20"/>
                <w:szCs w:val="20"/>
              </w:rPr>
              <w:t>1</w:t>
            </w:r>
          </w:p>
        </w:tc>
        <w:tc>
          <w:tcPr>
            <w:tcW w:w="981" w:type="dxa"/>
            <w:tcBorders>
              <w:top w:val="single" w:sz="4" w:space="0" w:color="000000"/>
            </w:tcBorders>
          </w:tcPr>
          <w:p w14:paraId="471D899B" w14:textId="77777777" w:rsidR="00977CBF" w:rsidRDefault="00977CBF" w:rsidP="00977CBF">
            <w:pPr>
              <w:pStyle w:val="Normal1"/>
              <w:rPr>
                <w:sz w:val="20"/>
                <w:szCs w:val="20"/>
              </w:rPr>
            </w:pPr>
            <w:r>
              <w:rPr>
                <w:sz w:val="20"/>
                <w:szCs w:val="20"/>
              </w:rPr>
              <w:t>43,000</w:t>
            </w:r>
          </w:p>
        </w:tc>
        <w:tc>
          <w:tcPr>
            <w:tcW w:w="1399" w:type="dxa"/>
            <w:tcBorders>
              <w:top w:val="single" w:sz="4" w:space="0" w:color="000000"/>
            </w:tcBorders>
          </w:tcPr>
          <w:p w14:paraId="5334E24A" w14:textId="77777777" w:rsidR="00977CBF" w:rsidRDefault="00977CBF" w:rsidP="00977CBF">
            <w:pPr>
              <w:pStyle w:val="Normal1"/>
              <w:rPr>
                <w:sz w:val="20"/>
                <w:szCs w:val="20"/>
              </w:rPr>
            </w:pPr>
            <w:r>
              <w:rPr>
                <w:sz w:val="20"/>
                <w:szCs w:val="20"/>
              </w:rPr>
              <w:t>43,000</w:t>
            </w:r>
          </w:p>
        </w:tc>
        <w:tc>
          <w:tcPr>
            <w:tcW w:w="1399" w:type="dxa"/>
            <w:tcBorders>
              <w:top w:val="single" w:sz="4" w:space="0" w:color="000000"/>
            </w:tcBorders>
          </w:tcPr>
          <w:p w14:paraId="2EDA08B3" w14:textId="77777777" w:rsidR="00977CBF" w:rsidRDefault="00977CBF" w:rsidP="00977CBF">
            <w:pPr>
              <w:pStyle w:val="Normal1"/>
              <w:rPr>
                <w:sz w:val="20"/>
                <w:szCs w:val="20"/>
              </w:rPr>
            </w:pPr>
            <w:r>
              <w:rPr>
                <w:sz w:val="20"/>
                <w:szCs w:val="20"/>
              </w:rPr>
              <w:t>-</w:t>
            </w:r>
          </w:p>
        </w:tc>
        <w:tc>
          <w:tcPr>
            <w:tcW w:w="1310" w:type="dxa"/>
            <w:tcBorders>
              <w:top w:val="single" w:sz="4" w:space="0" w:color="000000"/>
              <w:right w:val="single" w:sz="4" w:space="0" w:color="000000"/>
            </w:tcBorders>
          </w:tcPr>
          <w:p w14:paraId="7D8C905E" w14:textId="77777777" w:rsidR="00977CBF" w:rsidRDefault="00977CBF" w:rsidP="00977CBF">
            <w:pPr>
              <w:pStyle w:val="Normal1"/>
              <w:rPr>
                <w:sz w:val="20"/>
                <w:szCs w:val="20"/>
              </w:rPr>
            </w:pPr>
            <w:r>
              <w:rPr>
                <w:sz w:val="20"/>
                <w:szCs w:val="20"/>
              </w:rPr>
              <w:t>-</w:t>
            </w:r>
          </w:p>
        </w:tc>
      </w:tr>
      <w:tr w:rsidR="00977CBF" w14:paraId="2B8805C5" w14:textId="77777777" w:rsidTr="00561177">
        <w:tc>
          <w:tcPr>
            <w:tcW w:w="1378" w:type="dxa"/>
            <w:tcBorders>
              <w:top w:val="single" w:sz="4" w:space="0" w:color="FFFFFF"/>
              <w:left w:val="single" w:sz="4" w:space="0" w:color="000000"/>
              <w:bottom w:val="single" w:sz="4" w:space="0" w:color="FFFFFF"/>
            </w:tcBorders>
          </w:tcPr>
          <w:p w14:paraId="423E83E4" w14:textId="77777777" w:rsidR="00977CBF" w:rsidRDefault="00977CBF" w:rsidP="00977CBF">
            <w:pPr>
              <w:pStyle w:val="Normal1"/>
              <w:ind w:left="360"/>
              <w:jc w:val="both"/>
              <w:rPr>
                <w:b/>
                <w:color w:val="0000FF"/>
                <w:sz w:val="20"/>
                <w:szCs w:val="20"/>
              </w:rPr>
            </w:pPr>
          </w:p>
        </w:tc>
        <w:tc>
          <w:tcPr>
            <w:tcW w:w="1478" w:type="dxa"/>
          </w:tcPr>
          <w:p w14:paraId="73568782" w14:textId="77777777" w:rsidR="00977CBF" w:rsidRDefault="00977CBF" w:rsidP="00977CBF">
            <w:pPr>
              <w:pStyle w:val="Normal1"/>
              <w:rPr>
                <w:sz w:val="20"/>
                <w:szCs w:val="20"/>
              </w:rPr>
            </w:pPr>
            <w:r>
              <w:rPr>
                <w:sz w:val="20"/>
                <w:szCs w:val="20"/>
              </w:rPr>
              <w:t>National technical support for designing the methodology with key processes and influencing messages geared at ensuring protection and reducing stigma and discrimination against children with disabilities with a gender-based approach.</w:t>
            </w:r>
          </w:p>
        </w:tc>
        <w:tc>
          <w:tcPr>
            <w:tcW w:w="1086" w:type="dxa"/>
          </w:tcPr>
          <w:p w14:paraId="59998395" w14:textId="77777777" w:rsidR="00977CBF" w:rsidRDefault="00E4069F" w:rsidP="00977CBF">
            <w:pPr>
              <w:pStyle w:val="Normal1"/>
              <w:rPr>
                <w:sz w:val="20"/>
                <w:szCs w:val="20"/>
              </w:rPr>
            </w:pPr>
            <w:r>
              <w:rPr>
                <w:sz w:val="20"/>
                <w:szCs w:val="20"/>
              </w:rPr>
              <w:t>10,000</w:t>
            </w:r>
          </w:p>
        </w:tc>
        <w:tc>
          <w:tcPr>
            <w:tcW w:w="839" w:type="dxa"/>
          </w:tcPr>
          <w:p w14:paraId="7159C09F" w14:textId="77777777" w:rsidR="00977CBF" w:rsidRDefault="00E4069F" w:rsidP="00977CBF">
            <w:pPr>
              <w:pStyle w:val="Normal1"/>
              <w:rPr>
                <w:sz w:val="20"/>
                <w:szCs w:val="20"/>
              </w:rPr>
            </w:pPr>
            <w:r>
              <w:rPr>
                <w:sz w:val="20"/>
                <w:szCs w:val="20"/>
              </w:rPr>
              <w:t>1</w:t>
            </w:r>
          </w:p>
        </w:tc>
        <w:tc>
          <w:tcPr>
            <w:tcW w:w="981" w:type="dxa"/>
          </w:tcPr>
          <w:p w14:paraId="1B3F7745" w14:textId="77777777" w:rsidR="00977CBF" w:rsidRDefault="00977CBF" w:rsidP="00977CBF">
            <w:pPr>
              <w:pStyle w:val="Normal1"/>
              <w:rPr>
                <w:sz w:val="20"/>
                <w:szCs w:val="20"/>
              </w:rPr>
            </w:pPr>
            <w:r>
              <w:rPr>
                <w:sz w:val="20"/>
                <w:szCs w:val="20"/>
              </w:rPr>
              <w:t>10,000</w:t>
            </w:r>
          </w:p>
        </w:tc>
        <w:tc>
          <w:tcPr>
            <w:tcW w:w="1399" w:type="dxa"/>
          </w:tcPr>
          <w:p w14:paraId="6CCF4DEF" w14:textId="77777777" w:rsidR="00977CBF" w:rsidRDefault="00977CBF" w:rsidP="00977CBF">
            <w:pPr>
              <w:pStyle w:val="Normal1"/>
              <w:rPr>
                <w:sz w:val="20"/>
                <w:szCs w:val="20"/>
              </w:rPr>
            </w:pPr>
            <w:r>
              <w:rPr>
                <w:sz w:val="20"/>
                <w:szCs w:val="20"/>
              </w:rPr>
              <w:t>10,000</w:t>
            </w:r>
          </w:p>
        </w:tc>
        <w:tc>
          <w:tcPr>
            <w:tcW w:w="1399" w:type="dxa"/>
          </w:tcPr>
          <w:p w14:paraId="67EDA8AE"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236D19EB" w14:textId="77777777" w:rsidR="00977CBF" w:rsidRDefault="00977CBF" w:rsidP="00977CBF">
            <w:pPr>
              <w:pStyle w:val="Normal1"/>
              <w:rPr>
                <w:sz w:val="20"/>
                <w:szCs w:val="20"/>
              </w:rPr>
            </w:pPr>
            <w:r>
              <w:rPr>
                <w:sz w:val="20"/>
                <w:szCs w:val="20"/>
              </w:rPr>
              <w:t>-</w:t>
            </w:r>
          </w:p>
        </w:tc>
      </w:tr>
      <w:tr w:rsidR="00977CBF" w14:paraId="6B925A1E" w14:textId="77777777" w:rsidTr="00561177">
        <w:tc>
          <w:tcPr>
            <w:tcW w:w="1378" w:type="dxa"/>
            <w:tcBorders>
              <w:top w:val="single" w:sz="4" w:space="0" w:color="FFFFFF"/>
              <w:left w:val="single" w:sz="4" w:space="0" w:color="000000"/>
              <w:bottom w:val="single" w:sz="4" w:space="0" w:color="FFFFFF"/>
            </w:tcBorders>
          </w:tcPr>
          <w:p w14:paraId="1C520F4A" w14:textId="77777777" w:rsidR="00977CBF" w:rsidRDefault="00977CBF" w:rsidP="00977CBF">
            <w:pPr>
              <w:pStyle w:val="Normal1"/>
              <w:ind w:left="360"/>
              <w:jc w:val="both"/>
              <w:rPr>
                <w:b/>
                <w:color w:val="0000FF"/>
                <w:sz w:val="20"/>
                <w:szCs w:val="20"/>
              </w:rPr>
            </w:pPr>
          </w:p>
        </w:tc>
        <w:tc>
          <w:tcPr>
            <w:tcW w:w="1478" w:type="dxa"/>
          </w:tcPr>
          <w:p w14:paraId="1321509E" w14:textId="77777777" w:rsidR="00977CBF" w:rsidRDefault="00977CBF" w:rsidP="00977CBF">
            <w:pPr>
              <w:pStyle w:val="Normal1"/>
              <w:rPr>
                <w:sz w:val="20"/>
                <w:szCs w:val="20"/>
              </w:rPr>
            </w:pPr>
            <w:r>
              <w:rPr>
                <w:sz w:val="20"/>
                <w:szCs w:val="20"/>
              </w:rPr>
              <w:t>Con</w:t>
            </w:r>
            <w:r w:rsidR="00130FF6">
              <w:rPr>
                <w:sz w:val="20"/>
                <w:szCs w:val="20"/>
              </w:rPr>
              <w:t>sultancy for the identification</w:t>
            </w:r>
            <w:r>
              <w:rPr>
                <w:sz w:val="20"/>
                <w:szCs w:val="20"/>
              </w:rPr>
              <w:t>of gaps of universal accessibility</w:t>
            </w:r>
          </w:p>
        </w:tc>
        <w:tc>
          <w:tcPr>
            <w:tcW w:w="1086" w:type="dxa"/>
          </w:tcPr>
          <w:p w14:paraId="001E82DC" w14:textId="77777777" w:rsidR="00977CBF" w:rsidRDefault="00977CBF" w:rsidP="00977CBF">
            <w:pPr>
              <w:pStyle w:val="Normal1"/>
              <w:rPr>
                <w:sz w:val="20"/>
                <w:szCs w:val="20"/>
              </w:rPr>
            </w:pPr>
            <w:r>
              <w:rPr>
                <w:sz w:val="20"/>
                <w:szCs w:val="20"/>
              </w:rPr>
              <w:t>8,000</w:t>
            </w:r>
          </w:p>
        </w:tc>
        <w:tc>
          <w:tcPr>
            <w:tcW w:w="839" w:type="dxa"/>
          </w:tcPr>
          <w:p w14:paraId="2D8EF403" w14:textId="77777777" w:rsidR="00977CBF" w:rsidRDefault="00977CBF" w:rsidP="00977CBF">
            <w:pPr>
              <w:pStyle w:val="Normal1"/>
              <w:rPr>
                <w:sz w:val="20"/>
                <w:szCs w:val="20"/>
              </w:rPr>
            </w:pPr>
            <w:r>
              <w:rPr>
                <w:sz w:val="20"/>
                <w:szCs w:val="20"/>
              </w:rPr>
              <w:t>1</w:t>
            </w:r>
          </w:p>
        </w:tc>
        <w:tc>
          <w:tcPr>
            <w:tcW w:w="981" w:type="dxa"/>
          </w:tcPr>
          <w:p w14:paraId="6033D282" w14:textId="77777777" w:rsidR="00977CBF" w:rsidRDefault="00977CBF" w:rsidP="00977CBF">
            <w:pPr>
              <w:pStyle w:val="Normal1"/>
              <w:rPr>
                <w:sz w:val="20"/>
                <w:szCs w:val="20"/>
              </w:rPr>
            </w:pPr>
            <w:r>
              <w:rPr>
                <w:sz w:val="20"/>
                <w:szCs w:val="20"/>
              </w:rPr>
              <w:t>8,000</w:t>
            </w:r>
          </w:p>
        </w:tc>
        <w:tc>
          <w:tcPr>
            <w:tcW w:w="1399" w:type="dxa"/>
          </w:tcPr>
          <w:p w14:paraId="3F1FAF07" w14:textId="77777777" w:rsidR="00977CBF" w:rsidRDefault="00977CBF" w:rsidP="00977CBF">
            <w:pPr>
              <w:pStyle w:val="Normal1"/>
              <w:rPr>
                <w:sz w:val="20"/>
                <w:szCs w:val="20"/>
              </w:rPr>
            </w:pPr>
            <w:r>
              <w:rPr>
                <w:sz w:val="20"/>
                <w:szCs w:val="20"/>
              </w:rPr>
              <w:t>8,000</w:t>
            </w:r>
          </w:p>
        </w:tc>
        <w:tc>
          <w:tcPr>
            <w:tcW w:w="1399" w:type="dxa"/>
          </w:tcPr>
          <w:p w14:paraId="3D8A654D"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015D18F0" w14:textId="77777777" w:rsidR="00977CBF" w:rsidRDefault="00977CBF" w:rsidP="00977CBF">
            <w:pPr>
              <w:pStyle w:val="Normal1"/>
              <w:rPr>
                <w:sz w:val="20"/>
                <w:szCs w:val="20"/>
              </w:rPr>
            </w:pPr>
            <w:r>
              <w:rPr>
                <w:sz w:val="20"/>
                <w:szCs w:val="20"/>
              </w:rPr>
              <w:t>-</w:t>
            </w:r>
          </w:p>
        </w:tc>
      </w:tr>
      <w:tr w:rsidR="00977CBF" w14:paraId="53CED389" w14:textId="77777777" w:rsidTr="00561177">
        <w:tc>
          <w:tcPr>
            <w:tcW w:w="1378" w:type="dxa"/>
            <w:tcBorders>
              <w:top w:val="single" w:sz="4" w:space="0" w:color="FFFFFF"/>
              <w:left w:val="single" w:sz="4" w:space="0" w:color="000000"/>
              <w:bottom w:val="single" w:sz="4" w:space="0" w:color="FFFFFF"/>
            </w:tcBorders>
          </w:tcPr>
          <w:p w14:paraId="6898342C" w14:textId="77777777" w:rsidR="00977CBF" w:rsidRDefault="00977CBF" w:rsidP="00977CBF">
            <w:pPr>
              <w:pStyle w:val="Normal1"/>
              <w:ind w:left="360"/>
              <w:jc w:val="both"/>
              <w:rPr>
                <w:b/>
                <w:color w:val="0000FF"/>
                <w:sz w:val="20"/>
                <w:szCs w:val="20"/>
              </w:rPr>
            </w:pPr>
          </w:p>
        </w:tc>
        <w:tc>
          <w:tcPr>
            <w:tcW w:w="1478" w:type="dxa"/>
          </w:tcPr>
          <w:p w14:paraId="32166A5B" w14:textId="77777777" w:rsidR="00977CBF" w:rsidRDefault="00977CBF" w:rsidP="00977CBF">
            <w:pPr>
              <w:pStyle w:val="Normal1"/>
              <w:rPr>
                <w:sz w:val="20"/>
                <w:szCs w:val="20"/>
              </w:rPr>
            </w:pPr>
            <w:r>
              <w:rPr>
                <w:sz w:val="20"/>
                <w:szCs w:val="20"/>
              </w:rPr>
              <w:t>Consultancy for improving technical and vocational training</w:t>
            </w:r>
          </w:p>
        </w:tc>
        <w:tc>
          <w:tcPr>
            <w:tcW w:w="1086" w:type="dxa"/>
          </w:tcPr>
          <w:p w14:paraId="20FAEDE4" w14:textId="77777777" w:rsidR="00977CBF" w:rsidRDefault="00977CBF" w:rsidP="00977CBF">
            <w:pPr>
              <w:pStyle w:val="Normal1"/>
              <w:rPr>
                <w:sz w:val="20"/>
                <w:szCs w:val="20"/>
              </w:rPr>
            </w:pPr>
            <w:r>
              <w:rPr>
                <w:sz w:val="20"/>
                <w:szCs w:val="20"/>
              </w:rPr>
              <w:t>8,000</w:t>
            </w:r>
          </w:p>
        </w:tc>
        <w:tc>
          <w:tcPr>
            <w:tcW w:w="839" w:type="dxa"/>
          </w:tcPr>
          <w:p w14:paraId="55850C95" w14:textId="77777777" w:rsidR="00977CBF" w:rsidRDefault="00977CBF" w:rsidP="00977CBF">
            <w:pPr>
              <w:pStyle w:val="Normal1"/>
              <w:rPr>
                <w:sz w:val="20"/>
                <w:szCs w:val="20"/>
              </w:rPr>
            </w:pPr>
            <w:r>
              <w:rPr>
                <w:sz w:val="20"/>
                <w:szCs w:val="20"/>
              </w:rPr>
              <w:t>1</w:t>
            </w:r>
          </w:p>
        </w:tc>
        <w:tc>
          <w:tcPr>
            <w:tcW w:w="981" w:type="dxa"/>
          </w:tcPr>
          <w:p w14:paraId="6C409847" w14:textId="77777777" w:rsidR="00977CBF" w:rsidRDefault="00977CBF" w:rsidP="00977CBF">
            <w:pPr>
              <w:pStyle w:val="Normal1"/>
              <w:rPr>
                <w:sz w:val="20"/>
                <w:szCs w:val="20"/>
              </w:rPr>
            </w:pPr>
            <w:r>
              <w:rPr>
                <w:sz w:val="20"/>
                <w:szCs w:val="20"/>
              </w:rPr>
              <w:t>8,000</w:t>
            </w:r>
          </w:p>
        </w:tc>
        <w:tc>
          <w:tcPr>
            <w:tcW w:w="1399" w:type="dxa"/>
          </w:tcPr>
          <w:p w14:paraId="051EC811" w14:textId="77777777" w:rsidR="00977CBF" w:rsidRDefault="00977CBF" w:rsidP="00977CBF">
            <w:pPr>
              <w:pStyle w:val="Normal1"/>
              <w:rPr>
                <w:sz w:val="20"/>
                <w:szCs w:val="20"/>
              </w:rPr>
            </w:pPr>
            <w:r>
              <w:rPr>
                <w:sz w:val="20"/>
                <w:szCs w:val="20"/>
              </w:rPr>
              <w:t>8,000</w:t>
            </w:r>
          </w:p>
        </w:tc>
        <w:tc>
          <w:tcPr>
            <w:tcW w:w="1399" w:type="dxa"/>
          </w:tcPr>
          <w:p w14:paraId="08EDF9CA"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2C94640B" w14:textId="77777777" w:rsidR="00977CBF" w:rsidRDefault="00977CBF" w:rsidP="00977CBF">
            <w:pPr>
              <w:pStyle w:val="Normal1"/>
              <w:rPr>
                <w:sz w:val="20"/>
                <w:szCs w:val="20"/>
              </w:rPr>
            </w:pPr>
            <w:r>
              <w:rPr>
                <w:sz w:val="20"/>
                <w:szCs w:val="20"/>
              </w:rPr>
              <w:t>-</w:t>
            </w:r>
          </w:p>
        </w:tc>
      </w:tr>
      <w:tr w:rsidR="00977CBF" w14:paraId="7925A243" w14:textId="77777777" w:rsidTr="00561177">
        <w:tc>
          <w:tcPr>
            <w:tcW w:w="1378" w:type="dxa"/>
            <w:tcBorders>
              <w:top w:val="single" w:sz="4" w:space="0" w:color="FFFFFF"/>
              <w:left w:val="single" w:sz="4" w:space="0" w:color="000000"/>
              <w:bottom w:val="single" w:sz="4" w:space="0" w:color="FFFFFF"/>
            </w:tcBorders>
          </w:tcPr>
          <w:p w14:paraId="40960AEE" w14:textId="77777777" w:rsidR="00977CBF" w:rsidRDefault="00977CBF" w:rsidP="00977CBF">
            <w:pPr>
              <w:pStyle w:val="Normal1"/>
              <w:ind w:left="360"/>
              <w:jc w:val="both"/>
              <w:rPr>
                <w:b/>
                <w:color w:val="0000FF"/>
                <w:sz w:val="20"/>
                <w:szCs w:val="20"/>
              </w:rPr>
            </w:pPr>
          </w:p>
        </w:tc>
        <w:tc>
          <w:tcPr>
            <w:tcW w:w="1478" w:type="dxa"/>
          </w:tcPr>
          <w:p w14:paraId="572E3655" w14:textId="77777777" w:rsidR="00977CBF" w:rsidRDefault="00977CBF" w:rsidP="00977CBF">
            <w:pPr>
              <w:pStyle w:val="Normal1"/>
              <w:rPr>
                <w:sz w:val="20"/>
                <w:szCs w:val="20"/>
              </w:rPr>
            </w:pPr>
            <w:r>
              <w:rPr>
                <w:sz w:val="20"/>
                <w:szCs w:val="20"/>
              </w:rPr>
              <w:t>Consultancy for producing employment training guides for the Ministry of Labour</w:t>
            </w:r>
          </w:p>
        </w:tc>
        <w:tc>
          <w:tcPr>
            <w:tcW w:w="1086" w:type="dxa"/>
          </w:tcPr>
          <w:p w14:paraId="22E74DF9" w14:textId="77777777" w:rsidR="00977CBF" w:rsidRDefault="00977CBF" w:rsidP="00977CBF">
            <w:pPr>
              <w:pStyle w:val="Normal1"/>
              <w:rPr>
                <w:sz w:val="20"/>
                <w:szCs w:val="20"/>
              </w:rPr>
            </w:pPr>
            <w:r>
              <w:rPr>
                <w:sz w:val="20"/>
                <w:szCs w:val="20"/>
              </w:rPr>
              <w:t>10,000</w:t>
            </w:r>
          </w:p>
        </w:tc>
        <w:tc>
          <w:tcPr>
            <w:tcW w:w="839" w:type="dxa"/>
          </w:tcPr>
          <w:p w14:paraId="1EA6FCEF" w14:textId="77777777" w:rsidR="00977CBF" w:rsidRDefault="00977CBF" w:rsidP="00977CBF">
            <w:pPr>
              <w:pStyle w:val="Normal1"/>
              <w:rPr>
                <w:sz w:val="20"/>
                <w:szCs w:val="20"/>
              </w:rPr>
            </w:pPr>
            <w:r>
              <w:rPr>
                <w:sz w:val="20"/>
                <w:szCs w:val="20"/>
              </w:rPr>
              <w:t>1</w:t>
            </w:r>
          </w:p>
        </w:tc>
        <w:tc>
          <w:tcPr>
            <w:tcW w:w="981" w:type="dxa"/>
          </w:tcPr>
          <w:p w14:paraId="07422E80" w14:textId="77777777" w:rsidR="00977CBF" w:rsidRDefault="00977CBF" w:rsidP="00977CBF">
            <w:pPr>
              <w:pStyle w:val="Normal1"/>
              <w:rPr>
                <w:sz w:val="20"/>
                <w:szCs w:val="20"/>
              </w:rPr>
            </w:pPr>
            <w:r>
              <w:rPr>
                <w:sz w:val="20"/>
                <w:szCs w:val="20"/>
              </w:rPr>
              <w:t>10,000</w:t>
            </w:r>
          </w:p>
        </w:tc>
        <w:tc>
          <w:tcPr>
            <w:tcW w:w="1399" w:type="dxa"/>
          </w:tcPr>
          <w:p w14:paraId="10FE9788" w14:textId="77777777" w:rsidR="00977CBF" w:rsidRDefault="00977CBF" w:rsidP="00977CBF">
            <w:pPr>
              <w:pStyle w:val="Normal1"/>
              <w:rPr>
                <w:sz w:val="20"/>
                <w:szCs w:val="20"/>
              </w:rPr>
            </w:pPr>
            <w:r>
              <w:rPr>
                <w:sz w:val="20"/>
                <w:szCs w:val="20"/>
              </w:rPr>
              <w:t>10,000</w:t>
            </w:r>
          </w:p>
        </w:tc>
        <w:tc>
          <w:tcPr>
            <w:tcW w:w="1399" w:type="dxa"/>
          </w:tcPr>
          <w:p w14:paraId="1207E445"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53CCF6D1" w14:textId="77777777" w:rsidR="00977CBF" w:rsidRDefault="00977CBF" w:rsidP="00977CBF">
            <w:pPr>
              <w:pStyle w:val="Normal1"/>
              <w:rPr>
                <w:sz w:val="20"/>
                <w:szCs w:val="20"/>
              </w:rPr>
            </w:pPr>
            <w:r>
              <w:rPr>
                <w:sz w:val="20"/>
                <w:szCs w:val="20"/>
              </w:rPr>
              <w:t>-</w:t>
            </w:r>
          </w:p>
        </w:tc>
      </w:tr>
      <w:tr w:rsidR="00977CBF" w14:paraId="4DD51EEB" w14:textId="77777777" w:rsidTr="00561177">
        <w:tc>
          <w:tcPr>
            <w:tcW w:w="1378" w:type="dxa"/>
            <w:tcBorders>
              <w:top w:val="single" w:sz="4" w:space="0" w:color="FFFFFF"/>
              <w:left w:val="single" w:sz="4" w:space="0" w:color="000000"/>
              <w:bottom w:val="single" w:sz="4" w:space="0" w:color="FFFFFF"/>
            </w:tcBorders>
          </w:tcPr>
          <w:p w14:paraId="33CEEB96" w14:textId="77777777" w:rsidR="00977CBF" w:rsidRDefault="00977CBF" w:rsidP="00977CBF">
            <w:pPr>
              <w:pStyle w:val="Normal1"/>
              <w:ind w:left="360"/>
              <w:jc w:val="both"/>
              <w:rPr>
                <w:b/>
                <w:color w:val="0000FF"/>
                <w:sz w:val="20"/>
                <w:szCs w:val="20"/>
              </w:rPr>
            </w:pPr>
          </w:p>
        </w:tc>
        <w:tc>
          <w:tcPr>
            <w:tcW w:w="1478" w:type="dxa"/>
          </w:tcPr>
          <w:p w14:paraId="2430AE17" w14:textId="77777777" w:rsidR="00977CBF" w:rsidRDefault="00977CBF" w:rsidP="00977CBF">
            <w:pPr>
              <w:pStyle w:val="Normal1"/>
              <w:rPr>
                <w:sz w:val="20"/>
                <w:szCs w:val="20"/>
              </w:rPr>
            </w:pPr>
            <w:r>
              <w:rPr>
                <w:sz w:val="20"/>
                <w:szCs w:val="20"/>
              </w:rPr>
              <w:t>Consultancy for drawing up a strategy for promoting affirmative action for workplace inclusion in the Ministries of Labour and Public Administration.</w:t>
            </w:r>
          </w:p>
        </w:tc>
        <w:tc>
          <w:tcPr>
            <w:tcW w:w="1086" w:type="dxa"/>
          </w:tcPr>
          <w:p w14:paraId="7A935E9A" w14:textId="77777777" w:rsidR="00977CBF" w:rsidRDefault="00977CBF" w:rsidP="00977CBF">
            <w:pPr>
              <w:pStyle w:val="Normal1"/>
              <w:rPr>
                <w:sz w:val="20"/>
                <w:szCs w:val="20"/>
              </w:rPr>
            </w:pPr>
            <w:r>
              <w:rPr>
                <w:sz w:val="20"/>
                <w:szCs w:val="20"/>
              </w:rPr>
              <w:t>8,000</w:t>
            </w:r>
          </w:p>
        </w:tc>
        <w:tc>
          <w:tcPr>
            <w:tcW w:w="839" w:type="dxa"/>
          </w:tcPr>
          <w:p w14:paraId="02A12745" w14:textId="77777777" w:rsidR="00977CBF" w:rsidRDefault="00977CBF" w:rsidP="00977CBF">
            <w:pPr>
              <w:pStyle w:val="Normal1"/>
              <w:rPr>
                <w:sz w:val="20"/>
                <w:szCs w:val="20"/>
              </w:rPr>
            </w:pPr>
            <w:r>
              <w:rPr>
                <w:sz w:val="20"/>
                <w:szCs w:val="20"/>
              </w:rPr>
              <w:t>1</w:t>
            </w:r>
          </w:p>
        </w:tc>
        <w:tc>
          <w:tcPr>
            <w:tcW w:w="981" w:type="dxa"/>
          </w:tcPr>
          <w:p w14:paraId="7B6C3623" w14:textId="77777777" w:rsidR="00977CBF" w:rsidRDefault="00977CBF" w:rsidP="00977CBF">
            <w:pPr>
              <w:pStyle w:val="Normal1"/>
              <w:rPr>
                <w:sz w:val="20"/>
                <w:szCs w:val="20"/>
              </w:rPr>
            </w:pPr>
            <w:r>
              <w:rPr>
                <w:sz w:val="20"/>
                <w:szCs w:val="20"/>
              </w:rPr>
              <w:t>8,000</w:t>
            </w:r>
          </w:p>
        </w:tc>
        <w:tc>
          <w:tcPr>
            <w:tcW w:w="1399" w:type="dxa"/>
          </w:tcPr>
          <w:p w14:paraId="0165E624" w14:textId="77777777" w:rsidR="00977CBF" w:rsidRDefault="00977CBF" w:rsidP="00977CBF">
            <w:pPr>
              <w:pStyle w:val="Normal1"/>
              <w:rPr>
                <w:sz w:val="20"/>
                <w:szCs w:val="20"/>
              </w:rPr>
            </w:pPr>
            <w:r>
              <w:rPr>
                <w:sz w:val="20"/>
                <w:szCs w:val="20"/>
              </w:rPr>
              <w:t>8,000</w:t>
            </w:r>
          </w:p>
        </w:tc>
        <w:tc>
          <w:tcPr>
            <w:tcW w:w="1399" w:type="dxa"/>
          </w:tcPr>
          <w:p w14:paraId="3D3A9C37"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0C87B91C" w14:textId="77777777" w:rsidR="00977CBF" w:rsidRDefault="00977CBF" w:rsidP="00977CBF">
            <w:pPr>
              <w:pStyle w:val="Normal1"/>
              <w:rPr>
                <w:sz w:val="20"/>
                <w:szCs w:val="20"/>
              </w:rPr>
            </w:pPr>
            <w:r>
              <w:rPr>
                <w:sz w:val="20"/>
                <w:szCs w:val="20"/>
              </w:rPr>
              <w:t>-</w:t>
            </w:r>
          </w:p>
        </w:tc>
      </w:tr>
      <w:tr w:rsidR="00977CBF" w14:paraId="12F7B1BD" w14:textId="77777777" w:rsidTr="00561177">
        <w:tc>
          <w:tcPr>
            <w:tcW w:w="1378" w:type="dxa"/>
            <w:tcBorders>
              <w:top w:val="single" w:sz="4" w:space="0" w:color="FFFFFF"/>
              <w:left w:val="single" w:sz="4" w:space="0" w:color="000000"/>
              <w:bottom w:val="single" w:sz="4" w:space="0" w:color="FFFFFF"/>
            </w:tcBorders>
          </w:tcPr>
          <w:p w14:paraId="040FFC9C" w14:textId="77777777" w:rsidR="00977CBF" w:rsidRDefault="00977CBF" w:rsidP="00977CBF">
            <w:pPr>
              <w:pStyle w:val="Normal1"/>
              <w:ind w:left="360"/>
              <w:jc w:val="both"/>
              <w:rPr>
                <w:b/>
                <w:color w:val="0000FF"/>
                <w:sz w:val="20"/>
                <w:szCs w:val="20"/>
              </w:rPr>
            </w:pPr>
          </w:p>
        </w:tc>
        <w:tc>
          <w:tcPr>
            <w:tcW w:w="1478" w:type="dxa"/>
          </w:tcPr>
          <w:p w14:paraId="745A9AFA" w14:textId="77777777" w:rsidR="00977CBF" w:rsidRDefault="00977CBF" w:rsidP="00977CBF">
            <w:pPr>
              <w:pStyle w:val="Normal1"/>
              <w:rPr>
                <w:sz w:val="20"/>
                <w:szCs w:val="20"/>
              </w:rPr>
            </w:pPr>
            <w:r>
              <w:rPr>
                <w:sz w:val="20"/>
                <w:szCs w:val="20"/>
              </w:rPr>
              <w:t>Final external project evaluation</w:t>
            </w:r>
          </w:p>
        </w:tc>
        <w:tc>
          <w:tcPr>
            <w:tcW w:w="1086" w:type="dxa"/>
          </w:tcPr>
          <w:p w14:paraId="52F84C66" w14:textId="77777777" w:rsidR="00977CBF" w:rsidRDefault="00977CBF" w:rsidP="00977CBF">
            <w:pPr>
              <w:pStyle w:val="Normal1"/>
              <w:rPr>
                <w:sz w:val="20"/>
                <w:szCs w:val="20"/>
              </w:rPr>
            </w:pPr>
            <w:r>
              <w:rPr>
                <w:sz w:val="20"/>
                <w:szCs w:val="20"/>
              </w:rPr>
              <w:t>6,000</w:t>
            </w:r>
          </w:p>
        </w:tc>
        <w:tc>
          <w:tcPr>
            <w:tcW w:w="839" w:type="dxa"/>
          </w:tcPr>
          <w:p w14:paraId="1A97CE55" w14:textId="77777777" w:rsidR="00977CBF" w:rsidRDefault="00977CBF" w:rsidP="00977CBF">
            <w:pPr>
              <w:pStyle w:val="Normal1"/>
              <w:rPr>
                <w:sz w:val="20"/>
                <w:szCs w:val="20"/>
              </w:rPr>
            </w:pPr>
            <w:r>
              <w:rPr>
                <w:sz w:val="20"/>
                <w:szCs w:val="20"/>
              </w:rPr>
              <w:t>1</w:t>
            </w:r>
          </w:p>
        </w:tc>
        <w:tc>
          <w:tcPr>
            <w:tcW w:w="981" w:type="dxa"/>
          </w:tcPr>
          <w:p w14:paraId="4CD34E39" w14:textId="77777777" w:rsidR="00977CBF" w:rsidRDefault="00977CBF" w:rsidP="00977CBF">
            <w:pPr>
              <w:pStyle w:val="Normal1"/>
              <w:rPr>
                <w:sz w:val="20"/>
                <w:szCs w:val="20"/>
              </w:rPr>
            </w:pPr>
            <w:r>
              <w:rPr>
                <w:sz w:val="20"/>
                <w:szCs w:val="20"/>
              </w:rPr>
              <w:t>6,000</w:t>
            </w:r>
          </w:p>
        </w:tc>
        <w:tc>
          <w:tcPr>
            <w:tcW w:w="1399" w:type="dxa"/>
          </w:tcPr>
          <w:p w14:paraId="616CB526" w14:textId="77777777" w:rsidR="00977CBF" w:rsidRDefault="00977CBF" w:rsidP="00977CBF">
            <w:pPr>
              <w:pStyle w:val="Normal1"/>
              <w:rPr>
                <w:sz w:val="20"/>
                <w:szCs w:val="20"/>
              </w:rPr>
            </w:pPr>
            <w:r>
              <w:rPr>
                <w:sz w:val="20"/>
                <w:szCs w:val="20"/>
              </w:rPr>
              <w:t>6,000</w:t>
            </w:r>
          </w:p>
        </w:tc>
        <w:tc>
          <w:tcPr>
            <w:tcW w:w="1399" w:type="dxa"/>
          </w:tcPr>
          <w:p w14:paraId="226E67D8"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009298AC" w14:textId="77777777" w:rsidR="00977CBF" w:rsidRDefault="00977CBF" w:rsidP="00977CBF">
            <w:pPr>
              <w:pStyle w:val="Normal1"/>
              <w:rPr>
                <w:sz w:val="20"/>
                <w:szCs w:val="20"/>
              </w:rPr>
            </w:pPr>
            <w:r>
              <w:rPr>
                <w:sz w:val="20"/>
                <w:szCs w:val="20"/>
              </w:rPr>
              <w:t>-</w:t>
            </w:r>
          </w:p>
        </w:tc>
      </w:tr>
      <w:tr w:rsidR="00977CBF" w14:paraId="7F94B3FB" w14:textId="77777777" w:rsidTr="00561177">
        <w:tc>
          <w:tcPr>
            <w:tcW w:w="1378" w:type="dxa"/>
            <w:tcBorders>
              <w:top w:val="single" w:sz="4" w:space="0" w:color="FFFFFF"/>
              <w:left w:val="single" w:sz="4" w:space="0" w:color="000000"/>
              <w:bottom w:val="single" w:sz="4" w:space="0" w:color="FFFFFF"/>
            </w:tcBorders>
          </w:tcPr>
          <w:p w14:paraId="436A5C6E" w14:textId="77777777" w:rsidR="00977CBF" w:rsidRDefault="00977CBF" w:rsidP="00977CBF">
            <w:pPr>
              <w:pStyle w:val="Normal1"/>
              <w:ind w:left="360"/>
              <w:jc w:val="both"/>
              <w:rPr>
                <w:b/>
                <w:color w:val="0000FF"/>
                <w:sz w:val="20"/>
                <w:szCs w:val="20"/>
              </w:rPr>
            </w:pPr>
          </w:p>
        </w:tc>
        <w:tc>
          <w:tcPr>
            <w:tcW w:w="1478" w:type="dxa"/>
          </w:tcPr>
          <w:p w14:paraId="6268B2DA" w14:textId="77777777" w:rsidR="00977CBF" w:rsidRDefault="00977CBF" w:rsidP="00977CBF">
            <w:pPr>
              <w:pStyle w:val="Normal1"/>
              <w:rPr>
                <w:sz w:val="20"/>
                <w:szCs w:val="20"/>
              </w:rPr>
            </w:pPr>
            <w:r>
              <w:rPr>
                <w:sz w:val="20"/>
                <w:szCs w:val="20"/>
              </w:rPr>
              <w:t>Baseline study on inclusive and quality education, decent and inclusive employment and social participation</w:t>
            </w:r>
          </w:p>
        </w:tc>
        <w:tc>
          <w:tcPr>
            <w:tcW w:w="1086" w:type="dxa"/>
          </w:tcPr>
          <w:p w14:paraId="65A230E8" w14:textId="77777777" w:rsidR="00977CBF" w:rsidRDefault="00977CBF" w:rsidP="00977CBF">
            <w:pPr>
              <w:pStyle w:val="Normal1"/>
              <w:rPr>
                <w:sz w:val="20"/>
                <w:szCs w:val="20"/>
              </w:rPr>
            </w:pPr>
            <w:r>
              <w:rPr>
                <w:sz w:val="20"/>
                <w:szCs w:val="20"/>
              </w:rPr>
              <w:t>4,000</w:t>
            </w:r>
          </w:p>
        </w:tc>
        <w:tc>
          <w:tcPr>
            <w:tcW w:w="839" w:type="dxa"/>
          </w:tcPr>
          <w:p w14:paraId="1A3B1AB6" w14:textId="77777777" w:rsidR="00977CBF" w:rsidRDefault="00977CBF" w:rsidP="00977CBF">
            <w:pPr>
              <w:pStyle w:val="Normal1"/>
              <w:rPr>
                <w:sz w:val="20"/>
                <w:szCs w:val="20"/>
              </w:rPr>
            </w:pPr>
            <w:r>
              <w:rPr>
                <w:sz w:val="20"/>
                <w:szCs w:val="20"/>
              </w:rPr>
              <w:t>1</w:t>
            </w:r>
          </w:p>
        </w:tc>
        <w:tc>
          <w:tcPr>
            <w:tcW w:w="981" w:type="dxa"/>
          </w:tcPr>
          <w:p w14:paraId="687C7734" w14:textId="77777777" w:rsidR="00977CBF" w:rsidRDefault="00977CBF" w:rsidP="00977CBF">
            <w:pPr>
              <w:pStyle w:val="Normal1"/>
              <w:rPr>
                <w:sz w:val="20"/>
                <w:szCs w:val="20"/>
              </w:rPr>
            </w:pPr>
            <w:r>
              <w:rPr>
                <w:sz w:val="20"/>
                <w:szCs w:val="20"/>
              </w:rPr>
              <w:t>4,000</w:t>
            </w:r>
          </w:p>
        </w:tc>
        <w:tc>
          <w:tcPr>
            <w:tcW w:w="1399" w:type="dxa"/>
          </w:tcPr>
          <w:p w14:paraId="09F603D9" w14:textId="77777777" w:rsidR="00977CBF" w:rsidRDefault="00977CBF" w:rsidP="00977CBF">
            <w:pPr>
              <w:pStyle w:val="Normal1"/>
              <w:rPr>
                <w:sz w:val="20"/>
                <w:szCs w:val="20"/>
              </w:rPr>
            </w:pPr>
            <w:r>
              <w:rPr>
                <w:sz w:val="20"/>
                <w:szCs w:val="20"/>
              </w:rPr>
              <w:t>4,000</w:t>
            </w:r>
          </w:p>
        </w:tc>
        <w:tc>
          <w:tcPr>
            <w:tcW w:w="1399" w:type="dxa"/>
          </w:tcPr>
          <w:p w14:paraId="3DFE5C45"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6226A4FF" w14:textId="77777777" w:rsidR="00977CBF" w:rsidRDefault="00977CBF" w:rsidP="00977CBF">
            <w:pPr>
              <w:pStyle w:val="Normal1"/>
              <w:rPr>
                <w:sz w:val="20"/>
                <w:szCs w:val="20"/>
              </w:rPr>
            </w:pPr>
            <w:r>
              <w:rPr>
                <w:sz w:val="20"/>
                <w:szCs w:val="20"/>
              </w:rPr>
              <w:t>-</w:t>
            </w:r>
          </w:p>
        </w:tc>
      </w:tr>
      <w:tr w:rsidR="00977CBF" w14:paraId="0EC55DDD" w14:textId="77777777" w:rsidTr="00561177">
        <w:tc>
          <w:tcPr>
            <w:tcW w:w="1378" w:type="dxa"/>
            <w:tcBorders>
              <w:top w:val="single" w:sz="4" w:space="0" w:color="FFFFFF"/>
              <w:left w:val="single" w:sz="4" w:space="0" w:color="000000"/>
              <w:bottom w:val="single" w:sz="4" w:space="0" w:color="FFFFFF"/>
            </w:tcBorders>
          </w:tcPr>
          <w:p w14:paraId="06C9B33A" w14:textId="77777777" w:rsidR="00977CBF" w:rsidRDefault="00977CBF" w:rsidP="00977CBF">
            <w:pPr>
              <w:pStyle w:val="Normal1"/>
              <w:ind w:left="360"/>
              <w:jc w:val="both"/>
              <w:rPr>
                <w:b/>
                <w:color w:val="0000FF"/>
                <w:sz w:val="20"/>
                <w:szCs w:val="20"/>
              </w:rPr>
            </w:pPr>
          </w:p>
        </w:tc>
        <w:tc>
          <w:tcPr>
            <w:tcW w:w="1478" w:type="dxa"/>
          </w:tcPr>
          <w:p w14:paraId="02ED621C" w14:textId="77777777" w:rsidR="00977CBF" w:rsidRDefault="00977CBF" w:rsidP="00977CBF">
            <w:pPr>
              <w:pStyle w:val="Normal1"/>
              <w:rPr>
                <w:sz w:val="20"/>
                <w:szCs w:val="20"/>
              </w:rPr>
            </w:pPr>
            <w:r>
              <w:rPr>
                <w:sz w:val="20"/>
                <w:szCs w:val="20"/>
              </w:rPr>
              <w:t>Socio-economic and social demographic classification of women with disabilities</w:t>
            </w:r>
          </w:p>
        </w:tc>
        <w:tc>
          <w:tcPr>
            <w:tcW w:w="1086" w:type="dxa"/>
          </w:tcPr>
          <w:p w14:paraId="67D97BD3" w14:textId="77777777" w:rsidR="00977CBF" w:rsidRDefault="00977CBF" w:rsidP="00977CBF">
            <w:pPr>
              <w:pStyle w:val="Normal1"/>
              <w:rPr>
                <w:sz w:val="20"/>
                <w:szCs w:val="20"/>
              </w:rPr>
            </w:pPr>
            <w:r>
              <w:rPr>
                <w:sz w:val="20"/>
                <w:szCs w:val="20"/>
              </w:rPr>
              <w:t>4,000</w:t>
            </w:r>
          </w:p>
        </w:tc>
        <w:tc>
          <w:tcPr>
            <w:tcW w:w="839" w:type="dxa"/>
          </w:tcPr>
          <w:p w14:paraId="1D703B94" w14:textId="77777777" w:rsidR="00977CBF" w:rsidRDefault="00977CBF" w:rsidP="00977CBF">
            <w:pPr>
              <w:pStyle w:val="Normal1"/>
              <w:rPr>
                <w:sz w:val="20"/>
                <w:szCs w:val="20"/>
              </w:rPr>
            </w:pPr>
            <w:r>
              <w:rPr>
                <w:sz w:val="20"/>
                <w:szCs w:val="20"/>
              </w:rPr>
              <w:t>1</w:t>
            </w:r>
          </w:p>
        </w:tc>
        <w:tc>
          <w:tcPr>
            <w:tcW w:w="981" w:type="dxa"/>
          </w:tcPr>
          <w:p w14:paraId="75AA52C9" w14:textId="77777777" w:rsidR="00977CBF" w:rsidRDefault="00977CBF" w:rsidP="00977CBF">
            <w:pPr>
              <w:pStyle w:val="Normal1"/>
              <w:rPr>
                <w:sz w:val="20"/>
                <w:szCs w:val="20"/>
              </w:rPr>
            </w:pPr>
            <w:r>
              <w:rPr>
                <w:sz w:val="20"/>
                <w:szCs w:val="20"/>
              </w:rPr>
              <w:t>4,000</w:t>
            </w:r>
          </w:p>
        </w:tc>
        <w:tc>
          <w:tcPr>
            <w:tcW w:w="1399" w:type="dxa"/>
          </w:tcPr>
          <w:p w14:paraId="2236E7CD" w14:textId="77777777" w:rsidR="00977CBF" w:rsidRDefault="00977CBF" w:rsidP="00977CBF">
            <w:pPr>
              <w:pStyle w:val="Normal1"/>
              <w:rPr>
                <w:sz w:val="20"/>
                <w:szCs w:val="20"/>
              </w:rPr>
            </w:pPr>
            <w:r>
              <w:rPr>
                <w:sz w:val="20"/>
                <w:szCs w:val="20"/>
              </w:rPr>
              <w:t>4,000</w:t>
            </w:r>
          </w:p>
        </w:tc>
        <w:tc>
          <w:tcPr>
            <w:tcW w:w="1399" w:type="dxa"/>
          </w:tcPr>
          <w:p w14:paraId="2F6763D6"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2C6DE3B5" w14:textId="77777777" w:rsidR="00977CBF" w:rsidRDefault="00977CBF" w:rsidP="00977CBF">
            <w:pPr>
              <w:pStyle w:val="Normal1"/>
              <w:rPr>
                <w:sz w:val="20"/>
                <w:szCs w:val="20"/>
              </w:rPr>
            </w:pPr>
            <w:r>
              <w:rPr>
                <w:sz w:val="20"/>
                <w:szCs w:val="20"/>
              </w:rPr>
              <w:t>-</w:t>
            </w:r>
          </w:p>
        </w:tc>
      </w:tr>
      <w:tr w:rsidR="00977CBF" w14:paraId="3A55CFBF" w14:textId="77777777" w:rsidTr="00561177">
        <w:tc>
          <w:tcPr>
            <w:tcW w:w="1378" w:type="dxa"/>
            <w:tcBorders>
              <w:top w:val="single" w:sz="4" w:space="0" w:color="FFFFFF"/>
              <w:left w:val="single" w:sz="4" w:space="0" w:color="000000"/>
              <w:bottom w:val="single" w:sz="4" w:space="0" w:color="FFFFFF"/>
            </w:tcBorders>
          </w:tcPr>
          <w:p w14:paraId="44AEA939" w14:textId="77777777" w:rsidR="00977CBF" w:rsidRDefault="00977CBF" w:rsidP="00977CBF">
            <w:pPr>
              <w:pStyle w:val="Normal1"/>
              <w:ind w:left="360"/>
              <w:jc w:val="both"/>
              <w:rPr>
                <w:b/>
                <w:color w:val="0000FF"/>
                <w:sz w:val="20"/>
                <w:szCs w:val="20"/>
              </w:rPr>
            </w:pPr>
          </w:p>
        </w:tc>
        <w:tc>
          <w:tcPr>
            <w:tcW w:w="1478" w:type="dxa"/>
          </w:tcPr>
          <w:p w14:paraId="7B9EC38C" w14:textId="77777777" w:rsidR="00977CBF" w:rsidRDefault="00977CBF" w:rsidP="00977CBF">
            <w:pPr>
              <w:pStyle w:val="Normal1"/>
              <w:rPr>
                <w:sz w:val="20"/>
                <w:szCs w:val="20"/>
              </w:rPr>
            </w:pPr>
            <w:r>
              <w:rPr>
                <w:sz w:val="20"/>
                <w:szCs w:val="20"/>
              </w:rPr>
              <w:t>Reproduction of materials and promotion for the independent living workshops</w:t>
            </w:r>
          </w:p>
        </w:tc>
        <w:tc>
          <w:tcPr>
            <w:tcW w:w="1086" w:type="dxa"/>
          </w:tcPr>
          <w:p w14:paraId="14C0DBE1" w14:textId="77777777" w:rsidR="00977CBF" w:rsidRDefault="00977CBF" w:rsidP="00977CBF">
            <w:pPr>
              <w:pStyle w:val="Normal1"/>
              <w:rPr>
                <w:sz w:val="20"/>
                <w:szCs w:val="20"/>
              </w:rPr>
            </w:pPr>
            <w:r>
              <w:rPr>
                <w:sz w:val="20"/>
                <w:szCs w:val="20"/>
              </w:rPr>
              <w:t>4,200</w:t>
            </w:r>
          </w:p>
        </w:tc>
        <w:tc>
          <w:tcPr>
            <w:tcW w:w="839" w:type="dxa"/>
          </w:tcPr>
          <w:p w14:paraId="45C010B1" w14:textId="77777777" w:rsidR="00977CBF" w:rsidRDefault="00977CBF" w:rsidP="00977CBF">
            <w:pPr>
              <w:pStyle w:val="Normal1"/>
              <w:rPr>
                <w:sz w:val="20"/>
                <w:szCs w:val="20"/>
              </w:rPr>
            </w:pPr>
            <w:r>
              <w:rPr>
                <w:sz w:val="20"/>
                <w:szCs w:val="20"/>
              </w:rPr>
              <w:t>1</w:t>
            </w:r>
          </w:p>
        </w:tc>
        <w:tc>
          <w:tcPr>
            <w:tcW w:w="981" w:type="dxa"/>
          </w:tcPr>
          <w:p w14:paraId="744D3ADA" w14:textId="77777777" w:rsidR="00977CBF" w:rsidRDefault="00977CBF" w:rsidP="00977CBF">
            <w:pPr>
              <w:pStyle w:val="Normal1"/>
              <w:rPr>
                <w:sz w:val="20"/>
                <w:szCs w:val="20"/>
              </w:rPr>
            </w:pPr>
            <w:r>
              <w:rPr>
                <w:sz w:val="20"/>
                <w:szCs w:val="20"/>
              </w:rPr>
              <w:t>4,200</w:t>
            </w:r>
          </w:p>
        </w:tc>
        <w:tc>
          <w:tcPr>
            <w:tcW w:w="1399" w:type="dxa"/>
          </w:tcPr>
          <w:p w14:paraId="51D7B441" w14:textId="77777777" w:rsidR="00977CBF" w:rsidRDefault="00977CBF" w:rsidP="00977CBF">
            <w:pPr>
              <w:pStyle w:val="Normal1"/>
              <w:rPr>
                <w:sz w:val="20"/>
                <w:szCs w:val="20"/>
              </w:rPr>
            </w:pPr>
            <w:r>
              <w:rPr>
                <w:sz w:val="20"/>
                <w:szCs w:val="20"/>
              </w:rPr>
              <w:t>4,200</w:t>
            </w:r>
          </w:p>
        </w:tc>
        <w:tc>
          <w:tcPr>
            <w:tcW w:w="1399" w:type="dxa"/>
          </w:tcPr>
          <w:p w14:paraId="5B2B1394"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1E9AF92C" w14:textId="77777777" w:rsidR="00977CBF" w:rsidRDefault="00977CBF" w:rsidP="00977CBF">
            <w:pPr>
              <w:pStyle w:val="Normal1"/>
              <w:rPr>
                <w:sz w:val="20"/>
                <w:szCs w:val="20"/>
              </w:rPr>
            </w:pPr>
            <w:r>
              <w:rPr>
                <w:sz w:val="20"/>
                <w:szCs w:val="20"/>
              </w:rPr>
              <w:t>-</w:t>
            </w:r>
          </w:p>
        </w:tc>
      </w:tr>
      <w:tr w:rsidR="00977CBF" w14:paraId="0AFC4F48" w14:textId="77777777" w:rsidTr="00561177">
        <w:tc>
          <w:tcPr>
            <w:tcW w:w="1378" w:type="dxa"/>
            <w:tcBorders>
              <w:top w:val="single" w:sz="4" w:space="0" w:color="FFFFFF"/>
              <w:left w:val="single" w:sz="4" w:space="0" w:color="000000"/>
              <w:bottom w:val="single" w:sz="4" w:space="0" w:color="FFFFFF"/>
            </w:tcBorders>
          </w:tcPr>
          <w:p w14:paraId="090FA629" w14:textId="77777777" w:rsidR="00977CBF" w:rsidRDefault="00977CBF" w:rsidP="00977CBF">
            <w:pPr>
              <w:pStyle w:val="Normal1"/>
              <w:ind w:left="360"/>
              <w:jc w:val="both"/>
              <w:rPr>
                <w:b/>
                <w:color w:val="0000FF"/>
                <w:sz w:val="20"/>
                <w:szCs w:val="20"/>
              </w:rPr>
            </w:pPr>
          </w:p>
        </w:tc>
        <w:tc>
          <w:tcPr>
            <w:tcW w:w="1478" w:type="dxa"/>
          </w:tcPr>
          <w:p w14:paraId="38662938" w14:textId="77777777" w:rsidR="00977CBF" w:rsidRDefault="00977CBF" w:rsidP="00977CBF">
            <w:pPr>
              <w:pStyle w:val="Normal1"/>
              <w:rPr>
                <w:sz w:val="20"/>
                <w:szCs w:val="20"/>
              </w:rPr>
            </w:pPr>
            <w:r>
              <w:rPr>
                <w:sz w:val="20"/>
                <w:szCs w:val="20"/>
              </w:rPr>
              <w:t>Technical support: Consultancy for supporting the process of preparation and ratification of the disability assessment system proposal</w:t>
            </w:r>
          </w:p>
        </w:tc>
        <w:tc>
          <w:tcPr>
            <w:tcW w:w="1086" w:type="dxa"/>
          </w:tcPr>
          <w:p w14:paraId="42481745" w14:textId="77777777" w:rsidR="00977CBF" w:rsidRDefault="00977CBF" w:rsidP="00977CBF">
            <w:pPr>
              <w:pStyle w:val="Normal1"/>
              <w:rPr>
                <w:sz w:val="20"/>
                <w:szCs w:val="20"/>
              </w:rPr>
            </w:pPr>
            <w:r>
              <w:rPr>
                <w:sz w:val="20"/>
                <w:szCs w:val="20"/>
              </w:rPr>
              <w:t>2,500</w:t>
            </w:r>
          </w:p>
        </w:tc>
        <w:tc>
          <w:tcPr>
            <w:tcW w:w="839" w:type="dxa"/>
          </w:tcPr>
          <w:p w14:paraId="62B1884F" w14:textId="77777777" w:rsidR="00977CBF" w:rsidRDefault="00977CBF" w:rsidP="00977CBF">
            <w:pPr>
              <w:pStyle w:val="Normal1"/>
              <w:rPr>
                <w:sz w:val="20"/>
                <w:szCs w:val="20"/>
              </w:rPr>
            </w:pPr>
            <w:r>
              <w:rPr>
                <w:sz w:val="20"/>
                <w:szCs w:val="20"/>
              </w:rPr>
              <w:t>1</w:t>
            </w:r>
          </w:p>
        </w:tc>
        <w:tc>
          <w:tcPr>
            <w:tcW w:w="981" w:type="dxa"/>
          </w:tcPr>
          <w:p w14:paraId="4FC71B29" w14:textId="77777777" w:rsidR="00977CBF" w:rsidRDefault="00977CBF" w:rsidP="00977CBF">
            <w:pPr>
              <w:pStyle w:val="Normal1"/>
              <w:rPr>
                <w:sz w:val="20"/>
                <w:szCs w:val="20"/>
              </w:rPr>
            </w:pPr>
            <w:r>
              <w:rPr>
                <w:sz w:val="20"/>
                <w:szCs w:val="20"/>
              </w:rPr>
              <w:t>2,500</w:t>
            </w:r>
          </w:p>
        </w:tc>
        <w:tc>
          <w:tcPr>
            <w:tcW w:w="1399" w:type="dxa"/>
          </w:tcPr>
          <w:p w14:paraId="2469D348" w14:textId="77777777" w:rsidR="00977CBF" w:rsidRDefault="00977CBF" w:rsidP="00977CBF">
            <w:pPr>
              <w:pStyle w:val="Normal1"/>
              <w:rPr>
                <w:sz w:val="20"/>
                <w:szCs w:val="20"/>
              </w:rPr>
            </w:pPr>
            <w:r>
              <w:rPr>
                <w:sz w:val="20"/>
                <w:szCs w:val="20"/>
              </w:rPr>
              <w:t>2,500</w:t>
            </w:r>
          </w:p>
        </w:tc>
        <w:tc>
          <w:tcPr>
            <w:tcW w:w="1399" w:type="dxa"/>
          </w:tcPr>
          <w:p w14:paraId="0ADB2D67"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15697D65" w14:textId="77777777" w:rsidR="00977CBF" w:rsidRDefault="00977CBF" w:rsidP="00977CBF">
            <w:pPr>
              <w:pStyle w:val="Normal1"/>
              <w:rPr>
                <w:sz w:val="20"/>
                <w:szCs w:val="20"/>
              </w:rPr>
            </w:pPr>
            <w:r>
              <w:rPr>
                <w:sz w:val="20"/>
                <w:szCs w:val="20"/>
              </w:rPr>
              <w:t>-</w:t>
            </w:r>
          </w:p>
        </w:tc>
      </w:tr>
      <w:tr w:rsidR="00977CBF" w14:paraId="024AF18F" w14:textId="77777777" w:rsidTr="00561177">
        <w:tc>
          <w:tcPr>
            <w:tcW w:w="1378" w:type="dxa"/>
            <w:tcBorders>
              <w:top w:val="single" w:sz="4" w:space="0" w:color="FFFFFF"/>
              <w:left w:val="single" w:sz="4" w:space="0" w:color="000000"/>
              <w:bottom w:val="single" w:sz="4" w:space="0" w:color="FFFFFF"/>
            </w:tcBorders>
          </w:tcPr>
          <w:p w14:paraId="0C7A2A7E" w14:textId="77777777" w:rsidR="00977CBF" w:rsidRDefault="00977CBF" w:rsidP="00977CBF">
            <w:pPr>
              <w:pStyle w:val="Normal1"/>
              <w:ind w:left="360"/>
              <w:jc w:val="both"/>
              <w:rPr>
                <w:b/>
                <w:color w:val="0000FF"/>
                <w:sz w:val="20"/>
                <w:szCs w:val="20"/>
              </w:rPr>
            </w:pPr>
          </w:p>
        </w:tc>
        <w:tc>
          <w:tcPr>
            <w:tcW w:w="1478" w:type="dxa"/>
          </w:tcPr>
          <w:p w14:paraId="45BCD321" w14:textId="77777777" w:rsidR="00977CBF" w:rsidRDefault="00977CBF" w:rsidP="00977CBF">
            <w:pPr>
              <w:pStyle w:val="Normal1"/>
              <w:rPr>
                <w:sz w:val="20"/>
                <w:szCs w:val="20"/>
              </w:rPr>
            </w:pPr>
            <w:r>
              <w:rPr>
                <w:sz w:val="20"/>
                <w:szCs w:val="20"/>
              </w:rPr>
              <w:t>Technical support for ICF (International Classification of Functioning, Disability and Health) training - 2 Instructors.</w:t>
            </w:r>
          </w:p>
        </w:tc>
        <w:tc>
          <w:tcPr>
            <w:tcW w:w="1086" w:type="dxa"/>
          </w:tcPr>
          <w:p w14:paraId="77FC6B08" w14:textId="77777777" w:rsidR="00977CBF" w:rsidRDefault="00977CBF" w:rsidP="00977CBF">
            <w:pPr>
              <w:pStyle w:val="Normal1"/>
              <w:rPr>
                <w:sz w:val="20"/>
                <w:szCs w:val="20"/>
              </w:rPr>
            </w:pPr>
            <w:r>
              <w:rPr>
                <w:sz w:val="20"/>
                <w:szCs w:val="20"/>
              </w:rPr>
              <w:t>3,000</w:t>
            </w:r>
          </w:p>
        </w:tc>
        <w:tc>
          <w:tcPr>
            <w:tcW w:w="839" w:type="dxa"/>
          </w:tcPr>
          <w:p w14:paraId="29A30E24" w14:textId="77777777" w:rsidR="00977CBF" w:rsidRDefault="00977CBF" w:rsidP="00977CBF">
            <w:pPr>
              <w:pStyle w:val="Normal1"/>
              <w:rPr>
                <w:sz w:val="20"/>
                <w:szCs w:val="20"/>
              </w:rPr>
            </w:pPr>
            <w:r>
              <w:rPr>
                <w:sz w:val="20"/>
                <w:szCs w:val="20"/>
              </w:rPr>
              <w:t>2</w:t>
            </w:r>
          </w:p>
        </w:tc>
        <w:tc>
          <w:tcPr>
            <w:tcW w:w="981" w:type="dxa"/>
          </w:tcPr>
          <w:p w14:paraId="6F6234D8" w14:textId="77777777" w:rsidR="00977CBF" w:rsidRDefault="00977CBF" w:rsidP="00977CBF">
            <w:pPr>
              <w:pStyle w:val="Normal1"/>
              <w:rPr>
                <w:sz w:val="20"/>
                <w:szCs w:val="20"/>
              </w:rPr>
            </w:pPr>
            <w:r>
              <w:rPr>
                <w:sz w:val="20"/>
                <w:szCs w:val="20"/>
              </w:rPr>
              <w:t>6,000</w:t>
            </w:r>
          </w:p>
        </w:tc>
        <w:tc>
          <w:tcPr>
            <w:tcW w:w="1399" w:type="dxa"/>
          </w:tcPr>
          <w:p w14:paraId="25924465" w14:textId="77777777" w:rsidR="00977CBF" w:rsidRDefault="00977CBF" w:rsidP="00977CBF">
            <w:pPr>
              <w:pStyle w:val="Normal1"/>
              <w:rPr>
                <w:sz w:val="20"/>
                <w:szCs w:val="20"/>
              </w:rPr>
            </w:pPr>
            <w:r>
              <w:rPr>
                <w:sz w:val="20"/>
                <w:szCs w:val="20"/>
              </w:rPr>
              <w:t>6,000</w:t>
            </w:r>
          </w:p>
        </w:tc>
        <w:tc>
          <w:tcPr>
            <w:tcW w:w="1399" w:type="dxa"/>
          </w:tcPr>
          <w:p w14:paraId="7756AF54"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53912525" w14:textId="77777777" w:rsidR="00977CBF" w:rsidRDefault="00977CBF" w:rsidP="00977CBF">
            <w:pPr>
              <w:pStyle w:val="Normal1"/>
              <w:rPr>
                <w:sz w:val="20"/>
                <w:szCs w:val="20"/>
              </w:rPr>
            </w:pPr>
            <w:r>
              <w:rPr>
                <w:sz w:val="20"/>
                <w:szCs w:val="20"/>
              </w:rPr>
              <w:t>-</w:t>
            </w:r>
          </w:p>
        </w:tc>
      </w:tr>
      <w:tr w:rsidR="00977CBF" w14:paraId="0DCB2549" w14:textId="77777777" w:rsidTr="00561177">
        <w:tc>
          <w:tcPr>
            <w:tcW w:w="1378" w:type="dxa"/>
            <w:tcBorders>
              <w:top w:val="single" w:sz="4" w:space="0" w:color="000000"/>
              <w:left w:val="single" w:sz="4" w:space="0" w:color="000000"/>
              <w:bottom w:val="single" w:sz="4" w:space="0" w:color="FFFFFF"/>
            </w:tcBorders>
          </w:tcPr>
          <w:p w14:paraId="1021AAC2" w14:textId="77777777" w:rsidR="00977CBF" w:rsidRDefault="00977CBF" w:rsidP="00977CBF">
            <w:pPr>
              <w:pStyle w:val="Normal1"/>
              <w:rPr>
                <w:b/>
                <w:color w:val="0000FF"/>
                <w:sz w:val="20"/>
                <w:szCs w:val="20"/>
              </w:rPr>
            </w:pPr>
            <w:r>
              <w:rPr>
                <w:b/>
                <w:sz w:val="20"/>
                <w:szCs w:val="20"/>
              </w:rPr>
              <w:t>Equipment vehicles, furniture depreciation</w:t>
            </w:r>
          </w:p>
        </w:tc>
        <w:tc>
          <w:tcPr>
            <w:tcW w:w="1478" w:type="dxa"/>
            <w:tcBorders>
              <w:top w:val="single" w:sz="4" w:space="0" w:color="000000"/>
            </w:tcBorders>
          </w:tcPr>
          <w:p w14:paraId="76A0839B" w14:textId="77777777" w:rsidR="00977CBF" w:rsidRDefault="00977CBF" w:rsidP="00977CBF">
            <w:pPr>
              <w:pStyle w:val="Normal1"/>
              <w:rPr>
                <w:sz w:val="20"/>
                <w:szCs w:val="20"/>
              </w:rPr>
            </w:pPr>
          </w:p>
        </w:tc>
        <w:tc>
          <w:tcPr>
            <w:tcW w:w="1086" w:type="dxa"/>
            <w:tcBorders>
              <w:top w:val="single" w:sz="4" w:space="0" w:color="000000"/>
            </w:tcBorders>
          </w:tcPr>
          <w:p w14:paraId="06E5CBD2" w14:textId="77777777" w:rsidR="00977CBF" w:rsidRDefault="00977CBF" w:rsidP="00977CBF">
            <w:pPr>
              <w:pStyle w:val="Normal1"/>
              <w:rPr>
                <w:sz w:val="20"/>
                <w:szCs w:val="20"/>
              </w:rPr>
            </w:pPr>
            <w:r>
              <w:rPr>
                <w:sz w:val="20"/>
                <w:szCs w:val="20"/>
              </w:rPr>
              <w:t>[…]</w:t>
            </w:r>
          </w:p>
        </w:tc>
        <w:tc>
          <w:tcPr>
            <w:tcW w:w="839" w:type="dxa"/>
            <w:tcBorders>
              <w:top w:val="single" w:sz="4" w:space="0" w:color="000000"/>
            </w:tcBorders>
          </w:tcPr>
          <w:p w14:paraId="38C8EA2B" w14:textId="77777777" w:rsidR="00977CBF" w:rsidRDefault="00977CBF" w:rsidP="00977CBF">
            <w:pPr>
              <w:pStyle w:val="Normal1"/>
              <w:rPr>
                <w:sz w:val="20"/>
                <w:szCs w:val="20"/>
              </w:rPr>
            </w:pPr>
            <w:r>
              <w:rPr>
                <w:sz w:val="20"/>
                <w:szCs w:val="20"/>
              </w:rPr>
              <w:t>[…]</w:t>
            </w:r>
          </w:p>
        </w:tc>
        <w:tc>
          <w:tcPr>
            <w:tcW w:w="981" w:type="dxa"/>
            <w:tcBorders>
              <w:top w:val="single" w:sz="4" w:space="0" w:color="000000"/>
            </w:tcBorders>
          </w:tcPr>
          <w:p w14:paraId="0ECC33EA" w14:textId="77777777" w:rsidR="00977CBF" w:rsidRDefault="00977CBF" w:rsidP="00977CBF">
            <w:pPr>
              <w:pStyle w:val="Normal1"/>
              <w:rPr>
                <w:sz w:val="20"/>
                <w:szCs w:val="20"/>
              </w:rPr>
            </w:pPr>
            <w:r>
              <w:rPr>
                <w:sz w:val="20"/>
                <w:szCs w:val="20"/>
              </w:rPr>
              <w:t>[…]</w:t>
            </w:r>
          </w:p>
        </w:tc>
        <w:tc>
          <w:tcPr>
            <w:tcW w:w="1399" w:type="dxa"/>
            <w:tcBorders>
              <w:top w:val="single" w:sz="4" w:space="0" w:color="000000"/>
            </w:tcBorders>
          </w:tcPr>
          <w:p w14:paraId="4AF045A4" w14:textId="77777777" w:rsidR="00977CBF" w:rsidRDefault="00977CBF" w:rsidP="00977CBF">
            <w:pPr>
              <w:pStyle w:val="Normal1"/>
              <w:rPr>
                <w:sz w:val="20"/>
                <w:szCs w:val="20"/>
              </w:rPr>
            </w:pPr>
            <w:r>
              <w:rPr>
                <w:sz w:val="20"/>
                <w:szCs w:val="20"/>
              </w:rPr>
              <w:t>[…]</w:t>
            </w:r>
          </w:p>
        </w:tc>
        <w:tc>
          <w:tcPr>
            <w:tcW w:w="1399" w:type="dxa"/>
            <w:tcBorders>
              <w:top w:val="single" w:sz="4" w:space="0" w:color="000000"/>
            </w:tcBorders>
          </w:tcPr>
          <w:p w14:paraId="7EAC6FCD" w14:textId="77777777" w:rsidR="00977CBF" w:rsidRDefault="00977CBF" w:rsidP="00977CBF">
            <w:pPr>
              <w:pStyle w:val="Normal1"/>
              <w:rPr>
                <w:sz w:val="20"/>
                <w:szCs w:val="20"/>
              </w:rPr>
            </w:pPr>
            <w:r>
              <w:rPr>
                <w:sz w:val="20"/>
                <w:szCs w:val="20"/>
              </w:rPr>
              <w:t>[…]</w:t>
            </w:r>
          </w:p>
        </w:tc>
        <w:tc>
          <w:tcPr>
            <w:tcW w:w="1310" w:type="dxa"/>
            <w:tcBorders>
              <w:top w:val="single" w:sz="4" w:space="0" w:color="000000"/>
              <w:right w:val="single" w:sz="4" w:space="0" w:color="000000"/>
            </w:tcBorders>
          </w:tcPr>
          <w:p w14:paraId="384A19C3" w14:textId="77777777" w:rsidR="00977CBF" w:rsidRDefault="00977CBF" w:rsidP="00977CBF">
            <w:pPr>
              <w:pStyle w:val="Normal1"/>
              <w:rPr>
                <w:sz w:val="20"/>
                <w:szCs w:val="20"/>
              </w:rPr>
            </w:pPr>
            <w:r>
              <w:rPr>
                <w:sz w:val="20"/>
                <w:szCs w:val="20"/>
              </w:rPr>
              <w:t>[…]</w:t>
            </w:r>
          </w:p>
        </w:tc>
      </w:tr>
      <w:tr w:rsidR="00977CBF" w14:paraId="31A9BF43" w14:textId="77777777" w:rsidTr="00561177">
        <w:tc>
          <w:tcPr>
            <w:tcW w:w="1378" w:type="dxa"/>
            <w:tcBorders>
              <w:top w:val="single" w:sz="4" w:space="0" w:color="FFFFFF"/>
              <w:left w:val="single" w:sz="4" w:space="0" w:color="000000"/>
              <w:bottom w:val="single" w:sz="4" w:space="0" w:color="FFFFFF"/>
            </w:tcBorders>
          </w:tcPr>
          <w:p w14:paraId="45621405" w14:textId="77777777" w:rsidR="00977CBF" w:rsidRDefault="00977CBF" w:rsidP="00977CBF">
            <w:pPr>
              <w:pStyle w:val="Normal1"/>
              <w:ind w:left="360"/>
              <w:jc w:val="both"/>
              <w:rPr>
                <w:b/>
                <w:color w:val="0000FF"/>
                <w:sz w:val="20"/>
                <w:szCs w:val="20"/>
              </w:rPr>
            </w:pPr>
          </w:p>
        </w:tc>
        <w:tc>
          <w:tcPr>
            <w:tcW w:w="1478" w:type="dxa"/>
          </w:tcPr>
          <w:p w14:paraId="5EA6EDFD" w14:textId="77777777" w:rsidR="00977CBF" w:rsidRDefault="00977CBF" w:rsidP="00977CBF">
            <w:pPr>
              <w:pStyle w:val="Normal1"/>
              <w:rPr>
                <w:sz w:val="20"/>
                <w:szCs w:val="20"/>
              </w:rPr>
            </w:pPr>
            <w:r>
              <w:rPr>
                <w:sz w:val="20"/>
                <w:szCs w:val="20"/>
              </w:rPr>
              <w:t>[…]</w:t>
            </w:r>
          </w:p>
        </w:tc>
        <w:tc>
          <w:tcPr>
            <w:tcW w:w="1086" w:type="dxa"/>
          </w:tcPr>
          <w:p w14:paraId="4504EB83" w14:textId="77777777" w:rsidR="00977CBF" w:rsidRDefault="00977CBF" w:rsidP="00977CBF">
            <w:pPr>
              <w:pStyle w:val="Normal1"/>
              <w:rPr>
                <w:sz w:val="20"/>
                <w:szCs w:val="20"/>
              </w:rPr>
            </w:pPr>
            <w:r>
              <w:rPr>
                <w:sz w:val="20"/>
                <w:szCs w:val="20"/>
              </w:rPr>
              <w:t>[…]</w:t>
            </w:r>
          </w:p>
        </w:tc>
        <w:tc>
          <w:tcPr>
            <w:tcW w:w="839" w:type="dxa"/>
          </w:tcPr>
          <w:p w14:paraId="68CBC9F1" w14:textId="77777777" w:rsidR="00977CBF" w:rsidRDefault="00977CBF" w:rsidP="00977CBF">
            <w:pPr>
              <w:pStyle w:val="Normal1"/>
              <w:rPr>
                <w:sz w:val="20"/>
                <w:szCs w:val="20"/>
              </w:rPr>
            </w:pPr>
            <w:r>
              <w:rPr>
                <w:sz w:val="20"/>
                <w:szCs w:val="20"/>
              </w:rPr>
              <w:t>[…]</w:t>
            </w:r>
          </w:p>
        </w:tc>
        <w:tc>
          <w:tcPr>
            <w:tcW w:w="981" w:type="dxa"/>
          </w:tcPr>
          <w:p w14:paraId="6D0F1C15" w14:textId="77777777" w:rsidR="00977CBF" w:rsidRDefault="00977CBF" w:rsidP="00977CBF">
            <w:pPr>
              <w:pStyle w:val="Normal1"/>
              <w:rPr>
                <w:sz w:val="20"/>
                <w:szCs w:val="20"/>
              </w:rPr>
            </w:pPr>
            <w:r>
              <w:rPr>
                <w:sz w:val="20"/>
                <w:szCs w:val="20"/>
              </w:rPr>
              <w:t>[…]</w:t>
            </w:r>
          </w:p>
        </w:tc>
        <w:tc>
          <w:tcPr>
            <w:tcW w:w="1399" w:type="dxa"/>
          </w:tcPr>
          <w:p w14:paraId="77B5434B" w14:textId="77777777" w:rsidR="00977CBF" w:rsidRDefault="00977CBF" w:rsidP="00977CBF">
            <w:pPr>
              <w:pStyle w:val="Normal1"/>
              <w:rPr>
                <w:sz w:val="20"/>
                <w:szCs w:val="20"/>
              </w:rPr>
            </w:pPr>
            <w:r>
              <w:rPr>
                <w:sz w:val="20"/>
                <w:szCs w:val="20"/>
              </w:rPr>
              <w:t>[…]</w:t>
            </w:r>
          </w:p>
        </w:tc>
        <w:tc>
          <w:tcPr>
            <w:tcW w:w="1399" w:type="dxa"/>
          </w:tcPr>
          <w:p w14:paraId="7FE38336"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562DAF45" w14:textId="77777777" w:rsidR="00977CBF" w:rsidRDefault="00977CBF" w:rsidP="00977CBF">
            <w:pPr>
              <w:pStyle w:val="Normal1"/>
              <w:rPr>
                <w:sz w:val="20"/>
                <w:szCs w:val="20"/>
              </w:rPr>
            </w:pPr>
            <w:r>
              <w:rPr>
                <w:sz w:val="20"/>
                <w:szCs w:val="20"/>
              </w:rPr>
              <w:t>[…]</w:t>
            </w:r>
          </w:p>
        </w:tc>
      </w:tr>
      <w:tr w:rsidR="00977CBF" w14:paraId="12B20EDB" w14:textId="77777777" w:rsidTr="00561177">
        <w:tc>
          <w:tcPr>
            <w:tcW w:w="1378" w:type="dxa"/>
            <w:tcBorders>
              <w:top w:val="single" w:sz="4" w:space="0" w:color="FFFFFF"/>
              <w:left w:val="single" w:sz="4" w:space="0" w:color="000000"/>
              <w:bottom w:val="single" w:sz="4" w:space="0" w:color="FFFFFF"/>
            </w:tcBorders>
          </w:tcPr>
          <w:p w14:paraId="581B34F8" w14:textId="77777777" w:rsidR="00977CBF" w:rsidRDefault="00977CBF" w:rsidP="00977CBF">
            <w:pPr>
              <w:pStyle w:val="Normal1"/>
              <w:ind w:left="360"/>
              <w:jc w:val="both"/>
              <w:rPr>
                <w:b/>
                <w:color w:val="0000FF"/>
                <w:sz w:val="20"/>
                <w:szCs w:val="20"/>
              </w:rPr>
            </w:pPr>
          </w:p>
        </w:tc>
        <w:tc>
          <w:tcPr>
            <w:tcW w:w="1478" w:type="dxa"/>
          </w:tcPr>
          <w:p w14:paraId="26CC00D0" w14:textId="77777777" w:rsidR="00977CBF" w:rsidRDefault="00977CBF" w:rsidP="00977CBF">
            <w:pPr>
              <w:pStyle w:val="Normal1"/>
              <w:rPr>
                <w:sz w:val="20"/>
                <w:szCs w:val="20"/>
              </w:rPr>
            </w:pPr>
            <w:r>
              <w:rPr>
                <w:sz w:val="20"/>
                <w:szCs w:val="20"/>
              </w:rPr>
              <w:t>[…]</w:t>
            </w:r>
          </w:p>
        </w:tc>
        <w:tc>
          <w:tcPr>
            <w:tcW w:w="1086" w:type="dxa"/>
          </w:tcPr>
          <w:p w14:paraId="7B47E28E" w14:textId="77777777" w:rsidR="00977CBF" w:rsidRDefault="00977CBF" w:rsidP="00977CBF">
            <w:pPr>
              <w:pStyle w:val="Normal1"/>
              <w:rPr>
                <w:sz w:val="20"/>
                <w:szCs w:val="20"/>
              </w:rPr>
            </w:pPr>
            <w:r>
              <w:rPr>
                <w:sz w:val="20"/>
                <w:szCs w:val="20"/>
              </w:rPr>
              <w:t>[…]</w:t>
            </w:r>
          </w:p>
        </w:tc>
        <w:tc>
          <w:tcPr>
            <w:tcW w:w="839" w:type="dxa"/>
          </w:tcPr>
          <w:p w14:paraId="0FCB6E3B" w14:textId="77777777" w:rsidR="00977CBF" w:rsidRDefault="00977CBF" w:rsidP="00977CBF">
            <w:pPr>
              <w:pStyle w:val="Normal1"/>
              <w:rPr>
                <w:sz w:val="20"/>
                <w:szCs w:val="20"/>
              </w:rPr>
            </w:pPr>
            <w:r>
              <w:rPr>
                <w:sz w:val="20"/>
                <w:szCs w:val="20"/>
              </w:rPr>
              <w:t>[…]</w:t>
            </w:r>
          </w:p>
        </w:tc>
        <w:tc>
          <w:tcPr>
            <w:tcW w:w="981" w:type="dxa"/>
          </w:tcPr>
          <w:p w14:paraId="0A507EAA" w14:textId="77777777" w:rsidR="00977CBF" w:rsidRDefault="00977CBF" w:rsidP="00977CBF">
            <w:pPr>
              <w:pStyle w:val="Normal1"/>
              <w:rPr>
                <w:sz w:val="20"/>
                <w:szCs w:val="20"/>
              </w:rPr>
            </w:pPr>
            <w:r>
              <w:rPr>
                <w:sz w:val="20"/>
                <w:szCs w:val="20"/>
              </w:rPr>
              <w:t>[…]</w:t>
            </w:r>
          </w:p>
        </w:tc>
        <w:tc>
          <w:tcPr>
            <w:tcW w:w="1399" w:type="dxa"/>
          </w:tcPr>
          <w:p w14:paraId="4D180032" w14:textId="77777777" w:rsidR="00977CBF" w:rsidRDefault="00977CBF" w:rsidP="00977CBF">
            <w:pPr>
              <w:pStyle w:val="Normal1"/>
              <w:rPr>
                <w:sz w:val="20"/>
                <w:szCs w:val="20"/>
              </w:rPr>
            </w:pPr>
            <w:r>
              <w:rPr>
                <w:sz w:val="20"/>
                <w:szCs w:val="20"/>
              </w:rPr>
              <w:t>[…]</w:t>
            </w:r>
          </w:p>
        </w:tc>
        <w:tc>
          <w:tcPr>
            <w:tcW w:w="1399" w:type="dxa"/>
          </w:tcPr>
          <w:p w14:paraId="2CCC6019"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378F6212" w14:textId="77777777" w:rsidR="00977CBF" w:rsidRDefault="00977CBF" w:rsidP="00977CBF">
            <w:pPr>
              <w:pStyle w:val="Normal1"/>
              <w:rPr>
                <w:sz w:val="20"/>
                <w:szCs w:val="20"/>
              </w:rPr>
            </w:pPr>
            <w:r>
              <w:rPr>
                <w:sz w:val="20"/>
                <w:szCs w:val="20"/>
              </w:rPr>
              <w:t>[…]</w:t>
            </w:r>
          </w:p>
        </w:tc>
      </w:tr>
      <w:tr w:rsidR="00977CBF" w14:paraId="2236DCC3" w14:textId="77777777" w:rsidTr="00561177">
        <w:tc>
          <w:tcPr>
            <w:tcW w:w="1378" w:type="dxa"/>
            <w:tcBorders>
              <w:top w:val="single" w:sz="4" w:space="0" w:color="000000"/>
              <w:left w:val="single" w:sz="4" w:space="0" w:color="000000"/>
              <w:bottom w:val="single" w:sz="4" w:space="0" w:color="FFFFFF"/>
            </w:tcBorders>
          </w:tcPr>
          <w:p w14:paraId="53F09184" w14:textId="77777777" w:rsidR="00977CBF" w:rsidRDefault="00977CBF" w:rsidP="00977CBF">
            <w:pPr>
              <w:pStyle w:val="Normal1"/>
              <w:rPr>
                <w:b/>
                <w:color w:val="0000FF"/>
                <w:sz w:val="20"/>
                <w:szCs w:val="20"/>
              </w:rPr>
            </w:pPr>
            <w:r>
              <w:rPr>
                <w:b/>
                <w:sz w:val="20"/>
                <w:szCs w:val="20"/>
              </w:rPr>
              <w:t>Travel</w:t>
            </w:r>
          </w:p>
        </w:tc>
        <w:tc>
          <w:tcPr>
            <w:tcW w:w="1478" w:type="dxa"/>
            <w:tcBorders>
              <w:top w:val="single" w:sz="4" w:space="0" w:color="000000"/>
            </w:tcBorders>
          </w:tcPr>
          <w:p w14:paraId="4F0B6A5D" w14:textId="77777777" w:rsidR="00977CBF" w:rsidRDefault="00977CBF" w:rsidP="00977CBF">
            <w:pPr>
              <w:pStyle w:val="Normal1"/>
              <w:rPr>
                <w:sz w:val="20"/>
                <w:szCs w:val="20"/>
              </w:rPr>
            </w:pPr>
            <w:r>
              <w:rPr>
                <w:sz w:val="20"/>
                <w:szCs w:val="20"/>
              </w:rPr>
              <w:t>Accessible transport for the Independent Living workshops</w:t>
            </w:r>
          </w:p>
        </w:tc>
        <w:tc>
          <w:tcPr>
            <w:tcW w:w="1086" w:type="dxa"/>
            <w:tcBorders>
              <w:top w:val="single" w:sz="4" w:space="0" w:color="000000"/>
            </w:tcBorders>
          </w:tcPr>
          <w:p w14:paraId="03FC63D4" w14:textId="77777777" w:rsidR="00977CBF" w:rsidRDefault="00130FF6" w:rsidP="00977CBF">
            <w:pPr>
              <w:pStyle w:val="Normal1"/>
              <w:rPr>
                <w:sz w:val="20"/>
                <w:szCs w:val="20"/>
              </w:rPr>
            </w:pPr>
            <w:r>
              <w:rPr>
                <w:sz w:val="20"/>
                <w:szCs w:val="20"/>
              </w:rPr>
              <w:t>-</w:t>
            </w:r>
          </w:p>
        </w:tc>
        <w:tc>
          <w:tcPr>
            <w:tcW w:w="839" w:type="dxa"/>
            <w:tcBorders>
              <w:top w:val="single" w:sz="4" w:space="0" w:color="000000"/>
            </w:tcBorders>
          </w:tcPr>
          <w:p w14:paraId="048E8107" w14:textId="77777777" w:rsidR="00977CBF" w:rsidRDefault="00130FF6" w:rsidP="00977CBF">
            <w:pPr>
              <w:pStyle w:val="Normal1"/>
              <w:rPr>
                <w:sz w:val="20"/>
                <w:szCs w:val="20"/>
              </w:rPr>
            </w:pPr>
            <w:r>
              <w:rPr>
                <w:sz w:val="20"/>
                <w:szCs w:val="20"/>
              </w:rPr>
              <w:t>-</w:t>
            </w:r>
          </w:p>
        </w:tc>
        <w:tc>
          <w:tcPr>
            <w:tcW w:w="981" w:type="dxa"/>
            <w:tcBorders>
              <w:top w:val="single" w:sz="4" w:space="0" w:color="000000"/>
            </w:tcBorders>
          </w:tcPr>
          <w:p w14:paraId="69F8A82E" w14:textId="77777777" w:rsidR="00977CBF" w:rsidRDefault="00977CBF" w:rsidP="00977CBF">
            <w:pPr>
              <w:pStyle w:val="Normal1"/>
              <w:rPr>
                <w:sz w:val="20"/>
                <w:szCs w:val="20"/>
              </w:rPr>
            </w:pPr>
            <w:r>
              <w:rPr>
                <w:sz w:val="20"/>
                <w:szCs w:val="20"/>
              </w:rPr>
              <w:t>9,000</w:t>
            </w:r>
          </w:p>
        </w:tc>
        <w:tc>
          <w:tcPr>
            <w:tcW w:w="1399" w:type="dxa"/>
            <w:tcBorders>
              <w:top w:val="single" w:sz="4" w:space="0" w:color="000000"/>
            </w:tcBorders>
          </w:tcPr>
          <w:p w14:paraId="0358E739" w14:textId="77777777" w:rsidR="00977CBF" w:rsidRDefault="00977CBF" w:rsidP="00977CBF">
            <w:pPr>
              <w:pStyle w:val="Normal1"/>
              <w:rPr>
                <w:sz w:val="20"/>
                <w:szCs w:val="20"/>
              </w:rPr>
            </w:pPr>
            <w:r>
              <w:rPr>
                <w:sz w:val="20"/>
                <w:szCs w:val="20"/>
              </w:rPr>
              <w:t>9,000</w:t>
            </w:r>
          </w:p>
        </w:tc>
        <w:tc>
          <w:tcPr>
            <w:tcW w:w="1399" w:type="dxa"/>
            <w:tcBorders>
              <w:top w:val="single" w:sz="4" w:space="0" w:color="000000"/>
            </w:tcBorders>
          </w:tcPr>
          <w:p w14:paraId="04AB2883" w14:textId="77777777" w:rsidR="00977CBF" w:rsidRDefault="00977CBF" w:rsidP="00977CBF">
            <w:pPr>
              <w:pStyle w:val="Normal1"/>
              <w:rPr>
                <w:sz w:val="20"/>
                <w:szCs w:val="20"/>
              </w:rPr>
            </w:pPr>
            <w:r>
              <w:rPr>
                <w:sz w:val="20"/>
                <w:szCs w:val="20"/>
              </w:rPr>
              <w:t>-</w:t>
            </w:r>
          </w:p>
        </w:tc>
        <w:tc>
          <w:tcPr>
            <w:tcW w:w="1310" w:type="dxa"/>
            <w:tcBorders>
              <w:top w:val="single" w:sz="4" w:space="0" w:color="000000"/>
              <w:right w:val="single" w:sz="4" w:space="0" w:color="000000"/>
            </w:tcBorders>
          </w:tcPr>
          <w:p w14:paraId="353DE2E9" w14:textId="77777777" w:rsidR="00977CBF" w:rsidRDefault="00977CBF" w:rsidP="00977CBF">
            <w:pPr>
              <w:pStyle w:val="Normal1"/>
              <w:rPr>
                <w:sz w:val="20"/>
                <w:szCs w:val="20"/>
              </w:rPr>
            </w:pPr>
            <w:r>
              <w:rPr>
                <w:sz w:val="20"/>
                <w:szCs w:val="20"/>
              </w:rPr>
              <w:t>-</w:t>
            </w:r>
          </w:p>
        </w:tc>
      </w:tr>
      <w:tr w:rsidR="00977CBF" w14:paraId="469A183C" w14:textId="77777777" w:rsidTr="00561177">
        <w:tc>
          <w:tcPr>
            <w:tcW w:w="1378" w:type="dxa"/>
            <w:tcBorders>
              <w:top w:val="single" w:sz="4" w:space="0" w:color="FFFFFF"/>
              <w:left w:val="single" w:sz="4" w:space="0" w:color="000000"/>
              <w:bottom w:val="single" w:sz="4" w:space="0" w:color="FFFFFF"/>
            </w:tcBorders>
          </w:tcPr>
          <w:p w14:paraId="2DBFEFB2" w14:textId="77777777" w:rsidR="00977CBF" w:rsidRDefault="00977CBF" w:rsidP="00977CBF">
            <w:pPr>
              <w:pStyle w:val="Normal1"/>
              <w:ind w:left="360"/>
              <w:rPr>
                <w:b/>
                <w:color w:val="0000FF"/>
                <w:sz w:val="20"/>
                <w:szCs w:val="20"/>
              </w:rPr>
            </w:pPr>
          </w:p>
        </w:tc>
        <w:tc>
          <w:tcPr>
            <w:tcW w:w="1478" w:type="dxa"/>
          </w:tcPr>
          <w:p w14:paraId="375B44C0" w14:textId="77777777" w:rsidR="00977CBF" w:rsidRDefault="00977CBF" w:rsidP="00977CBF">
            <w:pPr>
              <w:pStyle w:val="Normal1"/>
              <w:rPr>
                <w:sz w:val="20"/>
                <w:szCs w:val="20"/>
              </w:rPr>
            </w:pPr>
            <w:r>
              <w:rPr>
                <w:sz w:val="20"/>
                <w:szCs w:val="20"/>
              </w:rPr>
              <w:t>[…]</w:t>
            </w:r>
          </w:p>
        </w:tc>
        <w:tc>
          <w:tcPr>
            <w:tcW w:w="1086" w:type="dxa"/>
          </w:tcPr>
          <w:p w14:paraId="43693F5C" w14:textId="77777777" w:rsidR="00977CBF" w:rsidRDefault="00977CBF" w:rsidP="00977CBF">
            <w:pPr>
              <w:pStyle w:val="Normal1"/>
              <w:rPr>
                <w:sz w:val="20"/>
                <w:szCs w:val="20"/>
              </w:rPr>
            </w:pPr>
            <w:r>
              <w:rPr>
                <w:sz w:val="20"/>
                <w:szCs w:val="20"/>
              </w:rPr>
              <w:t>[…]</w:t>
            </w:r>
          </w:p>
        </w:tc>
        <w:tc>
          <w:tcPr>
            <w:tcW w:w="839" w:type="dxa"/>
          </w:tcPr>
          <w:p w14:paraId="37B07C72" w14:textId="77777777" w:rsidR="00977CBF" w:rsidRDefault="00977CBF" w:rsidP="00977CBF">
            <w:pPr>
              <w:pStyle w:val="Normal1"/>
              <w:rPr>
                <w:sz w:val="20"/>
                <w:szCs w:val="20"/>
              </w:rPr>
            </w:pPr>
            <w:r>
              <w:rPr>
                <w:sz w:val="20"/>
                <w:szCs w:val="20"/>
              </w:rPr>
              <w:t>[…]</w:t>
            </w:r>
          </w:p>
        </w:tc>
        <w:tc>
          <w:tcPr>
            <w:tcW w:w="981" w:type="dxa"/>
          </w:tcPr>
          <w:p w14:paraId="08A2FAF5" w14:textId="77777777" w:rsidR="00977CBF" w:rsidRDefault="00977CBF" w:rsidP="00977CBF">
            <w:pPr>
              <w:pStyle w:val="Normal1"/>
              <w:rPr>
                <w:sz w:val="20"/>
                <w:szCs w:val="20"/>
              </w:rPr>
            </w:pPr>
            <w:r>
              <w:rPr>
                <w:sz w:val="20"/>
                <w:szCs w:val="20"/>
              </w:rPr>
              <w:t>[…]</w:t>
            </w:r>
          </w:p>
        </w:tc>
        <w:tc>
          <w:tcPr>
            <w:tcW w:w="1399" w:type="dxa"/>
          </w:tcPr>
          <w:p w14:paraId="6F823ECD" w14:textId="77777777" w:rsidR="00977CBF" w:rsidRDefault="00977CBF" w:rsidP="00977CBF">
            <w:pPr>
              <w:pStyle w:val="Normal1"/>
              <w:rPr>
                <w:sz w:val="20"/>
                <w:szCs w:val="20"/>
              </w:rPr>
            </w:pPr>
            <w:r>
              <w:rPr>
                <w:sz w:val="20"/>
                <w:szCs w:val="20"/>
              </w:rPr>
              <w:t>[…]</w:t>
            </w:r>
          </w:p>
        </w:tc>
        <w:tc>
          <w:tcPr>
            <w:tcW w:w="1399" w:type="dxa"/>
          </w:tcPr>
          <w:p w14:paraId="72B02858"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6B08AB22" w14:textId="77777777" w:rsidR="00977CBF" w:rsidRDefault="00977CBF" w:rsidP="00977CBF">
            <w:pPr>
              <w:pStyle w:val="Normal1"/>
              <w:rPr>
                <w:sz w:val="20"/>
                <w:szCs w:val="20"/>
              </w:rPr>
            </w:pPr>
            <w:r>
              <w:rPr>
                <w:sz w:val="20"/>
                <w:szCs w:val="20"/>
              </w:rPr>
              <w:t>[…]</w:t>
            </w:r>
          </w:p>
        </w:tc>
      </w:tr>
      <w:tr w:rsidR="00977CBF" w14:paraId="6F7ACC16" w14:textId="77777777" w:rsidTr="00561177">
        <w:tc>
          <w:tcPr>
            <w:tcW w:w="1378" w:type="dxa"/>
            <w:tcBorders>
              <w:top w:val="single" w:sz="4" w:space="0" w:color="FFFFFF"/>
              <w:left w:val="single" w:sz="4" w:space="0" w:color="000000"/>
              <w:bottom w:val="single" w:sz="4" w:space="0" w:color="FFFFFF"/>
            </w:tcBorders>
          </w:tcPr>
          <w:p w14:paraId="20A08A65" w14:textId="77777777" w:rsidR="00977CBF" w:rsidRDefault="00977CBF" w:rsidP="00977CBF">
            <w:pPr>
              <w:pStyle w:val="Normal1"/>
              <w:ind w:left="360"/>
              <w:rPr>
                <w:b/>
                <w:color w:val="0000FF"/>
                <w:sz w:val="20"/>
                <w:szCs w:val="20"/>
              </w:rPr>
            </w:pPr>
          </w:p>
        </w:tc>
        <w:tc>
          <w:tcPr>
            <w:tcW w:w="1478" w:type="dxa"/>
          </w:tcPr>
          <w:p w14:paraId="49E9FAF0" w14:textId="77777777" w:rsidR="00977CBF" w:rsidRDefault="00977CBF" w:rsidP="00977CBF">
            <w:pPr>
              <w:pStyle w:val="Normal1"/>
              <w:rPr>
                <w:sz w:val="20"/>
                <w:szCs w:val="20"/>
              </w:rPr>
            </w:pPr>
            <w:r>
              <w:rPr>
                <w:sz w:val="20"/>
                <w:szCs w:val="20"/>
              </w:rPr>
              <w:t>[…]</w:t>
            </w:r>
          </w:p>
        </w:tc>
        <w:tc>
          <w:tcPr>
            <w:tcW w:w="1086" w:type="dxa"/>
          </w:tcPr>
          <w:p w14:paraId="304CB682" w14:textId="77777777" w:rsidR="00977CBF" w:rsidRDefault="00977CBF" w:rsidP="00977CBF">
            <w:pPr>
              <w:pStyle w:val="Normal1"/>
              <w:rPr>
                <w:sz w:val="20"/>
                <w:szCs w:val="20"/>
              </w:rPr>
            </w:pPr>
            <w:r>
              <w:rPr>
                <w:sz w:val="20"/>
                <w:szCs w:val="20"/>
              </w:rPr>
              <w:t>[…]</w:t>
            </w:r>
          </w:p>
        </w:tc>
        <w:tc>
          <w:tcPr>
            <w:tcW w:w="839" w:type="dxa"/>
          </w:tcPr>
          <w:p w14:paraId="0A027398" w14:textId="77777777" w:rsidR="00977CBF" w:rsidRDefault="00977CBF" w:rsidP="00977CBF">
            <w:pPr>
              <w:pStyle w:val="Normal1"/>
              <w:rPr>
                <w:sz w:val="20"/>
                <w:szCs w:val="20"/>
              </w:rPr>
            </w:pPr>
            <w:r>
              <w:rPr>
                <w:sz w:val="20"/>
                <w:szCs w:val="20"/>
              </w:rPr>
              <w:t>[…]</w:t>
            </w:r>
          </w:p>
        </w:tc>
        <w:tc>
          <w:tcPr>
            <w:tcW w:w="981" w:type="dxa"/>
          </w:tcPr>
          <w:p w14:paraId="1B1943F2" w14:textId="77777777" w:rsidR="00977CBF" w:rsidRDefault="00977CBF" w:rsidP="00977CBF">
            <w:pPr>
              <w:pStyle w:val="Normal1"/>
              <w:rPr>
                <w:sz w:val="20"/>
                <w:szCs w:val="20"/>
              </w:rPr>
            </w:pPr>
            <w:r>
              <w:rPr>
                <w:sz w:val="20"/>
                <w:szCs w:val="20"/>
              </w:rPr>
              <w:t>[…]</w:t>
            </w:r>
          </w:p>
        </w:tc>
        <w:tc>
          <w:tcPr>
            <w:tcW w:w="1399" w:type="dxa"/>
          </w:tcPr>
          <w:p w14:paraId="33505775" w14:textId="77777777" w:rsidR="00977CBF" w:rsidRDefault="00977CBF" w:rsidP="00977CBF">
            <w:pPr>
              <w:pStyle w:val="Normal1"/>
              <w:rPr>
                <w:sz w:val="20"/>
                <w:szCs w:val="20"/>
              </w:rPr>
            </w:pPr>
            <w:r>
              <w:rPr>
                <w:sz w:val="20"/>
                <w:szCs w:val="20"/>
              </w:rPr>
              <w:t>[…]</w:t>
            </w:r>
          </w:p>
        </w:tc>
        <w:tc>
          <w:tcPr>
            <w:tcW w:w="1399" w:type="dxa"/>
          </w:tcPr>
          <w:p w14:paraId="2C37F45A"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79A5FA28" w14:textId="77777777" w:rsidR="00977CBF" w:rsidRDefault="00977CBF" w:rsidP="00977CBF">
            <w:pPr>
              <w:pStyle w:val="Normal1"/>
              <w:rPr>
                <w:sz w:val="20"/>
                <w:szCs w:val="20"/>
              </w:rPr>
            </w:pPr>
            <w:r>
              <w:rPr>
                <w:sz w:val="20"/>
                <w:szCs w:val="20"/>
              </w:rPr>
              <w:t>[…]</w:t>
            </w:r>
          </w:p>
        </w:tc>
      </w:tr>
      <w:tr w:rsidR="00977CBF" w14:paraId="2838154B" w14:textId="77777777" w:rsidTr="00561177">
        <w:tc>
          <w:tcPr>
            <w:tcW w:w="1378" w:type="dxa"/>
            <w:tcBorders>
              <w:top w:val="single" w:sz="4" w:space="0" w:color="FFFFFF"/>
              <w:left w:val="single" w:sz="4" w:space="0" w:color="000000"/>
            </w:tcBorders>
          </w:tcPr>
          <w:p w14:paraId="54F45610" w14:textId="77777777" w:rsidR="00977CBF" w:rsidRDefault="00977CBF" w:rsidP="00977CBF">
            <w:pPr>
              <w:pStyle w:val="Normal1"/>
              <w:ind w:left="360"/>
              <w:rPr>
                <w:b/>
                <w:color w:val="0000FF"/>
                <w:sz w:val="20"/>
                <w:szCs w:val="20"/>
              </w:rPr>
            </w:pPr>
          </w:p>
        </w:tc>
        <w:tc>
          <w:tcPr>
            <w:tcW w:w="1478" w:type="dxa"/>
          </w:tcPr>
          <w:p w14:paraId="3C967735" w14:textId="77777777" w:rsidR="00977CBF" w:rsidRDefault="00977CBF" w:rsidP="00977CBF">
            <w:pPr>
              <w:pStyle w:val="Normal1"/>
              <w:rPr>
                <w:sz w:val="20"/>
                <w:szCs w:val="20"/>
              </w:rPr>
            </w:pPr>
            <w:r>
              <w:rPr>
                <w:sz w:val="20"/>
                <w:szCs w:val="20"/>
              </w:rPr>
              <w:t>[…]</w:t>
            </w:r>
          </w:p>
        </w:tc>
        <w:tc>
          <w:tcPr>
            <w:tcW w:w="1086" w:type="dxa"/>
          </w:tcPr>
          <w:p w14:paraId="73680C76" w14:textId="77777777" w:rsidR="00977CBF" w:rsidRDefault="00977CBF" w:rsidP="00977CBF">
            <w:pPr>
              <w:pStyle w:val="Normal1"/>
              <w:rPr>
                <w:sz w:val="20"/>
                <w:szCs w:val="20"/>
              </w:rPr>
            </w:pPr>
            <w:r>
              <w:rPr>
                <w:sz w:val="20"/>
                <w:szCs w:val="20"/>
              </w:rPr>
              <w:t>[…]</w:t>
            </w:r>
          </w:p>
        </w:tc>
        <w:tc>
          <w:tcPr>
            <w:tcW w:w="839" w:type="dxa"/>
          </w:tcPr>
          <w:p w14:paraId="79B2ED65" w14:textId="77777777" w:rsidR="00977CBF" w:rsidRDefault="00977CBF" w:rsidP="00977CBF">
            <w:pPr>
              <w:pStyle w:val="Normal1"/>
              <w:rPr>
                <w:sz w:val="20"/>
                <w:szCs w:val="20"/>
              </w:rPr>
            </w:pPr>
            <w:r>
              <w:rPr>
                <w:sz w:val="20"/>
                <w:szCs w:val="20"/>
              </w:rPr>
              <w:t>[…]</w:t>
            </w:r>
          </w:p>
        </w:tc>
        <w:tc>
          <w:tcPr>
            <w:tcW w:w="981" w:type="dxa"/>
          </w:tcPr>
          <w:p w14:paraId="604A367F" w14:textId="77777777" w:rsidR="00977CBF" w:rsidRDefault="00977CBF" w:rsidP="00977CBF">
            <w:pPr>
              <w:pStyle w:val="Normal1"/>
              <w:rPr>
                <w:sz w:val="20"/>
                <w:szCs w:val="20"/>
              </w:rPr>
            </w:pPr>
            <w:r>
              <w:rPr>
                <w:sz w:val="20"/>
                <w:szCs w:val="20"/>
              </w:rPr>
              <w:t>[…]</w:t>
            </w:r>
          </w:p>
        </w:tc>
        <w:tc>
          <w:tcPr>
            <w:tcW w:w="1399" w:type="dxa"/>
          </w:tcPr>
          <w:p w14:paraId="1A199B41" w14:textId="77777777" w:rsidR="00977CBF" w:rsidRDefault="00977CBF" w:rsidP="00977CBF">
            <w:pPr>
              <w:pStyle w:val="Normal1"/>
              <w:rPr>
                <w:sz w:val="20"/>
                <w:szCs w:val="20"/>
              </w:rPr>
            </w:pPr>
            <w:r>
              <w:rPr>
                <w:sz w:val="20"/>
                <w:szCs w:val="20"/>
              </w:rPr>
              <w:t>[…]</w:t>
            </w:r>
          </w:p>
        </w:tc>
        <w:tc>
          <w:tcPr>
            <w:tcW w:w="1399" w:type="dxa"/>
          </w:tcPr>
          <w:p w14:paraId="6365BC6A"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50FA2A5D" w14:textId="77777777" w:rsidR="00977CBF" w:rsidRDefault="00977CBF" w:rsidP="00977CBF">
            <w:pPr>
              <w:pStyle w:val="Normal1"/>
              <w:rPr>
                <w:sz w:val="20"/>
                <w:szCs w:val="20"/>
              </w:rPr>
            </w:pPr>
            <w:r>
              <w:rPr>
                <w:sz w:val="20"/>
                <w:szCs w:val="20"/>
              </w:rPr>
              <w:t>[…]</w:t>
            </w:r>
          </w:p>
        </w:tc>
      </w:tr>
      <w:tr w:rsidR="00977CBF" w14:paraId="02050B22" w14:textId="77777777" w:rsidTr="00561177">
        <w:tc>
          <w:tcPr>
            <w:tcW w:w="1378" w:type="dxa"/>
            <w:tcBorders>
              <w:top w:val="single" w:sz="4" w:space="0" w:color="000000"/>
              <w:left w:val="single" w:sz="4" w:space="0" w:color="000000"/>
              <w:bottom w:val="single" w:sz="4" w:space="0" w:color="FFFFFF"/>
            </w:tcBorders>
          </w:tcPr>
          <w:p w14:paraId="0A959A1E" w14:textId="77777777" w:rsidR="00977CBF" w:rsidRDefault="00977CBF" w:rsidP="00977CBF">
            <w:pPr>
              <w:pStyle w:val="Normal1"/>
              <w:rPr>
                <w:b/>
                <w:color w:val="0000FF"/>
                <w:sz w:val="20"/>
                <w:szCs w:val="20"/>
              </w:rPr>
            </w:pPr>
            <w:r>
              <w:rPr>
                <w:b/>
                <w:sz w:val="20"/>
                <w:szCs w:val="20"/>
              </w:rPr>
              <w:t>Transfers and grants</w:t>
            </w:r>
          </w:p>
        </w:tc>
        <w:tc>
          <w:tcPr>
            <w:tcW w:w="1478" w:type="dxa"/>
            <w:tcBorders>
              <w:top w:val="single" w:sz="4" w:space="0" w:color="000000"/>
            </w:tcBorders>
          </w:tcPr>
          <w:p w14:paraId="28462965" w14:textId="77777777" w:rsidR="00977CBF" w:rsidRDefault="00977CBF" w:rsidP="00977CBF">
            <w:pPr>
              <w:pStyle w:val="Normal1"/>
              <w:rPr>
                <w:sz w:val="20"/>
                <w:szCs w:val="20"/>
              </w:rPr>
            </w:pPr>
            <w:r>
              <w:rPr>
                <w:sz w:val="20"/>
                <w:szCs w:val="20"/>
              </w:rPr>
              <w:t>Training in the inclusive pedagogical model for teachers in 30 pilot schools (MINERD)</w:t>
            </w:r>
          </w:p>
        </w:tc>
        <w:tc>
          <w:tcPr>
            <w:tcW w:w="1086" w:type="dxa"/>
            <w:tcBorders>
              <w:top w:val="single" w:sz="4" w:space="0" w:color="000000"/>
            </w:tcBorders>
          </w:tcPr>
          <w:p w14:paraId="26AEDFE2" w14:textId="77777777" w:rsidR="00977CBF" w:rsidRDefault="00977CBF" w:rsidP="00977CBF">
            <w:pPr>
              <w:pStyle w:val="Normal1"/>
              <w:rPr>
                <w:sz w:val="20"/>
                <w:szCs w:val="20"/>
              </w:rPr>
            </w:pPr>
            <w:r>
              <w:rPr>
                <w:sz w:val="20"/>
                <w:szCs w:val="20"/>
              </w:rPr>
              <w:t>-</w:t>
            </w:r>
          </w:p>
        </w:tc>
        <w:tc>
          <w:tcPr>
            <w:tcW w:w="839" w:type="dxa"/>
            <w:tcBorders>
              <w:top w:val="single" w:sz="4" w:space="0" w:color="000000"/>
            </w:tcBorders>
          </w:tcPr>
          <w:p w14:paraId="1DCFB2ED" w14:textId="77777777" w:rsidR="00977CBF" w:rsidRDefault="00977CBF" w:rsidP="00977CBF">
            <w:pPr>
              <w:pStyle w:val="Normal1"/>
              <w:rPr>
                <w:sz w:val="20"/>
                <w:szCs w:val="20"/>
              </w:rPr>
            </w:pPr>
            <w:r>
              <w:rPr>
                <w:sz w:val="20"/>
                <w:szCs w:val="20"/>
              </w:rPr>
              <w:t>-</w:t>
            </w:r>
          </w:p>
        </w:tc>
        <w:tc>
          <w:tcPr>
            <w:tcW w:w="981" w:type="dxa"/>
            <w:tcBorders>
              <w:top w:val="single" w:sz="4" w:space="0" w:color="000000"/>
            </w:tcBorders>
          </w:tcPr>
          <w:p w14:paraId="440FEF10" w14:textId="77777777" w:rsidR="00977CBF" w:rsidRDefault="00977CBF" w:rsidP="00977CBF">
            <w:pPr>
              <w:pStyle w:val="Normal1"/>
              <w:rPr>
                <w:sz w:val="20"/>
                <w:szCs w:val="20"/>
              </w:rPr>
            </w:pPr>
            <w:r>
              <w:rPr>
                <w:sz w:val="20"/>
                <w:szCs w:val="20"/>
              </w:rPr>
              <w:t>20,000</w:t>
            </w:r>
          </w:p>
        </w:tc>
        <w:tc>
          <w:tcPr>
            <w:tcW w:w="1399" w:type="dxa"/>
            <w:tcBorders>
              <w:top w:val="single" w:sz="4" w:space="0" w:color="000000"/>
            </w:tcBorders>
          </w:tcPr>
          <w:p w14:paraId="3252FECC" w14:textId="77777777" w:rsidR="00977CBF" w:rsidRDefault="00977CBF" w:rsidP="00977CBF">
            <w:pPr>
              <w:pStyle w:val="Normal1"/>
              <w:rPr>
                <w:sz w:val="20"/>
                <w:szCs w:val="20"/>
              </w:rPr>
            </w:pPr>
            <w:r>
              <w:rPr>
                <w:sz w:val="20"/>
                <w:szCs w:val="20"/>
              </w:rPr>
              <w:t>20,000</w:t>
            </w:r>
          </w:p>
        </w:tc>
        <w:tc>
          <w:tcPr>
            <w:tcW w:w="1399" w:type="dxa"/>
            <w:tcBorders>
              <w:top w:val="single" w:sz="4" w:space="0" w:color="000000"/>
            </w:tcBorders>
          </w:tcPr>
          <w:p w14:paraId="3505A49D" w14:textId="77777777" w:rsidR="00977CBF" w:rsidRDefault="00977CBF" w:rsidP="00977CBF">
            <w:pPr>
              <w:pStyle w:val="Normal1"/>
              <w:rPr>
                <w:sz w:val="20"/>
                <w:szCs w:val="20"/>
              </w:rPr>
            </w:pPr>
            <w:r>
              <w:rPr>
                <w:sz w:val="20"/>
                <w:szCs w:val="20"/>
              </w:rPr>
              <w:t>-</w:t>
            </w:r>
          </w:p>
        </w:tc>
        <w:tc>
          <w:tcPr>
            <w:tcW w:w="1310" w:type="dxa"/>
            <w:tcBorders>
              <w:top w:val="single" w:sz="4" w:space="0" w:color="000000"/>
              <w:right w:val="single" w:sz="4" w:space="0" w:color="000000"/>
            </w:tcBorders>
          </w:tcPr>
          <w:p w14:paraId="3488DFF8" w14:textId="77777777" w:rsidR="00977CBF" w:rsidRDefault="00977CBF" w:rsidP="00977CBF">
            <w:pPr>
              <w:pStyle w:val="Normal1"/>
              <w:rPr>
                <w:sz w:val="20"/>
                <w:szCs w:val="20"/>
              </w:rPr>
            </w:pPr>
            <w:r>
              <w:rPr>
                <w:sz w:val="20"/>
                <w:szCs w:val="20"/>
              </w:rPr>
              <w:t>-</w:t>
            </w:r>
          </w:p>
        </w:tc>
      </w:tr>
      <w:tr w:rsidR="00977CBF" w14:paraId="113DE32A" w14:textId="77777777" w:rsidTr="00561177">
        <w:tc>
          <w:tcPr>
            <w:tcW w:w="1378" w:type="dxa"/>
            <w:tcBorders>
              <w:top w:val="single" w:sz="4" w:space="0" w:color="FFFFFF"/>
              <w:left w:val="single" w:sz="4" w:space="0" w:color="000000"/>
              <w:bottom w:val="single" w:sz="4" w:space="0" w:color="FFFFFF"/>
            </w:tcBorders>
          </w:tcPr>
          <w:p w14:paraId="1688C942" w14:textId="77777777" w:rsidR="00977CBF" w:rsidRDefault="00977CBF" w:rsidP="00977CBF">
            <w:pPr>
              <w:pStyle w:val="Normal1"/>
              <w:ind w:left="360"/>
              <w:jc w:val="both"/>
              <w:rPr>
                <w:b/>
                <w:color w:val="0000FF"/>
                <w:sz w:val="20"/>
                <w:szCs w:val="20"/>
              </w:rPr>
            </w:pPr>
          </w:p>
        </w:tc>
        <w:tc>
          <w:tcPr>
            <w:tcW w:w="1478" w:type="dxa"/>
          </w:tcPr>
          <w:p w14:paraId="189D9B69" w14:textId="77777777" w:rsidR="00977CBF" w:rsidRDefault="00977CBF" w:rsidP="00977CBF">
            <w:pPr>
              <w:pStyle w:val="Normal1"/>
              <w:rPr>
                <w:sz w:val="20"/>
                <w:szCs w:val="20"/>
              </w:rPr>
            </w:pPr>
            <w:r>
              <w:rPr>
                <w:sz w:val="20"/>
                <w:szCs w:val="20"/>
              </w:rPr>
              <w:t>Workshops and meetings with the school communities to advocate for protection and for reducing the stigma and discrimination against children with disabilities with a gender-based approach with DPOs</w:t>
            </w:r>
          </w:p>
        </w:tc>
        <w:tc>
          <w:tcPr>
            <w:tcW w:w="1086" w:type="dxa"/>
          </w:tcPr>
          <w:p w14:paraId="715FB8A0" w14:textId="77777777" w:rsidR="00977CBF" w:rsidRDefault="00977CBF" w:rsidP="00977CBF">
            <w:pPr>
              <w:pStyle w:val="Normal1"/>
              <w:rPr>
                <w:sz w:val="20"/>
                <w:szCs w:val="20"/>
              </w:rPr>
            </w:pPr>
            <w:r>
              <w:rPr>
                <w:sz w:val="20"/>
                <w:szCs w:val="20"/>
              </w:rPr>
              <w:t>-</w:t>
            </w:r>
          </w:p>
        </w:tc>
        <w:tc>
          <w:tcPr>
            <w:tcW w:w="839" w:type="dxa"/>
          </w:tcPr>
          <w:p w14:paraId="003AB5C9" w14:textId="77777777" w:rsidR="00977CBF" w:rsidRDefault="00977CBF" w:rsidP="00977CBF">
            <w:pPr>
              <w:pStyle w:val="Normal1"/>
              <w:rPr>
                <w:sz w:val="20"/>
                <w:szCs w:val="20"/>
              </w:rPr>
            </w:pPr>
            <w:r>
              <w:rPr>
                <w:sz w:val="20"/>
                <w:szCs w:val="20"/>
              </w:rPr>
              <w:t>-</w:t>
            </w:r>
          </w:p>
        </w:tc>
        <w:tc>
          <w:tcPr>
            <w:tcW w:w="981" w:type="dxa"/>
          </w:tcPr>
          <w:p w14:paraId="675C839C" w14:textId="77777777" w:rsidR="00977CBF" w:rsidRDefault="00977CBF" w:rsidP="00977CBF">
            <w:pPr>
              <w:pStyle w:val="Normal1"/>
              <w:rPr>
                <w:sz w:val="20"/>
                <w:szCs w:val="20"/>
              </w:rPr>
            </w:pPr>
            <w:r>
              <w:rPr>
                <w:sz w:val="20"/>
                <w:szCs w:val="20"/>
              </w:rPr>
              <w:t>12,500</w:t>
            </w:r>
          </w:p>
        </w:tc>
        <w:tc>
          <w:tcPr>
            <w:tcW w:w="1399" w:type="dxa"/>
          </w:tcPr>
          <w:p w14:paraId="6331DC3A" w14:textId="77777777" w:rsidR="00977CBF" w:rsidRDefault="00977CBF" w:rsidP="00977CBF">
            <w:pPr>
              <w:pStyle w:val="Normal1"/>
              <w:rPr>
                <w:sz w:val="20"/>
                <w:szCs w:val="20"/>
              </w:rPr>
            </w:pPr>
            <w:r>
              <w:rPr>
                <w:sz w:val="20"/>
                <w:szCs w:val="20"/>
              </w:rPr>
              <w:t>12,500</w:t>
            </w:r>
          </w:p>
        </w:tc>
        <w:tc>
          <w:tcPr>
            <w:tcW w:w="1399" w:type="dxa"/>
          </w:tcPr>
          <w:p w14:paraId="0ADA7C28"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7AD9D143" w14:textId="77777777" w:rsidR="00977CBF" w:rsidRDefault="00977CBF" w:rsidP="00977CBF">
            <w:pPr>
              <w:pStyle w:val="Normal1"/>
              <w:rPr>
                <w:sz w:val="20"/>
                <w:szCs w:val="20"/>
              </w:rPr>
            </w:pPr>
            <w:r>
              <w:rPr>
                <w:sz w:val="20"/>
                <w:szCs w:val="20"/>
              </w:rPr>
              <w:t>-</w:t>
            </w:r>
          </w:p>
        </w:tc>
      </w:tr>
      <w:tr w:rsidR="00977CBF" w14:paraId="7DF433D0" w14:textId="77777777" w:rsidTr="00561177">
        <w:tc>
          <w:tcPr>
            <w:tcW w:w="1378" w:type="dxa"/>
            <w:tcBorders>
              <w:top w:val="single" w:sz="4" w:space="0" w:color="FFFFFF"/>
              <w:left w:val="single" w:sz="4" w:space="0" w:color="000000"/>
              <w:bottom w:val="single" w:sz="4" w:space="0" w:color="FFFFFF"/>
            </w:tcBorders>
          </w:tcPr>
          <w:p w14:paraId="0E40846C" w14:textId="77777777" w:rsidR="00977CBF" w:rsidRDefault="00977CBF" w:rsidP="00977CBF">
            <w:pPr>
              <w:pStyle w:val="Normal1"/>
              <w:ind w:left="360"/>
              <w:jc w:val="both"/>
              <w:rPr>
                <w:b/>
                <w:color w:val="0000FF"/>
                <w:sz w:val="20"/>
                <w:szCs w:val="20"/>
              </w:rPr>
            </w:pPr>
          </w:p>
        </w:tc>
        <w:tc>
          <w:tcPr>
            <w:tcW w:w="1478" w:type="dxa"/>
          </w:tcPr>
          <w:p w14:paraId="5C24E59F" w14:textId="77777777" w:rsidR="00977CBF" w:rsidRDefault="00977CBF" w:rsidP="00977CBF">
            <w:pPr>
              <w:pStyle w:val="Normal1"/>
              <w:rPr>
                <w:sz w:val="20"/>
                <w:szCs w:val="20"/>
              </w:rPr>
            </w:pPr>
            <w:r>
              <w:rPr>
                <w:sz w:val="20"/>
                <w:szCs w:val="20"/>
              </w:rPr>
              <w:t>Grant for DPOs to conduct influencing work</w:t>
            </w:r>
          </w:p>
        </w:tc>
        <w:tc>
          <w:tcPr>
            <w:tcW w:w="1086" w:type="dxa"/>
          </w:tcPr>
          <w:p w14:paraId="0E89DC0E" w14:textId="77777777" w:rsidR="00977CBF" w:rsidRDefault="00977CBF" w:rsidP="00977CBF">
            <w:pPr>
              <w:pStyle w:val="Normal1"/>
              <w:rPr>
                <w:sz w:val="20"/>
                <w:szCs w:val="20"/>
              </w:rPr>
            </w:pPr>
            <w:r>
              <w:rPr>
                <w:sz w:val="20"/>
                <w:szCs w:val="20"/>
              </w:rPr>
              <w:t>35,000</w:t>
            </w:r>
          </w:p>
        </w:tc>
        <w:tc>
          <w:tcPr>
            <w:tcW w:w="839" w:type="dxa"/>
          </w:tcPr>
          <w:p w14:paraId="59CBD003" w14:textId="77777777" w:rsidR="00977CBF" w:rsidRDefault="00977CBF" w:rsidP="00977CBF">
            <w:pPr>
              <w:pStyle w:val="Normal1"/>
              <w:rPr>
                <w:sz w:val="20"/>
                <w:szCs w:val="20"/>
              </w:rPr>
            </w:pPr>
            <w:r>
              <w:rPr>
                <w:sz w:val="20"/>
                <w:szCs w:val="20"/>
              </w:rPr>
              <w:t>1</w:t>
            </w:r>
          </w:p>
        </w:tc>
        <w:tc>
          <w:tcPr>
            <w:tcW w:w="981" w:type="dxa"/>
          </w:tcPr>
          <w:p w14:paraId="7AF7F581" w14:textId="77777777" w:rsidR="00977CBF" w:rsidRDefault="00977CBF" w:rsidP="00977CBF">
            <w:pPr>
              <w:pStyle w:val="Normal1"/>
              <w:rPr>
                <w:sz w:val="20"/>
                <w:szCs w:val="20"/>
              </w:rPr>
            </w:pPr>
            <w:r>
              <w:rPr>
                <w:sz w:val="20"/>
                <w:szCs w:val="20"/>
              </w:rPr>
              <w:t>35,000</w:t>
            </w:r>
          </w:p>
        </w:tc>
        <w:tc>
          <w:tcPr>
            <w:tcW w:w="1399" w:type="dxa"/>
          </w:tcPr>
          <w:p w14:paraId="15923DB8" w14:textId="77777777" w:rsidR="00977CBF" w:rsidRDefault="00977CBF" w:rsidP="00977CBF">
            <w:pPr>
              <w:pStyle w:val="Normal1"/>
              <w:rPr>
                <w:sz w:val="20"/>
                <w:szCs w:val="20"/>
              </w:rPr>
            </w:pPr>
            <w:r>
              <w:rPr>
                <w:sz w:val="20"/>
                <w:szCs w:val="20"/>
              </w:rPr>
              <w:t>35,000</w:t>
            </w:r>
          </w:p>
        </w:tc>
        <w:tc>
          <w:tcPr>
            <w:tcW w:w="1399" w:type="dxa"/>
          </w:tcPr>
          <w:p w14:paraId="26566608"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5B94FE7F" w14:textId="77777777" w:rsidR="00977CBF" w:rsidRDefault="00977CBF" w:rsidP="00977CBF">
            <w:pPr>
              <w:pStyle w:val="Normal1"/>
              <w:rPr>
                <w:sz w:val="20"/>
                <w:szCs w:val="20"/>
              </w:rPr>
            </w:pPr>
            <w:r>
              <w:rPr>
                <w:sz w:val="20"/>
                <w:szCs w:val="20"/>
              </w:rPr>
              <w:t>-</w:t>
            </w:r>
          </w:p>
        </w:tc>
      </w:tr>
      <w:tr w:rsidR="00977CBF" w14:paraId="24F87CDD" w14:textId="77777777" w:rsidTr="00561177">
        <w:tc>
          <w:tcPr>
            <w:tcW w:w="1378" w:type="dxa"/>
            <w:tcBorders>
              <w:top w:val="single" w:sz="4" w:space="0" w:color="000000"/>
              <w:left w:val="single" w:sz="4" w:space="0" w:color="000000"/>
              <w:bottom w:val="single" w:sz="4" w:space="0" w:color="FFFFFF"/>
            </w:tcBorders>
          </w:tcPr>
          <w:p w14:paraId="1C749F10" w14:textId="77777777" w:rsidR="00977CBF" w:rsidRDefault="00977CBF" w:rsidP="00977CBF">
            <w:pPr>
              <w:pStyle w:val="Normal1"/>
              <w:rPr>
                <w:b/>
                <w:color w:val="0000FF"/>
                <w:sz w:val="20"/>
                <w:szCs w:val="20"/>
              </w:rPr>
            </w:pPr>
            <w:r>
              <w:rPr>
                <w:b/>
                <w:sz w:val="20"/>
                <w:szCs w:val="20"/>
              </w:rPr>
              <w:t xml:space="preserve">General Operating expenses </w:t>
            </w:r>
          </w:p>
        </w:tc>
        <w:tc>
          <w:tcPr>
            <w:tcW w:w="1478" w:type="dxa"/>
            <w:tcBorders>
              <w:top w:val="single" w:sz="4" w:space="0" w:color="000000"/>
            </w:tcBorders>
          </w:tcPr>
          <w:p w14:paraId="4106DCE3" w14:textId="77777777" w:rsidR="00977CBF" w:rsidRDefault="00977CBF" w:rsidP="00977CBF">
            <w:pPr>
              <w:pStyle w:val="Normal1"/>
              <w:rPr>
                <w:sz w:val="20"/>
                <w:szCs w:val="20"/>
              </w:rPr>
            </w:pPr>
            <w:r>
              <w:rPr>
                <w:sz w:val="20"/>
                <w:szCs w:val="20"/>
              </w:rPr>
              <w:t>[…]</w:t>
            </w:r>
          </w:p>
        </w:tc>
        <w:tc>
          <w:tcPr>
            <w:tcW w:w="1086" w:type="dxa"/>
            <w:tcBorders>
              <w:top w:val="single" w:sz="4" w:space="0" w:color="000000"/>
            </w:tcBorders>
          </w:tcPr>
          <w:p w14:paraId="3F54D385" w14:textId="77777777" w:rsidR="00977CBF" w:rsidRDefault="00977CBF" w:rsidP="00977CBF">
            <w:pPr>
              <w:pStyle w:val="Normal1"/>
              <w:rPr>
                <w:sz w:val="20"/>
                <w:szCs w:val="20"/>
              </w:rPr>
            </w:pPr>
            <w:r>
              <w:rPr>
                <w:sz w:val="20"/>
                <w:szCs w:val="20"/>
              </w:rPr>
              <w:t>[…]</w:t>
            </w:r>
          </w:p>
        </w:tc>
        <w:tc>
          <w:tcPr>
            <w:tcW w:w="839" w:type="dxa"/>
            <w:tcBorders>
              <w:top w:val="single" w:sz="4" w:space="0" w:color="000000"/>
            </w:tcBorders>
          </w:tcPr>
          <w:p w14:paraId="3443741A" w14:textId="77777777" w:rsidR="00977CBF" w:rsidRDefault="00977CBF" w:rsidP="00977CBF">
            <w:pPr>
              <w:pStyle w:val="Normal1"/>
              <w:rPr>
                <w:sz w:val="20"/>
                <w:szCs w:val="20"/>
              </w:rPr>
            </w:pPr>
            <w:r>
              <w:rPr>
                <w:sz w:val="20"/>
                <w:szCs w:val="20"/>
              </w:rPr>
              <w:t>[…]</w:t>
            </w:r>
          </w:p>
        </w:tc>
        <w:tc>
          <w:tcPr>
            <w:tcW w:w="981" w:type="dxa"/>
            <w:tcBorders>
              <w:top w:val="single" w:sz="4" w:space="0" w:color="000000"/>
            </w:tcBorders>
          </w:tcPr>
          <w:p w14:paraId="1AC9DAAC" w14:textId="77777777" w:rsidR="00977CBF" w:rsidRDefault="00977CBF" w:rsidP="00977CBF">
            <w:pPr>
              <w:pStyle w:val="Normal1"/>
              <w:rPr>
                <w:sz w:val="20"/>
                <w:szCs w:val="20"/>
              </w:rPr>
            </w:pPr>
            <w:r>
              <w:rPr>
                <w:sz w:val="20"/>
                <w:szCs w:val="20"/>
              </w:rPr>
              <w:t>[…]</w:t>
            </w:r>
          </w:p>
        </w:tc>
        <w:tc>
          <w:tcPr>
            <w:tcW w:w="1399" w:type="dxa"/>
            <w:tcBorders>
              <w:top w:val="single" w:sz="4" w:space="0" w:color="000000"/>
            </w:tcBorders>
          </w:tcPr>
          <w:p w14:paraId="4CD6A810" w14:textId="77777777" w:rsidR="00977CBF" w:rsidRDefault="00977CBF" w:rsidP="00977CBF">
            <w:pPr>
              <w:pStyle w:val="Normal1"/>
              <w:rPr>
                <w:sz w:val="20"/>
                <w:szCs w:val="20"/>
              </w:rPr>
            </w:pPr>
            <w:r>
              <w:rPr>
                <w:sz w:val="20"/>
                <w:szCs w:val="20"/>
              </w:rPr>
              <w:t>[…]</w:t>
            </w:r>
          </w:p>
        </w:tc>
        <w:tc>
          <w:tcPr>
            <w:tcW w:w="1399" w:type="dxa"/>
            <w:tcBorders>
              <w:top w:val="single" w:sz="4" w:space="0" w:color="000000"/>
            </w:tcBorders>
          </w:tcPr>
          <w:p w14:paraId="61FA54C3" w14:textId="77777777" w:rsidR="00977CBF" w:rsidRDefault="00977CBF" w:rsidP="00977CBF">
            <w:pPr>
              <w:pStyle w:val="Normal1"/>
              <w:rPr>
                <w:sz w:val="20"/>
                <w:szCs w:val="20"/>
              </w:rPr>
            </w:pPr>
            <w:r>
              <w:rPr>
                <w:sz w:val="20"/>
                <w:szCs w:val="20"/>
              </w:rPr>
              <w:t>[…]</w:t>
            </w:r>
          </w:p>
        </w:tc>
        <w:tc>
          <w:tcPr>
            <w:tcW w:w="1310" w:type="dxa"/>
            <w:tcBorders>
              <w:top w:val="single" w:sz="4" w:space="0" w:color="000000"/>
              <w:right w:val="single" w:sz="4" w:space="0" w:color="000000"/>
            </w:tcBorders>
          </w:tcPr>
          <w:p w14:paraId="5B92ACB5" w14:textId="77777777" w:rsidR="00977CBF" w:rsidRDefault="00977CBF" w:rsidP="00977CBF">
            <w:pPr>
              <w:pStyle w:val="Normal1"/>
              <w:rPr>
                <w:sz w:val="20"/>
                <w:szCs w:val="20"/>
              </w:rPr>
            </w:pPr>
            <w:r>
              <w:rPr>
                <w:sz w:val="20"/>
                <w:szCs w:val="20"/>
              </w:rPr>
              <w:t>[…]</w:t>
            </w:r>
          </w:p>
        </w:tc>
      </w:tr>
      <w:tr w:rsidR="00977CBF" w14:paraId="727DA90E" w14:textId="77777777" w:rsidTr="00561177">
        <w:tc>
          <w:tcPr>
            <w:tcW w:w="1378" w:type="dxa"/>
            <w:tcBorders>
              <w:top w:val="single" w:sz="4" w:space="0" w:color="FFFFFF"/>
              <w:left w:val="single" w:sz="4" w:space="0" w:color="000000"/>
              <w:bottom w:val="single" w:sz="4" w:space="0" w:color="FFFFFF"/>
            </w:tcBorders>
          </w:tcPr>
          <w:p w14:paraId="6BDAED58" w14:textId="77777777" w:rsidR="00977CBF" w:rsidRDefault="00977CBF" w:rsidP="00977CBF">
            <w:pPr>
              <w:pStyle w:val="Normal1"/>
              <w:ind w:left="360"/>
              <w:rPr>
                <w:b/>
                <w:color w:val="0000FF"/>
                <w:sz w:val="20"/>
                <w:szCs w:val="20"/>
              </w:rPr>
            </w:pPr>
          </w:p>
        </w:tc>
        <w:tc>
          <w:tcPr>
            <w:tcW w:w="1478" w:type="dxa"/>
          </w:tcPr>
          <w:p w14:paraId="48D0389D" w14:textId="77777777" w:rsidR="00977CBF" w:rsidRDefault="00977CBF" w:rsidP="00977CBF">
            <w:pPr>
              <w:pStyle w:val="Normal1"/>
              <w:rPr>
                <w:sz w:val="20"/>
                <w:szCs w:val="20"/>
              </w:rPr>
            </w:pPr>
            <w:r>
              <w:rPr>
                <w:sz w:val="20"/>
                <w:szCs w:val="20"/>
              </w:rPr>
              <w:t>[…]</w:t>
            </w:r>
          </w:p>
        </w:tc>
        <w:tc>
          <w:tcPr>
            <w:tcW w:w="1086" w:type="dxa"/>
          </w:tcPr>
          <w:p w14:paraId="7718AB62" w14:textId="77777777" w:rsidR="00977CBF" w:rsidRDefault="00977CBF" w:rsidP="00977CBF">
            <w:pPr>
              <w:pStyle w:val="Normal1"/>
              <w:rPr>
                <w:sz w:val="20"/>
                <w:szCs w:val="20"/>
              </w:rPr>
            </w:pPr>
            <w:r>
              <w:rPr>
                <w:sz w:val="20"/>
                <w:szCs w:val="20"/>
              </w:rPr>
              <w:t>[…]</w:t>
            </w:r>
          </w:p>
        </w:tc>
        <w:tc>
          <w:tcPr>
            <w:tcW w:w="839" w:type="dxa"/>
          </w:tcPr>
          <w:p w14:paraId="0873D254" w14:textId="77777777" w:rsidR="00977CBF" w:rsidRDefault="00977CBF" w:rsidP="00977CBF">
            <w:pPr>
              <w:pStyle w:val="Normal1"/>
              <w:rPr>
                <w:sz w:val="20"/>
                <w:szCs w:val="20"/>
              </w:rPr>
            </w:pPr>
            <w:r>
              <w:rPr>
                <w:sz w:val="20"/>
                <w:szCs w:val="20"/>
              </w:rPr>
              <w:t>[…]</w:t>
            </w:r>
          </w:p>
        </w:tc>
        <w:tc>
          <w:tcPr>
            <w:tcW w:w="981" w:type="dxa"/>
          </w:tcPr>
          <w:p w14:paraId="5E58A094" w14:textId="77777777" w:rsidR="00977CBF" w:rsidRDefault="00977CBF" w:rsidP="00977CBF">
            <w:pPr>
              <w:pStyle w:val="Normal1"/>
              <w:rPr>
                <w:sz w:val="20"/>
                <w:szCs w:val="20"/>
              </w:rPr>
            </w:pPr>
            <w:r>
              <w:rPr>
                <w:sz w:val="20"/>
                <w:szCs w:val="20"/>
              </w:rPr>
              <w:t>[…]</w:t>
            </w:r>
          </w:p>
        </w:tc>
        <w:tc>
          <w:tcPr>
            <w:tcW w:w="1399" w:type="dxa"/>
          </w:tcPr>
          <w:p w14:paraId="09153339" w14:textId="77777777" w:rsidR="00977CBF" w:rsidRDefault="00977CBF" w:rsidP="00977CBF">
            <w:pPr>
              <w:pStyle w:val="Normal1"/>
              <w:rPr>
                <w:sz w:val="20"/>
                <w:szCs w:val="20"/>
              </w:rPr>
            </w:pPr>
            <w:r>
              <w:rPr>
                <w:sz w:val="20"/>
                <w:szCs w:val="20"/>
              </w:rPr>
              <w:t>[…]</w:t>
            </w:r>
          </w:p>
        </w:tc>
        <w:tc>
          <w:tcPr>
            <w:tcW w:w="1399" w:type="dxa"/>
          </w:tcPr>
          <w:p w14:paraId="0D5AC2F0" w14:textId="77777777" w:rsidR="00977CBF" w:rsidRDefault="00977CBF" w:rsidP="00977CBF">
            <w:pPr>
              <w:pStyle w:val="Normal1"/>
              <w:rPr>
                <w:sz w:val="20"/>
                <w:szCs w:val="20"/>
              </w:rPr>
            </w:pPr>
            <w:r>
              <w:rPr>
                <w:sz w:val="20"/>
                <w:szCs w:val="20"/>
              </w:rPr>
              <w:t>[…]</w:t>
            </w:r>
          </w:p>
        </w:tc>
        <w:tc>
          <w:tcPr>
            <w:tcW w:w="1310" w:type="dxa"/>
            <w:tcBorders>
              <w:right w:val="single" w:sz="4" w:space="0" w:color="000000"/>
            </w:tcBorders>
          </w:tcPr>
          <w:p w14:paraId="6DF531A0" w14:textId="77777777" w:rsidR="00977CBF" w:rsidRDefault="00977CBF" w:rsidP="00977CBF">
            <w:pPr>
              <w:pStyle w:val="Normal1"/>
              <w:rPr>
                <w:sz w:val="20"/>
                <w:szCs w:val="20"/>
              </w:rPr>
            </w:pPr>
            <w:r>
              <w:rPr>
                <w:sz w:val="20"/>
                <w:szCs w:val="20"/>
              </w:rPr>
              <w:t>[…]</w:t>
            </w:r>
          </w:p>
        </w:tc>
      </w:tr>
      <w:tr w:rsidR="00977CBF" w14:paraId="64D8F129" w14:textId="77777777" w:rsidTr="00561177">
        <w:tc>
          <w:tcPr>
            <w:tcW w:w="1378" w:type="dxa"/>
            <w:tcBorders>
              <w:top w:val="single" w:sz="4" w:space="0" w:color="FFFFFF"/>
              <w:left w:val="single" w:sz="4" w:space="0" w:color="000000"/>
              <w:bottom w:val="single" w:sz="4" w:space="0" w:color="FFFFFF"/>
            </w:tcBorders>
          </w:tcPr>
          <w:p w14:paraId="59CB6782" w14:textId="77777777" w:rsidR="00977CBF" w:rsidRDefault="00977CBF" w:rsidP="00977CBF">
            <w:pPr>
              <w:pStyle w:val="Normal1"/>
              <w:ind w:left="360"/>
              <w:rPr>
                <w:b/>
                <w:color w:val="0000FF"/>
                <w:sz w:val="20"/>
                <w:szCs w:val="20"/>
              </w:rPr>
            </w:pPr>
          </w:p>
        </w:tc>
        <w:tc>
          <w:tcPr>
            <w:tcW w:w="1478" w:type="dxa"/>
          </w:tcPr>
          <w:p w14:paraId="6B4ED5F1" w14:textId="77777777" w:rsidR="00977CBF" w:rsidRDefault="00977CBF" w:rsidP="00977CBF">
            <w:pPr>
              <w:pStyle w:val="Normal1"/>
              <w:rPr>
                <w:sz w:val="20"/>
                <w:szCs w:val="20"/>
              </w:rPr>
            </w:pPr>
            <w:r>
              <w:rPr>
                <w:sz w:val="20"/>
                <w:szCs w:val="20"/>
              </w:rPr>
              <w:t>[…]</w:t>
            </w:r>
          </w:p>
        </w:tc>
        <w:tc>
          <w:tcPr>
            <w:tcW w:w="1086" w:type="dxa"/>
          </w:tcPr>
          <w:p w14:paraId="4A727816" w14:textId="77777777" w:rsidR="00977CBF" w:rsidRDefault="00977CBF" w:rsidP="00977CBF">
            <w:pPr>
              <w:pStyle w:val="Normal1"/>
              <w:rPr>
                <w:sz w:val="20"/>
                <w:szCs w:val="20"/>
              </w:rPr>
            </w:pPr>
            <w:r>
              <w:rPr>
                <w:sz w:val="20"/>
                <w:szCs w:val="20"/>
              </w:rPr>
              <w:t>[…]</w:t>
            </w:r>
          </w:p>
        </w:tc>
        <w:tc>
          <w:tcPr>
            <w:tcW w:w="839" w:type="dxa"/>
          </w:tcPr>
          <w:p w14:paraId="2475AF72" w14:textId="77777777" w:rsidR="00977CBF" w:rsidRDefault="00977CBF" w:rsidP="00977CBF">
            <w:pPr>
              <w:pStyle w:val="Normal1"/>
              <w:rPr>
                <w:sz w:val="20"/>
                <w:szCs w:val="20"/>
              </w:rPr>
            </w:pPr>
            <w:r>
              <w:rPr>
                <w:sz w:val="20"/>
                <w:szCs w:val="20"/>
              </w:rPr>
              <w:t>[…]</w:t>
            </w:r>
          </w:p>
        </w:tc>
        <w:tc>
          <w:tcPr>
            <w:tcW w:w="981" w:type="dxa"/>
          </w:tcPr>
          <w:p w14:paraId="51D87EE1" w14:textId="77777777" w:rsidR="00977CBF" w:rsidRDefault="00977CBF" w:rsidP="00977CBF">
            <w:pPr>
              <w:pStyle w:val="Normal1"/>
              <w:rPr>
                <w:sz w:val="20"/>
                <w:szCs w:val="20"/>
              </w:rPr>
            </w:pPr>
            <w:r>
              <w:rPr>
                <w:sz w:val="20"/>
                <w:szCs w:val="20"/>
              </w:rPr>
              <w:t>[…]</w:t>
            </w:r>
          </w:p>
        </w:tc>
        <w:tc>
          <w:tcPr>
            <w:tcW w:w="1399" w:type="dxa"/>
          </w:tcPr>
          <w:p w14:paraId="79886F1A" w14:textId="77777777" w:rsidR="00977CBF" w:rsidRDefault="00977CBF" w:rsidP="00977CBF">
            <w:pPr>
              <w:pStyle w:val="Normal1"/>
              <w:rPr>
                <w:sz w:val="20"/>
                <w:szCs w:val="20"/>
              </w:rPr>
            </w:pPr>
            <w:r>
              <w:rPr>
                <w:sz w:val="20"/>
                <w:szCs w:val="20"/>
              </w:rPr>
              <w:t>[…]</w:t>
            </w:r>
          </w:p>
        </w:tc>
        <w:tc>
          <w:tcPr>
            <w:tcW w:w="1399" w:type="dxa"/>
          </w:tcPr>
          <w:p w14:paraId="021B31D5" w14:textId="77777777" w:rsidR="00977CBF" w:rsidRDefault="00977CBF" w:rsidP="00977CBF">
            <w:pPr>
              <w:pStyle w:val="Normal1"/>
              <w:rPr>
                <w:sz w:val="20"/>
                <w:szCs w:val="20"/>
              </w:rPr>
            </w:pPr>
            <w:r>
              <w:rPr>
                <w:sz w:val="20"/>
                <w:szCs w:val="20"/>
              </w:rPr>
              <w:t>[…]</w:t>
            </w:r>
          </w:p>
        </w:tc>
        <w:tc>
          <w:tcPr>
            <w:tcW w:w="1310" w:type="dxa"/>
            <w:tcBorders>
              <w:bottom w:val="single" w:sz="4" w:space="0" w:color="000000"/>
              <w:right w:val="single" w:sz="4" w:space="0" w:color="000000"/>
            </w:tcBorders>
          </w:tcPr>
          <w:p w14:paraId="685375BE" w14:textId="77777777" w:rsidR="00977CBF" w:rsidRDefault="00977CBF" w:rsidP="00977CBF">
            <w:pPr>
              <w:pStyle w:val="Normal1"/>
              <w:rPr>
                <w:sz w:val="20"/>
                <w:szCs w:val="20"/>
              </w:rPr>
            </w:pPr>
            <w:r>
              <w:rPr>
                <w:sz w:val="20"/>
                <w:szCs w:val="20"/>
              </w:rPr>
              <w:t>[…]</w:t>
            </w:r>
          </w:p>
        </w:tc>
      </w:tr>
      <w:tr w:rsidR="00977CBF" w14:paraId="2540BBD6" w14:textId="77777777" w:rsidTr="00561177">
        <w:tc>
          <w:tcPr>
            <w:tcW w:w="1378" w:type="dxa"/>
            <w:tcBorders>
              <w:top w:val="single" w:sz="4" w:space="0" w:color="000000"/>
              <w:left w:val="single" w:sz="4" w:space="0" w:color="000000"/>
              <w:bottom w:val="single" w:sz="4" w:space="0" w:color="000000"/>
            </w:tcBorders>
            <w:shd w:val="clear" w:color="auto" w:fill="D9D9D9"/>
          </w:tcPr>
          <w:p w14:paraId="71A89B64" w14:textId="77777777" w:rsidR="00977CBF" w:rsidRDefault="00977CBF" w:rsidP="00977CBF">
            <w:pPr>
              <w:pStyle w:val="Normal1"/>
              <w:rPr>
                <w:b/>
                <w:color w:val="0000FF"/>
                <w:sz w:val="20"/>
                <w:szCs w:val="20"/>
              </w:rPr>
            </w:pPr>
            <w:r>
              <w:rPr>
                <w:b/>
                <w:sz w:val="20"/>
                <w:szCs w:val="20"/>
              </w:rPr>
              <w:t>Subtotal</w:t>
            </w:r>
          </w:p>
        </w:tc>
        <w:tc>
          <w:tcPr>
            <w:tcW w:w="1478" w:type="dxa"/>
            <w:tcBorders>
              <w:top w:val="single" w:sz="4" w:space="0" w:color="000000"/>
              <w:bottom w:val="single" w:sz="4" w:space="0" w:color="000000"/>
            </w:tcBorders>
            <w:shd w:val="clear" w:color="auto" w:fill="D9D9D9"/>
          </w:tcPr>
          <w:p w14:paraId="6C5E41F0" w14:textId="77777777" w:rsidR="00977CBF" w:rsidRDefault="00977CBF" w:rsidP="00977CBF">
            <w:pPr>
              <w:pStyle w:val="Normal1"/>
              <w:rPr>
                <w:sz w:val="20"/>
                <w:szCs w:val="20"/>
              </w:rPr>
            </w:pPr>
            <w:r>
              <w:rPr>
                <w:sz w:val="20"/>
                <w:szCs w:val="20"/>
              </w:rPr>
              <w:t>-</w:t>
            </w:r>
          </w:p>
        </w:tc>
        <w:tc>
          <w:tcPr>
            <w:tcW w:w="1086" w:type="dxa"/>
            <w:tcBorders>
              <w:top w:val="single" w:sz="4" w:space="0" w:color="000000"/>
              <w:bottom w:val="single" w:sz="4" w:space="0" w:color="000000"/>
            </w:tcBorders>
            <w:shd w:val="clear" w:color="auto" w:fill="D9D9D9"/>
          </w:tcPr>
          <w:p w14:paraId="771482B4" w14:textId="77777777" w:rsidR="00977CBF" w:rsidRDefault="00977CBF" w:rsidP="00977CBF">
            <w:pPr>
              <w:pStyle w:val="Normal1"/>
              <w:rPr>
                <w:sz w:val="20"/>
                <w:szCs w:val="20"/>
              </w:rPr>
            </w:pPr>
            <w:r>
              <w:rPr>
                <w:sz w:val="20"/>
                <w:szCs w:val="20"/>
              </w:rPr>
              <w:t>-</w:t>
            </w:r>
          </w:p>
        </w:tc>
        <w:tc>
          <w:tcPr>
            <w:tcW w:w="839" w:type="dxa"/>
            <w:tcBorders>
              <w:top w:val="single" w:sz="4" w:space="0" w:color="000000"/>
              <w:bottom w:val="single" w:sz="4" w:space="0" w:color="000000"/>
            </w:tcBorders>
            <w:shd w:val="clear" w:color="auto" w:fill="D9D9D9"/>
          </w:tcPr>
          <w:p w14:paraId="68E73098" w14:textId="77777777" w:rsidR="00977CBF" w:rsidRDefault="00977CBF" w:rsidP="00977CBF">
            <w:pPr>
              <w:pStyle w:val="Normal1"/>
              <w:rPr>
                <w:sz w:val="20"/>
                <w:szCs w:val="20"/>
              </w:rPr>
            </w:pPr>
            <w:r>
              <w:rPr>
                <w:sz w:val="20"/>
                <w:szCs w:val="20"/>
              </w:rPr>
              <w:t>-</w:t>
            </w:r>
          </w:p>
        </w:tc>
        <w:tc>
          <w:tcPr>
            <w:tcW w:w="981" w:type="dxa"/>
            <w:tcBorders>
              <w:top w:val="single" w:sz="4" w:space="0" w:color="000000"/>
              <w:bottom w:val="single" w:sz="4" w:space="0" w:color="000000"/>
            </w:tcBorders>
            <w:shd w:val="clear" w:color="auto" w:fill="D9D9D9"/>
          </w:tcPr>
          <w:p w14:paraId="08402524" w14:textId="77777777" w:rsidR="00977CBF" w:rsidRDefault="00977CBF" w:rsidP="00977CBF">
            <w:pPr>
              <w:pStyle w:val="Normal1"/>
              <w:rPr>
                <w:sz w:val="20"/>
                <w:szCs w:val="20"/>
              </w:rPr>
            </w:pPr>
            <w:r>
              <w:rPr>
                <w:sz w:val="20"/>
                <w:szCs w:val="20"/>
              </w:rPr>
              <w:t>364,506</w:t>
            </w:r>
          </w:p>
        </w:tc>
        <w:tc>
          <w:tcPr>
            <w:tcW w:w="1399" w:type="dxa"/>
            <w:tcBorders>
              <w:top w:val="single" w:sz="4" w:space="0" w:color="000000"/>
              <w:bottom w:val="single" w:sz="4" w:space="0" w:color="000000"/>
            </w:tcBorders>
            <w:shd w:val="clear" w:color="auto" w:fill="D9D9D9"/>
          </w:tcPr>
          <w:p w14:paraId="1FDD9B77" w14:textId="77777777" w:rsidR="00977CBF" w:rsidRDefault="00977CBF" w:rsidP="00977CBF">
            <w:pPr>
              <w:pStyle w:val="Normal1"/>
              <w:rPr>
                <w:sz w:val="20"/>
                <w:szCs w:val="20"/>
              </w:rPr>
            </w:pPr>
            <w:r>
              <w:rPr>
                <w:sz w:val="20"/>
                <w:szCs w:val="20"/>
              </w:rPr>
              <w:t>364,506</w:t>
            </w:r>
          </w:p>
        </w:tc>
        <w:tc>
          <w:tcPr>
            <w:tcW w:w="1399" w:type="dxa"/>
            <w:tcBorders>
              <w:top w:val="single" w:sz="4" w:space="0" w:color="000000"/>
              <w:bottom w:val="single" w:sz="4" w:space="0" w:color="000000"/>
            </w:tcBorders>
            <w:shd w:val="clear" w:color="auto" w:fill="D9D9D9"/>
          </w:tcPr>
          <w:p w14:paraId="13A1DF5A" w14:textId="77777777" w:rsidR="00977CBF" w:rsidRDefault="00977CBF" w:rsidP="00977CBF">
            <w:pPr>
              <w:pStyle w:val="Normal1"/>
              <w:rPr>
                <w:sz w:val="20"/>
                <w:szCs w:val="20"/>
              </w:rPr>
            </w:pPr>
            <w:r>
              <w:rPr>
                <w:sz w:val="20"/>
                <w:szCs w:val="20"/>
              </w:rPr>
              <w:t>52,294</w:t>
            </w:r>
          </w:p>
        </w:tc>
        <w:tc>
          <w:tcPr>
            <w:tcW w:w="1310" w:type="dxa"/>
            <w:tcBorders>
              <w:top w:val="single" w:sz="4" w:space="0" w:color="000000"/>
              <w:bottom w:val="single" w:sz="4" w:space="0" w:color="000000"/>
              <w:right w:val="single" w:sz="4" w:space="0" w:color="000000"/>
            </w:tcBorders>
            <w:shd w:val="clear" w:color="auto" w:fill="D9D9D9"/>
          </w:tcPr>
          <w:p w14:paraId="44023F3C" w14:textId="77777777" w:rsidR="00977CBF" w:rsidRDefault="00977CBF" w:rsidP="00977CBF">
            <w:pPr>
              <w:pStyle w:val="Normal1"/>
              <w:rPr>
                <w:sz w:val="20"/>
                <w:szCs w:val="20"/>
              </w:rPr>
            </w:pPr>
            <w:r>
              <w:rPr>
                <w:sz w:val="20"/>
                <w:szCs w:val="20"/>
              </w:rPr>
              <w:t>-</w:t>
            </w:r>
          </w:p>
        </w:tc>
      </w:tr>
      <w:tr w:rsidR="00977CBF" w14:paraId="5C266618" w14:textId="77777777" w:rsidTr="00561177">
        <w:tc>
          <w:tcPr>
            <w:tcW w:w="1378" w:type="dxa"/>
            <w:tcBorders>
              <w:top w:val="single" w:sz="4" w:space="0" w:color="000000"/>
              <w:left w:val="single" w:sz="4" w:space="0" w:color="000000"/>
              <w:bottom w:val="single" w:sz="4" w:space="0" w:color="000000"/>
            </w:tcBorders>
          </w:tcPr>
          <w:p w14:paraId="3F72CED1" w14:textId="77777777" w:rsidR="00977CBF" w:rsidRDefault="00977CBF" w:rsidP="00977CBF">
            <w:pPr>
              <w:pStyle w:val="Normal1"/>
              <w:rPr>
                <w:b/>
                <w:color w:val="0000FF"/>
                <w:sz w:val="20"/>
                <w:szCs w:val="20"/>
              </w:rPr>
            </w:pPr>
            <w:r>
              <w:rPr>
                <w:b/>
                <w:sz w:val="20"/>
                <w:szCs w:val="20"/>
              </w:rPr>
              <w:t>Indirect costs (7%)</w:t>
            </w:r>
          </w:p>
        </w:tc>
        <w:tc>
          <w:tcPr>
            <w:tcW w:w="1478" w:type="dxa"/>
            <w:tcBorders>
              <w:top w:val="single" w:sz="4" w:space="0" w:color="000000"/>
              <w:bottom w:val="single" w:sz="4" w:space="0" w:color="000000"/>
            </w:tcBorders>
          </w:tcPr>
          <w:p w14:paraId="32750C1B" w14:textId="77777777" w:rsidR="00977CBF" w:rsidRDefault="00977CBF" w:rsidP="00977CBF">
            <w:pPr>
              <w:pStyle w:val="Normal1"/>
              <w:rPr>
                <w:sz w:val="20"/>
                <w:szCs w:val="20"/>
              </w:rPr>
            </w:pPr>
            <w:r>
              <w:rPr>
                <w:sz w:val="20"/>
                <w:szCs w:val="20"/>
              </w:rPr>
              <w:t>-</w:t>
            </w:r>
          </w:p>
        </w:tc>
        <w:tc>
          <w:tcPr>
            <w:tcW w:w="1086" w:type="dxa"/>
            <w:tcBorders>
              <w:top w:val="single" w:sz="4" w:space="0" w:color="000000"/>
              <w:bottom w:val="single" w:sz="4" w:space="0" w:color="000000"/>
            </w:tcBorders>
          </w:tcPr>
          <w:p w14:paraId="4F5E3C07" w14:textId="77777777" w:rsidR="00977CBF" w:rsidRDefault="00977CBF" w:rsidP="00977CBF">
            <w:pPr>
              <w:pStyle w:val="Normal1"/>
              <w:rPr>
                <w:sz w:val="20"/>
                <w:szCs w:val="20"/>
              </w:rPr>
            </w:pPr>
            <w:r>
              <w:rPr>
                <w:sz w:val="20"/>
                <w:szCs w:val="20"/>
              </w:rPr>
              <w:t>-</w:t>
            </w:r>
          </w:p>
        </w:tc>
        <w:tc>
          <w:tcPr>
            <w:tcW w:w="839" w:type="dxa"/>
            <w:tcBorders>
              <w:top w:val="single" w:sz="4" w:space="0" w:color="000000"/>
              <w:bottom w:val="single" w:sz="4" w:space="0" w:color="000000"/>
            </w:tcBorders>
          </w:tcPr>
          <w:p w14:paraId="6D31B8AC" w14:textId="77777777" w:rsidR="00977CBF" w:rsidRDefault="00977CBF" w:rsidP="00977CBF">
            <w:pPr>
              <w:pStyle w:val="Normal1"/>
              <w:rPr>
                <w:sz w:val="20"/>
                <w:szCs w:val="20"/>
              </w:rPr>
            </w:pPr>
            <w:r>
              <w:rPr>
                <w:sz w:val="20"/>
                <w:szCs w:val="20"/>
              </w:rPr>
              <w:t>-</w:t>
            </w:r>
          </w:p>
        </w:tc>
        <w:tc>
          <w:tcPr>
            <w:tcW w:w="981" w:type="dxa"/>
            <w:tcBorders>
              <w:top w:val="single" w:sz="4" w:space="0" w:color="000000"/>
              <w:bottom w:val="single" w:sz="4" w:space="0" w:color="000000"/>
            </w:tcBorders>
          </w:tcPr>
          <w:p w14:paraId="2786A069" w14:textId="77777777" w:rsidR="00977CBF" w:rsidRDefault="00977CBF" w:rsidP="00977CBF">
            <w:pPr>
              <w:pStyle w:val="Normal1"/>
              <w:rPr>
                <w:sz w:val="20"/>
                <w:szCs w:val="20"/>
              </w:rPr>
            </w:pPr>
            <w:r>
              <w:rPr>
                <w:sz w:val="20"/>
                <w:szCs w:val="20"/>
              </w:rPr>
              <w:t>25,515</w:t>
            </w:r>
          </w:p>
        </w:tc>
        <w:tc>
          <w:tcPr>
            <w:tcW w:w="1399" w:type="dxa"/>
            <w:tcBorders>
              <w:top w:val="single" w:sz="4" w:space="0" w:color="000000"/>
              <w:bottom w:val="single" w:sz="4" w:space="0" w:color="000000"/>
            </w:tcBorders>
          </w:tcPr>
          <w:p w14:paraId="72C4B4C8" w14:textId="77777777" w:rsidR="00977CBF" w:rsidRDefault="00977CBF" w:rsidP="00977CBF">
            <w:pPr>
              <w:pStyle w:val="Normal1"/>
              <w:rPr>
                <w:sz w:val="20"/>
                <w:szCs w:val="20"/>
              </w:rPr>
            </w:pPr>
            <w:r>
              <w:rPr>
                <w:sz w:val="20"/>
                <w:szCs w:val="20"/>
              </w:rPr>
              <w:t>25,515</w:t>
            </w:r>
          </w:p>
        </w:tc>
        <w:tc>
          <w:tcPr>
            <w:tcW w:w="1399" w:type="dxa"/>
            <w:tcBorders>
              <w:top w:val="single" w:sz="4" w:space="0" w:color="000000"/>
              <w:bottom w:val="single" w:sz="4" w:space="0" w:color="000000"/>
            </w:tcBorders>
          </w:tcPr>
          <w:p w14:paraId="7F585849" w14:textId="77777777" w:rsidR="00977CBF" w:rsidRDefault="00977CBF" w:rsidP="00977CBF">
            <w:pPr>
              <w:pStyle w:val="Normal1"/>
              <w:rPr>
                <w:sz w:val="20"/>
                <w:szCs w:val="20"/>
              </w:rPr>
            </w:pPr>
            <w:r>
              <w:rPr>
                <w:sz w:val="20"/>
                <w:szCs w:val="20"/>
              </w:rPr>
              <w:t>-</w:t>
            </w:r>
          </w:p>
        </w:tc>
        <w:tc>
          <w:tcPr>
            <w:tcW w:w="1310" w:type="dxa"/>
            <w:tcBorders>
              <w:top w:val="single" w:sz="4" w:space="0" w:color="000000"/>
              <w:bottom w:val="single" w:sz="4" w:space="0" w:color="000000"/>
              <w:right w:val="single" w:sz="4" w:space="0" w:color="000000"/>
            </w:tcBorders>
          </w:tcPr>
          <w:p w14:paraId="7B3FDDA1" w14:textId="77777777" w:rsidR="00977CBF" w:rsidRDefault="00977CBF" w:rsidP="00977CBF">
            <w:pPr>
              <w:pStyle w:val="Normal1"/>
              <w:rPr>
                <w:sz w:val="20"/>
                <w:szCs w:val="20"/>
              </w:rPr>
            </w:pPr>
            <w:r>
              <w:rPr>
                <w:sz w:val="20"/>
                <w:szCs w:val="20"/>
              </w:rPr>
              <w:t>-</w:t>
            </w:r>
          </w:p>
        </w:tc>
      </w:tr>
      <w:tr w:rsidR="00977CBF" w14:paraId="13229715" w14:textId="77777777" w:rsidTr="00561177">
        <w:trPr>
          <w:trHeight w:val="260"/>
        </w:trPr>
        <w:tc>
          <w:tcPr>
            <w:tcW w:w="1378" w:type="dxa"/>
            <w:tcBorders>
              <w:top w:val="single" w:sz="4" w:space="0" w:color="000000"/>
              <w:left w:val="single" w:sz="4" w:space="0" w:color="000000"/>
              <w:bottom w:val="single" w:sz="4" w:space="0" w:color="000000"/>
            </w:tcBorders>
            <w:shd w:val="clear" w:color="auto" w:fill="D9D9D9"/>
          </w:tcPr>
          <w:p w14:paraId="48278341" w14:textId="77777777" w:rsidR="00977CBF" w:rsidRDefault="00977CBF" w:rsidP="00977CBF">
            <w:pPr>
              <w:pStyle w:val="Normal1"/>
              <w:rPr>
                <w:b/>
                <w:color w:val="0000FF"/>
                <w:sz w:val="20"/>
                <w:szCs w:val="20"/>
              </w:rPr>
            </w:pPr>
            <w:r>
              <w:rPr>
                <w:b/>
                <w:sz w:val="20"/>
                <w:szCs w:val="20"/>
              </w:rPr>
              <w:t>Total</w:t>
            </w:r>
          </w:p>
        </w:tc>
        <w:tc>
          <w:tcPr>
            <w:tcW w:w="1478" w:type="dxa"/>
            <w:tcBorders>
              <w:top w:val="single" w:sz="4" w:space="0" w:color="000000"/>
              <w:bottom w:val="single" w:sz="4" w:space="0" w:color="000000"/>
            </w:tcBorders>
            <w:shd w:val="clear" w:color="auto" w:fill="D9D9D9"/>
          </w:tcPr>
          <w:p w14:paraId="2EE33AF7" w14:textId="77777777" w:rsidR="00977CBF" w:rsidRDefault="00977CBF" w:rsidP="00977CBF">
            <w:pPr>
              <w:pStyle w:val="Normal1"/>
              <w:rPr>
                <w:sz w:val="20"/>
                <w:szCs w:val="20"/>
              </w:rPr>
            </w:pPr>
            <w:r>
              <w:rPr>
                <w:sz w:val="20"/>
                <w:szCs w:val="20"/>
              </w:rPr>
              <w:t>-</w:t>
            </w:r>
          </w:p>
        </w:tc>
        <w:tc>
          <w:tcPr>
            <w:tcW w:w="1086" w:type="dxa"/>
            <w:tcBorders>
              <w:top w:val="single" w:sz="4" w:space="0" w:color="000000"/>
              <w:bottom w:val="single" w:sz="4" w:space="0" w:color="000000"/>
            </w:tcBorders>
            <w:shd w:val="clear" w:color="auto" w:fill="D9D9D9"/>
          </w:tcPr>
          <w:p w14:paraId="5E59F437" w14:textId="77777777" w:rsidR="00977CBF" w:rsidRDefault="00977CBF" w:rsidP="00977CBF">
            <w:pPr>
              <w:pStyle w:val="Normal1"/>
              <w:rPr>
                <w:sz w:val="20"/>
                <w:szCs w:val="20"/>
              </w:rPr>
            </w:pPr>
            <w:r>
              <w:rPr>
                <w:sz w:val="20"/>
                <w:szCs w:val="20"/>
              </w:rPr>
              <w:t>-</w:t>
            </w:r>
          </w:p>
        </w:tc>
        <w:tc>
          <w:tcPr>
            <w:tcW w:w="839" w:type="dxa"/>
            <w:tcBorders>
              <w:top w:val="single" w:sz="4" w:space="0" w:color="000000"/>
              <w:bottom w:val="single" w:sz="4" w:space="0" w:color="000000"/>
            </w:tcBorders>
            <w:shd w:val="clear" w:color="auto" w:fill="D9D9D9"/>
          </w:tcPr>
          <w:p w14:paraId="3BFABDB1" w14:textId="77777777" w:rsidR="00977CBF" w:rsidRDefault="00977CBF" w:rsidP="00977CBF">
            <w:pPr>
              <w:pStyle w:val="Normal1"/>
              <w:rPr>
                <w:sz w:val="20"/>
                <w:szCs w:val="20"/>
              </w:rPr>
            </w:pPr>
            <w:r>
              <w:rPr>
                <w:sz w:val="20"/>
                <w:szCs w:val="20"/>
              </w:rPr>
              <w:t>-</w:t>
            </w:r>
          </w:p>
        </w:tc>
        <w:tc>
          <w:tcPr>
            <w:tcW w:w="981" w:type="dxa"/>
            <w:tcBorders>
              <w:top w:val="single" w:sz="4" w:space="0" w:color="000000"/>
              <w:bottom w:val="single" w:sz="4" w:space="0" w:color="000000"/>
            </w:tcBorders>
            <w:shd w:val="clear" w:color="auto" w:fill="D9D9D9"/>
          </w:tcPr>
          <w:p w14:paraId="1D4C15BB" w14:textId="77777777" w:rsidR="00977CBF" w:rsidRDefault="00977CBF" w:rsidP="00977CBF">
            <w:pPr>
              <w:pStyle w:val="Normal1"/>
              <w:rPr>
                <w:sz w:val="20"/>
                <w:szCs w:val="20"/>
              </w:rPr>
            </w:pPr>
            <w:r>
              <w:rPr>
                <w:sz w:val="20"/>
                <w:szCs w:val="20"/>
              </w:rPr>
              <w:t>390,021</w:t>
            </w:r>
          </w:p>
        </w:tc>
        <w:tc>
          <w:tcPr>
            <w:tcW w:w="1399" w:type="dxa"/>
            <w:tcBorders>
              <w:top w:val="single" w:sz="4" w:space="0" w:color="000000"/>
              <w:bottom w:val="single" w:sz="4" w:space="0" w:color="000000"/>
            </w:tcBorders>
            <w:shd w:val="clear" w:color="auto" w:fill="D9D9D9"/>
          </w:tcPr>
          <w:p w14:paraId="0AEA6607" w14:textId="77777777" w:rsidR="00977CBF" w:rsidRDefault="00977CBF" w:rsidP="00977CBF">
            <w:pPr>
              <w:pStyle w:val="Normal1"/>
              <w:rPr>
                <w:sz w:val="20"/>
                <w:szCs w:val="20"/>
              </w:rPr>
            </w:pPr>
            <w:r>
              <w:rPr>
                <w:sz w:val="20"/>
                <w:szCs w:val="20"/>
              </w:rPr>
              <w:t>390,021</w:t>
            </w:r>
          </w:p>
        </w:tc>
        <w:tc>
          <w:tcPr>
            <w:tcW w:w="1399" w:type="dxa"/>
            <w:tcBorders>
              <w:top w:val="single" w:sz="4" w:space="0" w:color="000000"/>
              <w:bottom w:val="single" w:sz="4" w:space="0" w:color="000000"/>
            </w:tcBorders>
            <w:shd w:val="clear" w:color="auto" w:fill="D9D9D9"/>
          </w:tcPr>
          <w:p w14:paraId="5D58CBC5" w14:textId="77777777" w:rsidR="00977CBF" w:rsidRDefault="00977CBF" w:rsidP="00977CBF">
            <w:pPr>
              <w:pStyle w:val="Normal1"/>
              <w:rPr>
                <w:sz w:val="20"/>
                <w:szCs w:val="20"/>
              </w:rPr>
            </w:pPr>
            <w:r>
              <w:rPr>
                <w:sz w:val="20"/>
                <w:szCs w:val="20"/>
              </w:rPr>
              <w:t>52,294</w:t>
            </w:r>
          </w:p>
        </w:tc>
        <w:tc>
          <w:tcPr>
            <w:tcW w:w="1310" w:type="dxa"/>
            <w:tcBorders>
              <w:top w:val="single" w:sz="4" w:space="0" w:color="000000"/>
              <w:bottom w:val="single" w:sz="4" w:space="0" w:color="000000"/>
              <w:right w:val="single" w:sz="4" w:space="0" w:color="000000"/>
            </w:tcBorders>
            <w:shd w:val="clear" w:color="auto" w:fill="D9D9D9"/>
          </w:tcPr>
          <w:p w14:paraId="328E2B5F" w14:textId="77777777" w:rsidR="00977CBF" w:rsidRDefault="00977CBF" w:rsidP="00977CBF">
            <w:pPr>
              <w:pStyle w:val="Normal1"/>
              <w:rPr>
                <w:sz w:val="20"/>
                <w:szCs w:val="20"/>
              </w:rPr>
            </w:pPr>
            <w:r>
              <w:rPr>
                <w:sz w:val="20"/>
                <w:szCs w:val="20"/>
              </w:rPr>
              <w:t>-</w:t>
            </w:r>
          </w:p>
        </w:tc>
      </w:tr>
    </w:tbl>
    <w:p w14:paraId="310AC39E" w14:textId="77777777" w:rsidR="00A45397" w:rsidRPr="000D4C6A" w:rsidRDefault="00A45397" w:rsidP="000D4C6A">
      <w:pPr>
        <w:pStyle w:val="Normal1"/>
        <w:pBdr>
          <w:top w:val="nil"/>
          <w:left w:val="nil"/>
          <w:bottom w:val="nil"/>
          <w:right w:val="nil"/>
          <w:between w:val="nil"/>
        </w:pBdr>
        <w:ind w:left="360" w:hanging="720"/>
        <w:jc w:val="both"/>
        <w:rPr>
          <w:rFonts w:eastAsia="Calibri"/>
        </w:rPr>
      </w:pPr>
    </w:p>
    <w:p w14:paraId="04FF46B7" w14:textId="77777777" w:rsidR="00A45397" w:rsidRPr="000D4C6A" w:rsidRDefault="00986A15" w:rsidP="000D4C6A">
      <w:pPr>
        <w:pStyle w:val="Normal1"/>
        <w:jc w:val="both"/>
      </w:pPr>
      <w:r w:rsidRPr="000D4C6A">
        <w:br w:type="page"/>
      </w:r>
    </w:p>
    <w:p w14:paraId="50488471" w14:textId="77777777" w:rsidR="00A45397" w:rsidRPr="000D4C6A" w:rsidRDefault="00986A15" w:rsidP="00977CBF">
      <w:pPr>
        <w:pStyle w:val="Normal1"/>
        <w:jc w:val="both"/>
        <w:rPr>
          <w:rFonts w:eastAsia="Calibri"/>
          <w:b/>
        </w:rPr>
      </w:pPr>
      <w:r w:rsidRPr="000D4C6A">
        <w:rPr>
          <w:rFonts w:eastAsia="Calibri"/>
        </w:rPr>
        <w:t>From the above information please specify the following:</w:t>
      </w:r>
      <w:r w:rsidRPr="000D4C6A">
        <w:rPr>
          <w:rFonts w:eastAsia="Calibri"/>
          <w:b/>
        </w:rPr>
        <w:t xml:space="preserve"> </w:t>
      </w:r>
    </w:p>
    <w:p w14:paraId="090DB21B" w14:textId="77777777" w:rsidR="00A45397" w:rsidRPr="000D4C6A" w:rsidRDefault="00A45397" w:rsidP="000D4C6A">
      <w:pPr>
        <w:pStyle w:val="Normal1"/>
        <w:pBdr>
          <w:top w:val="nil"/>
          <w:left w:val="nil"/>
          <w:bottom w:val="nil"/>
          <w:right w:val="nil"/>
          <w:between w:val="nil"/>
        </w:pBdr>
        <w:ind w:left="360" w:hanging="720"/>
        <w:jc w:val="both"/>
        <w:rPr>
          <w:rFonts w:eastAsia="Calibri"/>
          <w:b/>
        </w:rPr>
      </w:pPr>
    </w:p>
    <w:p w14:paraId="6D765B1F" w14:textId="77777777" w:rsidR="00A45397" w:rsidRPr="000D4C6A" w:rsidRDefault="00986A15" w:rsidP="000D4C6A">
      <w:pPr>
        <w:pStyle w:val="Normal1"/>
        <w:pBdr>
          <w:top w:val="nil"/>
          <w:left w:val="nil"/>
          <w:bottom w:val="nil"/>
          <w:right w:val="nil"/>
          <w:between w:val="nil"/>
        </w:pBdr>
        <w:ind w:left="360" w:hanging="720"/>
        <w:jc w:val="both"/>
        <w:rPr>
          <w:rFonts w:eastAsia="Calibri"/>
          <w:b/>
        </w:rPr>
      </w:pPr>
      <w:r w:rsidRPr="00977CBF">
        <w:rPr>
          <w:rFonts w:eastAsia="Calibri"/>
          <w:b/>
        </w:rPr>
        <w:t>Table 6. Detailed Costs</w:t>
      </w:r>
    </w:p>
    <w:p w14:paraId="70929FA2" w14:textId="77777777" w:rsidR="00A45397" w:rsidRPr="000D4C6A" w:rsidRDefault="00A45397" w:rsidP="000D4C6A">
      <w:pPr>
        <w:pStyle w:val="Normal1"/>
        <w:pBdr>
          <w:top w:val="nil"/>
          <w:left w:val="nil"/>
          <w:bottom w:val="nil"/>
          <w:right w:val="nil"/>
          <w:between w:val="nil"/>
        </w:pBdr>
        <w:ind w:left="360" w:hanging="720"/>
        <w:jc w:val="both"/>
        <w:rPr>
          <w:rFonts w:eastAsia="Calibri"/>
          <w:b/>
        </w:rPr>
      </w:pPr>
    </w:p>
    <w:tbl>
      <w:tblPr>
        <w:tblStyle w:val="TableGrid"/>
        <w:tblW w:w="0" w:type="auto"/>
        <w:tblInd w:w="360" w:type="dxa"/>
        <w:tblLook w:val="04A0" w:firstRow="1" w:lastRow="0" w:firstColumn="1" w:lastColumn="0" w:noHBand="0" w:noVBand="1"/>
        <w:tblCaption w:val="Detailed Costs"/>
        <w:tblDescription w:val="Detailed costs by caterogy, which are: inception activities, monitoring and evaluation costs, direct impact on empowerment of women and girls with disabilities, direct impact on DPOs'capacity and accessibility costs."/>
      </w:tblPr>
      <w:tblGrid>
        <w:gridCol w:w="3190"/>
        <w:gridCol w:w="3168"/>
        <w:gridCol w:w="3152"/>
      </w:tblGrid>
      <w:tr w:rsidR="00977CBF" w:rsidRPr="00977CBF" w14:paraId="3FFE5E5D" w14:textId="77777777" w:rsidTr="00977CBF">
        <w:trPr>
          <w:tblHeader/>
        </w:trPr>
        <w:tc>
          <w:tcPr>
            <w:tcW w:w="3190" w:type="dxa"/>
            <w:tcBorders>
              <w:top w:val="double" w:sz="4" w:space="0" w:color="auto"/>
              <w:left w:val="double" w:sz="4" w:space="0" w:color="auto"/>
            </w:tcBorders>
            <w:shd w:val="clear" w:color="auto" w:fill="D9D9D9" w:themeFill="background1" w:themeFillShade="D9"/>
          </w:tcPr>
          <w:p w14:paraId="4402EEEE"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b/>
                <w:bCs/>
                <w:sz w:val="20"/>
                <w:szCs w:val="20"/>
                <w:lang w:val="en-GB"/>
              </w:rPr>
              <w:t>Category</w:t>
            </w:r>
          </w:p>
        </w:tc>
        <w:tc>
          <w:tcPr>
            <w:tcW w:w="3168" w:type="dxa"/>
            <w:tcBorders>
              <w:top w:val="double" w:sz="4" w:space="0" w:color="auto"/>
            </w:tcBorders>
            <w:shd w:val="clear" w:color="auto" w:fill="D9D9D9" w:themeFill="background1" w:themeFillShade="D9"/>
          </w:tcPr>
          <w:p w14:paraId="3F94FBA6"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b/>
                <w:sz w:val="20"/>
                <w:szCs w:val="20"/>
              </w:rPr>
              <w:t>Activity (please describe)</w:t>
            </w:r>
          </w:p>
        </w:tc>
        <w:tc>
          <w:tcPr>
            <w:tcW w:w="3152" w:type="dxa"/>
            <w:tcBorders>
              <w:top w:val="double" w:sz="4" w:space="0" w:color="auto"/>
              <w:right w:val="double" w:sz="4" w:space="0" w:color="auto"/>
            </w:tcBorders>
            <w:shd w:val="clear" w:color="auto" w:fill="D9D9D9" w:themeFill="background1" w:themeFillShade="D9"/>
          </w:tcPr>
          <w:p w14:paraId="5186EB51"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b/>
                <w:bCs/>
                <w:sz w:val="20"/>
                <w:szCs w:val="20"/>
                <w:lang w:val="en-GB"/>
              </w:rPr>
              <w:t>Total cost</w:t>
            </w:r>
          </w:p>
        </w:tc>
      </w:tr>
      <w:tr w:rsidR="00977CBF" w:rsidRPr="00977CBF" w14:paraId="7A348C8B" w14:textId="77777777" w:rsidTr="00977CBF">
        <w:tc>
          <w:tcPr>
            <w:tcW w:w="3190" w:type="dxa"/>
            <w:tcBorders>
              <w:left w:val="double" w:sz="4" w:space="0" w:color="auto"/>
              <w:bottom w:val="single" w:sz="4" w:space="0" w:color="FFFFFF" w:themeColor="background1"/>
            </w:tcBorders>
          </w:tcPr>
          <w:p w14:paraId="1C76EAC2" w14:textId="77777777" w:rsidR="00977CBF" w:rsidRPr="00977CBF" w:rsidRDefault="00977CBF" w:rsidP="00977CBF">
            <w:pPr>
              <w:pStyle w:val="ListParagraph"/>
              <w:ind w:left="0"/>
              <w:jc w:val="both"/>
              <w:rPr>
                <w:rFonts w:ascii="Times New Roman" w:hAnsi="Times New Roman" w:cs="Times New Roman"/>
                <w:b/>
                <w:sz w:val="20"/>
                <w:szCs w:val="20"/>
                <w:highlight w:val="green"/>
                <w:lang w:val="en-GB"/>
              </w:rPr>
            </w:pPr>
            <w:r w:rsidRPr="00977CBF">
              <w:rPr>
                <w:rFonts w:ascii="Times New Roman" w:hAnsi="Times New Roman" w:cs="Times New Roman"/>
                <w:sz w:val="20"/>
                <w:szCs w:val="20"/>
              </w:rPr>
              <w:t>Inception activities</w:t>
            </w:r>
            <w:r w:rsidRPr="00977CBF" w:rsidDel="00277170">
              <w:rPr>
                <w:rFonts w:ascii="Times New Roman" w:hAnsi="Times New Roman" w:cs="Times New Roman"/>
                <w:i/>
                <w:iCs/>
                <w:sz w:val="20"/>
                <w:szCs w:val="20"/>
                <w:lang w:val="en-GB"/>
              </w:rPr>
              <w:t xml:space="preserve"> </w:t>
            </w:r>
          </w:p>
        </w:tc>
        <w:tc>
          <w:tcPr>
            <w:tcW w:w="3168" w:type="dxa"/>
          </w:tcPr>
          <w:p w14:paraId="1918C735" w14:textId="77777777" w:rsidR="00977CBF" w:rsidRPr="00977CBF" w:rsidRDefault="00977CBF" w:rsidP="00977CBF">
            <w:pPr>
              <w:pStyle w:val="ListParagraph"/>
              <w:ind w:left="0"/>
              <w:rPr>
                <w:rFonts w:ascii="Times New Roman" w:hAnsi="Times New Roman" w:cs="Times New Roman"/>
                <w:b/>
                <w:bCs/>
                <w:sz w:val="20"/>
                <w:szCs w:val="20"/>
                <w:lang w:val="en-GB"/>
              </w:rPr>
            </w:pPr>
            <w:r w:rsidRPr="00977CBF">
              <w:rPr>
                <w:rFonts w:ascii="Times New Roman" w:hAnsi="Times New Roman" w:cs="Times New Roman"/>
                <w:sz w:val="20"/>
                <w:szCs w:val="20"/>
                <w:lang w:val="en-GB"/>
              </w:rPr>
              <w:t>Presentation of the project to ministers and directors of DPOs</w:t>
            </w:r>
          </w:p>
        </w:tc>
        <w:tc>
          <w:tcPr>
            <w:tcW w:w="3152" w:type="dxa"/>
            <w:tcBorders>
              <w:right w:val="double" w:sz="4" w:space="0" w:color="auto"/>
            </w:tcBorders>
          </w:tcPr>
          <w:p w14:paraId="669EEE9B"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500</w:t>
            </w:r>
          </w:p>
        </w:tc>
      </w:tr>
      <w:tr w:rsidR="00977CBF" w:rsidRPr="00977CBF" w14:paraId="21362150" w14:textId="77777777" w:rsidTr="00977CBF">
        <w:trPr>
          <w:trHeight w:val="368"/>
        </w:trPr>
        <w:tc>
          <w:tcPr>
            <w:tcW w:w="3190" w:type="dxa"/>
            <w:tcBorders>
              <w:top w:val="single" w:sz="4" w:space="0" w:color="FFFFFF" w:themeColor="background1"/>
              <w:left w:val="double" w:sz="4" w:space="0" w:color="auto"/>
              <w:bottom w:val="single" w:sz="4" w:space="0" w:color="FFFFFF" w:themeColor="background1"/>
            </w:tcBorders>
          </w:tcPr>
          <w:p w14:paraId="4D00A156" w14:textId="77777777" w:rsidR="00977CBF" w:rsidRPr="00977CBF" w:rsidRDefault="00977CBF" w:rsidP="00977CBF">
            <w:pPr>
              <w:pStyle w:val="ListParagraph"/>
              <w:ind w:left="0"/>
              <w:jc w:val="both"/>
              <w:rPr>
                <w:rFonts w:ascii="Times New Roman" w:hAnsi="Times New Roman" w:cs="Times New Roman"/>
                <w:b/>
                <w:sz w:val="20"/>
                <w:szCs w:val="20"/>
                <w:highlight w:val="green"/>
                <w:lang w:val="en-GB"/>
              </w:rPr>
            </w:pPr>
          </w:p>
        </w:tc>
        <w:tc>
          <w:tcPr>
            <w:tcW w:w="3168" w:type="dxa"/>
          </w:tcPr>
          <w:p w14:paraId="2C3A4F5D" w14:textId="77777777" w:rsidR="00977CBF" w:rsidRPr="00977CBF" w:rsidRDefault="00977CBF" w:rsidP="00977CBF">
            <w:pPr>
              <w:pStyle w:val="ListParagraph"/>
              <w:ind w:left="0"/>
              <w:rPr>
                <w:rFonts w:ascii="Times New Roman" w:hAnsi="Times New Roman" w:cs="Times New Roman"/>
                <w:b/>
                <w:bCs/>
                <w:sz w:val="20"/>
                <w:szCs w:val="20"/>
                <w:lang w:val="en-GB"/>
              </w:rPr>
            </w:pPr>
            <w:r w:rsidRPr="00977CBF">
              <w:rPr>
                <w:rFonts w:ascii="Times New Roman" w:hAnsi="Times New Roman" w:cs="Times New Roman"/>
                <w:sz w:val="20"/>
                <w:szCs w:val="20"/>
                <w:lang w:val="en-GB"/>
              </w:rPr>
              <w:t>Project follow-up committee meeting for planning the monitoring and evaluation</w:t>
            </w:r>
          </w:p>
        </w:tc>
        <w:tc>
          <w:tcPr>
            <w:tcW w:w="3152" w:type="dxa"/>
            <w:tcBorders>
              <w:right w:val="double" w:sz="4" w:space="0" w:color="auto"/>
            </w:tcBorders>
          </w:tcPr>
          <w:p w14:paraId="54036492"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500</w:t>
            </w:r>
          </w:p>
        </w:tc>
      </w:tr>
      <w:tr w:rsidR="00977CBF" w:rsidRPr="00977CBF" w14:paraId="40A1F02A" w14:textId="77777777" w:rsidTr="00977CBF">
        <w:trPr>
          <w:trHeight w:val="367"/>
        </w:trPr>
        <w:tc>
          <w:tcPr>
            <w:tcW w:w="3190" w:type="dxa"/>
            <w:tcBorders>
              <w:top w:val="single" w:sz="4" w:space="0" w:color="FFFFFF" w:themeColor="background1"/>
              <w:left w:val="double" w:sz="4" w:space="0" w:color="auto"/>
              <w:bottom w:val="single" w:sz="4" w:space="0" w:color="FFFFFF" w:themeColor="background1"/>
            </w:tcBorders>
          </w:tcPr>
          <w:p w14:paraId="34A8BF99" w14:textId="77777777" w:rsidR="00977CBF" w:rsidRPr="00977CBF" w:rsidRDefault="00977CBF" w:rsidP="00977CBF">
            <w:pPr>
              <w:pStyle w:val="ListParagraph"/>
              <w:ind w:left="360"/>
              <w:jc w:val="both"/>
              <w:rPr>
                <w:rFonts w:ascii="Times New Roman" w:hAnsi="Times New Roman" w:cs="Times New Roman"/>
                <w:i/>
                <w:sz w:val="20"/>
                <w:highlight w:val="green"/>
                <w:lang w:val="en-GB"/>
              </w:rPr>
            </w:pPr>
          </w:p>
        </w:tc>
        <w:tc>
          <w:tcPr>
            <w:tcW w:w="3168" w:type="dxa"/>
          </w:tcPr>
          <w:p w14:paraId="48CB19A3" w14:textId="77777777" w:rsidR="00977CBF" w:rsidRPr="00977CBF" w:rsidRDefault="00977CBF" w:rsidP="00977CBF">
            <w:pPr>
              <w:rPr>
                <w:rFonts w:ascii="Times New Roman" w:hAnsi="Times New Roman" w:cs="Times New Roman"/>
                <w:sz w:val="20"/>
                <w:szCs w:val="20"/>
                <w:lang w:val="en-GB"/>
              </w:rPr>
            </w:pPr>
            <w:r w:rsidRPr="00977CBF">
              <w:rPr>
                <w:rFonts w:ascii="Times New Roman" w:hAnsi="Times New Roman" w:cs="Times New Roman"/>
                <w:sz w:val="20"/>
                <w:szCs w:val="20"/>
                <w:lang w:val="en-GB"/>
              </w:rPr>
              <w:t>Baseline study on inclusive and quality education, decent and inclusive employment and social participation</w:t>
            </w:r>
          </w:p>
        </w:tc>
        <w:tc>
          <w:tcPr>
            <w:tcW w:w="3152" w:type="dxa"/>
            <w:tcBorders>
              <w:right w:val="double" w:sz="4" w:space="0" w:color="auto"/>
            </w:tcBorders>
          </w:tcPr>
          <w:p w14:paraId="32A35FE0" w14:textId="77777777" w:rsidR="00977CBF" w:rsidRPr="00977CBF" w:rsidRDefault="00977CBF" w:rsidP="00977CBF">
            <w:pPr>
              <w:pStyle w:val="ListParagraph"/>
              <w:ind w:left="0"/>
              <w:jc w:val="both"/>
              <w:rPr>
                <w:rFonts w:ascii="Times New Roman" w:hAnsi="Times New Roman" w:cs="Times New Roman"/>
                <w:sz w:val="20"/>
                <w:szCs w:val="20"/>
                <w:lang w:val="en-GB"/>
              </w:rPr>
            </w:pPr>
            <w:r w:rsidRPr="00977CBF">
              <w:rPr>
                <w:rFonts w:ascii="Times New Roman" w:hAnsi="Times New Roman" w:cs="Times New Roman"/>
                <w:sz w:val="20"/>
                <w:szCs w:val="20"/>
                <w:lang w:val="en-GB"/>
              </w:rPr>
              <w:t>4,000</w:t>
            </w:r>
          </w:p>
        </w:tc>
      </w:tr>
      <w:tr w:rsidR="00977CBF" w:rsidRPr="00977CBF" w14:paraId="4215CA32" w14:textId="77777777" w:rsidTr="00977CBF">
        <w:trPr>
          <w:trHeight w:val="735"/>
        </w:trPr>
        <w:tc>
          <w:tcPr>
            <w:tcW w:w="3190" w:type="dxa"/>
            <w:tcBorders>
              <w:top w:val="single" w:sz="4" w:space="0" w:color="FFFFFF" w:themeColor="background1"/>
              <w:left w:val="double" w:sz="4" w:space="0" w:color="auto"/>
              <w:bottom w:val="single" w:sz="4" w:space="0" w:color="FFFFFF" w:themeColor="background1"/>
            </w:tcBorders>
          </w:tcPr>
          <w:p w14:paraId="1F87424B" w14:textId="77777777" w:rsidR="00977CBF" w:rsidRPr="00977CBF" w:rsidRDefault="00977CBF" w:rsidP="00977CBF">
            <w:pPr>
              <w:pStyle w:val="ListParagraph"/>
              <w:ind w:left="0"/>
              <w:jc w:val="both"/>
              <w:rPr>
                <w:rFonts w:ascii="Times New Roman" w:hAnsi="Times New Roman" w:cs="Times New Roman"/>
                <w:b/>
                <w:sz w:val="20"/>
                <w:szCs w:val="20"/>
                <w:highlight w:val="green"/>
                <w:lang w:val="en-GB"/>
              </w:rPr>
            </w:pPr>
          </w:p>
        </w:tc>
        <w:tc>
          <w:tcPr>
            <w:tcW w:w="3168" w:type="dxa"/>
            <w:tcBorders>
              <w:bottom w:val="single" w:sz="4" w:space="0" w:color="auto"/>
            </w:tcBorders>
          </w:tcPr>
          <w:p w14:paraId="2306F237" w14:textId="77777777" w:rsidR="00977CBF" w:rsidRPr="00977CBF" w:rsidRDefault="00977CBF" w:rsidP="00977CBF">
            <w:pPr>
              <w:pStyle w:val="ListParagraph"/>
              <w:ind w:left="0"/>
              <w:rPr>
                <w:rFonts w:ascii="Times New Roman" w:hAnsi="Times New Roman" w:cs="Times New Roman"/>
                <w:b/>
                <w:bCs/>
                <w:sz w:val="20"/>
                <w:szCs w:val="20"/>
                <w:lang w:val="en-GB"/>
              </w:rPr>
            </w:pPr>
            <w:r w:rsidRPr="00977CBF">
              <w:rPr>
                <w:rFonts w:ascii="Times New Roman" w:hAnsi="Times New Roman" w:cs="Times New Roman"/>
                <w:sz w:val="20"/>
                <w:szCs w:val="20"/>
                <w:lang w:val="en-GB"/>
              </w:rPr>
              <w:t>Meetings for understanding the CRPD and the scope of the 2030 Agenda in the disability sector</w:t>
            </w:r>
          </w:p>
        </w:tc>
        <w:tc>
          <w:tcPr>
            <w:tcW w:w="3152" w:type="dxa"/>
            <w:tcBorders>
              <w:right w:val="double" w:sz="4" w:space="0" w:color="auto"/>
            </w:tcBorders>
          </w:tcPr>
          <w:p w14:paraId="5C86FFF2" w14:textId="77777777" w:rsidR="00977CBF" w:rsidRPr="00977CBF" w:rsidRDefault="00130FF6" w:rsidP="00977CBF">
            <w:pPr>
              <w:pStyle w:val="ListParagraph"/>
              <w:ind w:left="0"/>
              <w:jc w:val="both"/>
              <w:rPr>
                <w:rFonts w:ascii="Times New Roman" w:hAnsi="Times New Roman" w:cs="Times New Roman"/>
                <w:b/>
                <w:bCs/>
                <w:sz w:val="20"/>
                <w:szCs w:val="20"/>
                <w:lang w:val="en-GB"/>
              </w:rPr>
            </w:pPr>
            <w:r>
              <w:rPr>
                <w:rFonts w:ascii="Times New Roman" w:hAnsi="Times New Roman" w:cs="Times New Roman"/>
                <w:sz w:val="20"/>
                <w:szCs w:val="20"/>
                <w:lang w:val="en-GB"/>
              </w:rPr>
              <w:t>1</w:t>
            </w:r>
            <w:r w:rsidR="00977CBF" w:rsidRPr="00977CBF">
              <w:rPr>
                <w:rFonts w:ascii="Times New Roman" w:hAnsi="Times New Roman" w:cs="Times New Roman"/>
                <w:sz w:val="20"/>
                <w:szCs w:val="20"/>
                <w:lang w:val="en-GB"/>
              </w:rPr>
              <w:t>,000</w:t>
            </w:r>
          </w:p>
        </w:tc>
      </w:tr>
      <w:tr w:rsidR="00977CBF" w:rsidRPr="00977CBF" w14:paraId="286E53C2" w14:textId="77777777" w:rsidTr="00977CBF">
        <w:trPr>
          <w:trHeight w:val="735"/>
        </w:trPr>
        <w:tc>
          <w:tcPr>
            <w:tcW w:w="3190" w:type="dxa"/>
            <w:tcBorders>
              <w:top w:val="single" w:sz="4" w:space="0" w:color="FFFFFF" w:themeColor="background1"/>
              <w:left w:val="double" w:sz="4" w:space="0" w:color="auto"/>
              <w:bottom w:val="double" w:sz="4" w:space="0" w:color="auto"/>
            </w:tcBorders>
          </w:tcPr>
          <w:p w14:paraId="58FAAD7D" w14:textId="77777777" w:rsidR="00977CBF" w:rsidRPr="00977CBF" w:rsidRDefault="00977CBF" w:rsidP="00977CBF">
            <w:pPr>
              <w:pStyle w:val="ListParagraph"/>
              <w:ind w:left="0"/>
              <w:jc w:val="both"/>
              <w:rPr>
                <w:rFonts w:ascii="Times New Roman" w:hAnsi="Times New Roman" w:cs="Times New Roman"/>
                <w:b/>
                <w:sz w:val="20"/>
                <w:szCs w:val="20"/>
                <w:highlight w:val="green"/>
                <w:lang w:val="en-GB"/>
              </w:rPr>
            </w:pPr>
          </w:p>
        </w:tc>
        <w:tc>
          <w:tcPr>
            <w:tcW w:w="3168" w:type="dxa"/>
            <w:tcBorders>
              <w:bottom w:val="double" w:sz="4" w:space="0" w:color="auto"/>
            </w:tcBorders>
          </w:tcPr>
          <w:p w14:paraId="23DE7FA2" w14:textId="77777777" w:rsidR="00977CBF" w:rsidRPr="00977CBF" w:rsidRDefault="00977CBF" w:rsidP="00977CBF">
            <w:pPr>
              <w:pStyle w:val="ListParagraph"/>
              <w:ind w:left="0"/>
              <w:rPr>
                <w:rFonts w:ascii="Times New Roman" w:hAnsi="Times New Roman" w:cs="Times New Roman"/>
                <w:sz w:val="20"/>
                <w:szCs w:val="20"/>
                <w:lang w:val="en-GB"/>
              </w:rPr>
            </w:pPr>
            <w:r w:rsidRPr="00977CBF">
              <w:rPr>
                <w:rFonts w:ascii="Times New Roman" w:hAnsi="Times New Roman" w:cs="Times New Roman"/>
                <w:sz w:val="20"/>
                <w:szCs w:val="20"/>
                <w:lang w:val="en-GB"/>
              </w:rPr>
              <w:t xml:space="preserve">Socio-economic and Socio-demographic classification of women with disabilities </w:t>
            </w:r>
          </w:p>
        </w:tc>
        <w:tc>
          <w:tcPr>
            <w:tcW w:w="3152" w:type="dxa"/>
            <w:tcBorders>
              <w:bottom w:val="double" w:sz="4" w:space="0" w:color="auto"/>
              <w:right w:val="double" w:sz="4" w:space="0" w:color="auto"/>
            </w:tcBorders>
          </w:tcPr>
          <w:p w14:paraId="29D340EB" w14:textId="77777777" w:rsidR="00977CBF" w:rsidRPr="00977CBF" w:rsidRDefault="00977CBF" w:rsidP="00977CBF">
            <w:pPr>
              <w:pStyle w:val="ListParagraph"/>
              <w:ind w:left="0"/>
              <w:jc w:val="both"/>
              <w:rPr>
                <w:rFonts w:ascii="Times New Roman" w:hAnsi="Times New Roman" w:cs="Times New Roman"/>
                <w:sz w:val="20"/>
                <w:szCs w:val="20"/>
                <w:lang w:val="en-GB"/>
              </w:rPr>
            </w:pPr>
            <w:r w:rsidRPr="00977CBF">
              <w:rPr>
                <w:rFonts w:ascii="Times New Roman" w:hAnsi="Times New Roman" w:cs="Times New Roman"/>
                <w:sz w:val="20"/>
                <w:szCs w:val="20"/>
                <w:lang w:val="en-GB"/>
              </w:rPr>
              <w:t>4,000</w:t>
            </w:r>
          </w:p>
        </w:tc>
      </w:tr>
      <w:tr w:rsidR="00977CBF" w:rsidRPr="00977CBF" w14:paraId="5569AED1" w14:textId="77777777" w:rsidTr="00977CBF">
        <w:tc>
          <w:tcPr>
            <w:tcW w:w="3190" w:type="dxa"/>
            <w:tcBorders>
              <w:top w:val="double" w:sz="4" w:space="0" w:color="auto"/>
              <w:left w:val="double" w:sz="4" w:space="0" w:color="auto"/>
              <w:bottom w:val="double" w:sz="4" w:space="0" w:color="FFFFFF" w:themeColor="background1"/>
            </w:tcBorders>
          </w:tcPr>
          <w:p w14:paraId="2B9011E5" w14:textId="77777777" w:rsidR="00977CBF" w:rsidRPr="00977CBF" w:rsidRDefault="00977CBF" w:rsidP="00977CBF">
            <w:pPr>
              <w:pStyle w:val="ListParagraph"/>
              <w:spacing w:before="60" w:after="60"/>
              <w:ind w:left="0"/>
              <w:contextualSpacing w:val="0"/>
              <w:rPr>
                <w:rFonts w:ascii="Times New Roman" w:hAnsi="Times New Roman" w:cs="Times New Roman"/>
                <w:sz w:val="20"/>
                <w:szCs w:val="20"/>
              </w:rPr>
            </w:pPr>
            <w:r w:rsidRPr="00977CBF">
              <w:rPr>
                <w:rFonts w:ascii="Times New Roman" w:hAnsi="Times New Roman" w:cs="Times New Roman"/>
                <w:sz w:val="20"/>
                <w:szCs w:val="20"/>
              </w:rPr>
              <w:t>Monitoring and Evaluation</w:t>
            </w:r>
            <w:r w:rsidRPr="00977CBF">
              <w:rPr>
                <w:rStyle w:val="FootnoteReference"/>
                <w:rFonts w:ascii="Times New Roman" w:hAnsi="Times New Roman" w:cs="Times New Roman"/>
                <w:sz w:val="20"/>
                <w:szCs w:val="20"/>
              </w:rPr>
              <w:footnoteReference w:id="8"/>
            </w:r>
            <w:r w:rsidRPr="00977CBF">
              <w:rPr>
                <w:rFonts w:ascii="Times New Roman" w:hAnsi="Times New Roman" w:cs="Times New Roman"/>
                <w:sz w:val="20"/>
                <w:szCs w:val="20"/>
              </w:rPr>
              <w:t xml:space="preserve"> Costs</w:t>
            </w:r>
          </w:p>
          <w:p w14:paraId="510B3E8E"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top w:val="double" w:sz="4" w:space="0" w:color="auto"/>
            </w:tcBorders>
          </w:tcPr>
          <w:p w14:paraId="376BA88D" w14:textId="77777777" w:rsidR="00977CBF" w:rsidRPr="00977CBF" w:rsidRDefault="00977CBF" w:rsidP="00977CBF">
            <w:pPr>
              <w:pStyle w:val="ListParagraph"/>
              <w:ind w:left="0"/>
              <w:rPr>
                <w:rFonts w:ascii="Times New Roman" w:hAnsi="Times New Roman" w:cs="Times New Roman"/>
                <w:b/>
                <w:bCs/>
                <w:sz w:val="20"/>
                <w:szCs w:val="20"/>
              </w:rPr>
            </w:pPr>
            <w:r w:rsidRPr="00977CBF">
              <w:rPr>
                <w:rFonts w:ascii="Times New Roman" w:hAnsi="Times New Roman" w:cs="Times New Roman"/>
                <w:sz w:val="20"/>
                <w:szCs w:val="20"/>
                <w:lang w:val="en-GB"/>
              </w:rPr>
              <w:t>Project follow-up committee meeting for planning the monitoring and evaluation</w:t>
            </w:r>
          </w:p>
        </w:tc>
        <w:tc>
          <w:tcPr>
            <w:tcW w:w="3152" w:type="dxa"/>
            <w:tcBorders>
              <w:top w:val="double" w:sz="4" w:space="0" w:color="auto"/>
              <w:right w:val="double" w:sz="4" w:space="0" w:color="auto"/>
            </w:tcBorders>
          </w:tcPr>
          <w:p w14:paraId="382DF055"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500</w:t>
            </w:r>
          </w:p>
        </w:tc>
      </w:tr>
      <w:tr w:rsidR="00590455" w:rsidRPr="00977CBF" w14:paraId="2FDD8E24" w14:textId="77777777" w:rsidTr="00FD6C3C">
        <w:trPr>
          <w:trHeight w:val="233"/>
        </w:trPr>
        <w:tc>
          <w:tcPr>
            <w:tcW w:w="3190" w:type="dxa"/>
            <w:tcBorders>
              <w:top w:val="double" w:sz="4" w:space="0" w:color="FFFFFF" w:themeColor="background1"/>
              <w:left w:val="double" w:sz="4" w:space="0" w:color="auto"/>
            </w:tcBorders>
          </w:tcPr>
          <w:p w14:paraId="52645BC5" w14:textId="77777777" w:rsidR="00590455" w:rsidRPr="00977CBF" w:rsidRDefault="00590455" w:rsidP="00977CBF">
            <w:pPr>
              <w:pStyle w:val="ListParagraph"/>
              <w:ind w:left="360"/>
              <w:jc w:val="both"/>
              <w:rPr>
                <w:rFonts w:ascii="Times New Roman" w:hAnsi="Times New Roman" w:cs="Times New Roman"/>
                <w:b/>
                <w:sz w:val="20"/>
                <w:szCs w:val="20"/>
                <w:lang w:val="en-GB"/>
              </w:rPr>
            </w:pPr>
          </w:p>
        </w:tc>
        <w:tc>
          <w:tcPr>
            <w:tcW w:w="3168" w:type="dxa"/>
          </w:tcPr>
          <w:p w14:paraId="6F217838" w14:textId="77777777" w:rsidR="00590455" w:rsidRDefault="00590455" w:rsidP="00977CBF">
            <w:pPr>
              <w:pStyle w:val="ListParagraph"/>
              <w:ind w:left="0"/>
              <w:rPr>
                <w:rFonts w:ascii="Times New Roman" w:hAnsi="Times New Roman" w:cs="Times New Roman"/>
                <w:sz w:val="20"/>
                <w:szCs w:val="20"/>
              </w:rPr>
            </w:pPr>
            <w:r w:rsidRPr="00977CBF">
              <w:rPr>
                <w:rFonts w:ascii="Times New Roman" w:hAnsi="Times New Roman" w:cs="Times New Roman"/>
                <w:sz w:val="20"/>
                <w:szCs w:val="20"/>
              </w:rPr>
              <w:t>Final external project evaluation</w:t>
            </w:r>
          </w:p>
          <w:p w14:paraId="720DEC82" w14:textId="77777777" w:rsidR="00590455" w:rsidRPr="00977CBF" w:rsidRDefault="00590455" w:rsidP="00977CBF">
            <w:pPr>
              <w:pStyle w:val="ListParagraph"/>
              <w:ind w:left="0"/>
              <w:rPr>
                <w:rFonts w:ascii="Times New Roman" w:hAnsi="Times New Roman" w:cs="Times New Roman"/>
                <w:b/>
                <w:bCs/>
                <w:sz w:val="20"/>
                <w:szCs w:val="20"/>
                <w:lang w:val="en-GB"/>
              </w:rPr>
            </w:pPr>
          </w:p>
        </w:tc>
        <w:tc>
          <w:tcPr>
            <w:tcW w:w="3152" w:type="dxa"/>
            <w:tcBorders>
              <w:right w:val="double" w:sz="4" w:space="0" w:color="auto"/>
            </w:tcBorders>
          </w:tcPr>
          <w:p w14:paraId="1B373449" w14:textId="77777777" w:rsidR="00590455" w:rsidRPr="00977CBF" w:rsidRDefault="00590455"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6,000</w:t>
            </w:r>
          </w:p>
        </w:tc>
      </w:tr>
      <w:tr w:rsidR="00977CBF" w:rsidRPr="00977CBF" w14:paraId="1F17ECB0" w14:textId="77777777" w:rsidTr="00977CBF">
        <w:tc>
          <w:tcPr>
            <w:tcW w:w="3190" w:type="dxa"/>
            <w:tcBorders>
              <w:top w:val="double" w:sz="4" w:space="0" w:color="auto"/>
              <w:left w:val="double" w:sz="4" w:space="0" w:color="auto"/>
              <w:bottom w:val="single" w:sz="4" w:space="0" w:color="FFFFFF" w:themeColor="background1"/>
            </w:tcBorders>
          </w:tcPr>
          <w:p w14:paraId="61A2C8B4" w14:textId="77777777" w:rsidR="00977CBF" w:rsidRPr="00977CBF" w:rsidRDefault="00977CBF" w:rsidP="00977CBF">
            <w:pPr>
              <w:pStyle w:val="ListParagraph"/>
              <w:spacing w:before="60" w:after="60"/>
              <w:ind w:left="0"/>
              <w:contextualSpacing w:val="0"/>
              <w:rPr>
                <w:rFonts w:ascii="Times New Roman" w:hAnsi="Times New Roman" w:cs="Times New Roman"/>
                <w:sz w:val="20"/>
                <w:szCs w:val="20"/>
              </w:rPr>
            </w:pPr>
            <w:r w:rsidRPr="00977CBF">
              <w:rPr>
                <w:rFonts w:ascii="Times New Roman" w:hAnsi="Times New Roman" w:cs="Times New Roman"/>
                <w:sz w:val="20"/>
                <w:szCs w:val="20"/>
              </w:rPr>
              <w:t xml:space="preserve">Direct impact on empowerment of women and girls with disabilities </w:t>
            </w:r>
          </w:p>
          <w:p w14:paraId="3CFA8220" w14:textId="77777777" w:rsidR="00977CBF" w:rsidRPr="00977CBF" w:rsidRDefault="00977CBF" w:rsidP="00977CBF">
            <w:pPr>
              <w:jc w:val="both"/>
              <w:rPr>
                <w:rFonts w:ascii="Times New Roman" w:hAnsi="Times New Roman" w:cs="Times New Roman"/>
                <w:i/>
                <w:sz w:val="20"/>
              </w:rPr>
            </w:pPr>
          </w:p>
          <w:p w14:paraId="715ECC34" w14:textId="77777777" w:rsidR="00977CBF" w:rsidRPr="00977CBF" w:rsidRDefault="00977CBF" w:rsidP="00977CBF">
            <w:pPr>
              <w:pStyle w:val="ListParagraph"/>
              <w:spacing w:before="60" w:after="60"/>
              <w:ind w:left="0"/>
              <w:contextualSpacing w:val="0"/>
              <w:rPr>
                <w:rFonts w:ascii="Times New Roman" w:hAnsi="Times New Roman" w:cs="Times New Roman"/>
                <w:b/>
                <w:sz w:val="20"/>
                <w:szCs w:val="20"/>
                <w:lang w:val="en-GB"/>
              </w:rPr>
            </w:pPr>
          </w:p>
        </w:tc>
        <w:tc>
          <w:tcPr>
            <w:tcW w:w="3168" w:type="dxa"/>
            <w:tcBorders>
              <w:top w:val="double" w:sz="4" w:space="0" w:color="auto"/>
            </w:tcBorders>
          </w:tcPr>
          <w:p w14:paraId="5CCCEB23" w14:textId="77777777" w:rsidR="00977CBF" w:rsidRPr="00977CBF" w:rsidRDefault="00977CBF" w:rsidP="00977CBF">
            <w:pPr>
              <w:pStyle w:val="ListParagraph"/>
              <w:ind w:left="0"/>
              <w:rPr>
                <w:rFonts w:ascii="Times New Roman" w:hAnsi="Times New Roman" w:cs="Times New Roman"/>
                <w:b/>
                <w:bCs/>
                <w:sz w:val="20"/>
                <w:szCs w:val="20"/>
              </w:rPr>
            </w:pPr>
            <w:r w:rsidRPr="00977CBF">
              <w:rPr>
                <w:rFonts w:ascii="Times New Roman" w:hAnsi="Times New Roman" w:cs="Times New Roman"/>
                <w:sz w:val="20"/>
                <w:szCs w:val="20"/>
              </w:rPr>
              <w:t>Workshops and meetings with the school communities to advocate for protection and for reducing the stigma and discrimination against children with disabilities with a gender-based approach with DPOs</w:t>
            </w:r>
          </w:p>
        </w:tc>
        <w:tc>
          <w:tcPr>
            <w:tcW w:w="3152" w:type="dxa"/>
            <w:tcBorders>
              <w:top w:val="double" w:sz="4" w:space="0" w:color="auto"/>
              <w:right w:val="double" w:sz="4" w:space="0" w:color="auto"/>
            </w:tcBorders>
          </w:tcPr>
          <w:p w14:paraId="3C658E7C"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12,500</w:t>
            </w:r>
          </w:p>
        </w:tc>
      </w:tr>
      <w:tr w:rsidR="00977CBF" w:rsidRPr="00977CBF" w14:paraId="25DDA4A8" w14:textId="77777777" w:rsidTr="00977CBF">
        <w:tc>
          <w:tcPr>
            <w:tcW w:w="3190" w:type="dxa"/>
            <w:tcBorders>
              <w:top w:val="single" w:sz="4" w:space="0" w:color="FFFFFF" w:themeColor="background1"/>
              <w:left w:val="double" w:sz="4" w:space="0" w:color="auto"/>
              <w:bottom w:val="single" w:sz="4" w:space="0" w:color="FFFFFF" w:themeColor="background1"/>
            </w:tcBorders>
          </w:tcPr>
          <w:p w14:paraId="73DFD3E8"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Pr>
          <w:p w14:paraId="6CD15F6B" w14:textId="77777777" w:rsidR="00977CBF" w:rsidRPr="00977CBF" w:rsidRDefault="00977CBF" w:rsidP="00977CBF">
            <w:pPr>
              <w:pStyle w:val="ListParagraph"/>
              <w:ind w:left="0"/>
              <w:rPr>
                <w:rFonts w:ascii="Times New Roman" w:hAnsi="Times New Roman" w:cs="Times New Roman"/>
                <w:bCs/>
                <w:sz w:val="20"/>
                <w:szCs w:val="20"/>
              </w:rPr>
            </w:pPr>
            <w:r w:rsidRPr="00977CBF">
              <w:rPr>
                <w:rFonts w:ascii="Times New Roman" w:hAnsi="Times New Roman" w:cs="Times New Roman"/>
                <w:bCs/>
                <w:sz w:val="20"/>
                <w:szCs w:val="20"/>
              </w:rPr>
              <w:t>Training in the inclusive pedagogical model for teachers in 30 pilot schools (MINERD)</w:t>
            </w:r>
          </w:p>
        </w:tc>
        <w:tc>
          <w:tcPr>
            <w:tcW w:w="3152" w:type="dxa"/>
            <w:tcBorders>
              <w:right w:val="double" w:sz="4" w:space="0" w:color="auto"/>
            </w:tcBorders>
          </w:tcPr>
          <w:p w14:paraId="37467AB1"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20,000</w:t>
            </w:r>
          </w:p>
        </w:tc>
      </w:tr>
      <w:tr w:rsidR="00977CBF" w:rsidRPr="00977CBF" w14:paraId="4A67CBAB" w14:textId="77777777" w:rsidTr="00977CBF">
        <w:tc>
          <w:tcPr>
            <w:tcW w:w="3190" w:type="dxa"/>
            <w:tcBorders>
              <w:top w:val="single" w:sz="4" w:space="0" w:color="FFFFFF" w:themeColor="background1"/>
              <w:left w:val="double" w:sz="4" w:space="0" w:color="auto"/>
              <w:bottom w:val="single" w:sz="4" w:space="0" w:color="FFFFFF" w:themeColor="background1"/>
            </w:tcBorders>
          </w:tcPr>
          <w:p w14:paraId="43027807"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bottom w:val="double" w:sz="4" w:space="0" w:color="auto"/>
            </w:tcBorders>
          </w:tcPr>
          <w:p w14:paraId="50C38AD2" w14:textId="77777777" w:rsidR="00977CBF" w:rsidRPr="00977CBF" w:rsidRDefault="00977CBF" w:rsidP="00977CBF">
            <w:pPr>
              <w:pStyle w:val="ListParagraph"/>
              <w:ind w:left="0"/>
              <w:rPr>
                <w:rFonts w:ascii="Times New Roman" w:hAnsi="Times New Roman" w:cs="Times New Roman"/>
                <w:b/>
                <w:bCs/>
                <w:sz w:val="20"/>
                <w:szCs w:val="20"/>
                <w:lang w:val="en-GB"/>
              </w:rPr>
            </w:pPr>
            <w:r w:rsidRPr="00977CBF">
              <w:rPr>
                <w:rFonts w:ascii="Times New Roman" w:hAnsi="Times New Roman" w:cs="Times New Roman"/>
                <w:sz w:val="20"/>
                <w:szCs w:val="20"/>
                <w:lang w:val="en-GB"/>
              </w:rPr>
              <w:t>Independent Living Workshops</w:t>
            </w:r>
          </w:p>
        </w:tc>
        <w:tc>
          <w:tcPr>
            <w:tcW w:w="3152" w:type="dxa"/>
            <w:tcBorders>
              <w:bottom w:val="double" w:sz="4" w:space="0" w:color="auto"/>
              <w:right w:val="double" w:sz="4" w:space="0" w:color="auto"/>
            </w:tcBorders>
          </w:tcPr>
          <w:p w14:paraId="78B171CD"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63,000</w:t>
            </w:r>
          </w:p>
        </w:tc>
      </w:tr>
      <w:tr w:rsidR="00977CBF" w:rsidRPr="00977CBF" w14:paraId="7944E9A8" w14:textId="77777777" w:rsidTr="00977CBF">
        <w:tc>
          <w:tcPr>
            <w:tcW w:w="3190" w:type="dxa"/>
            <w:tcBorders>
              <w:top w:val="single" w:sz="4" w:space="0" w:color="FFFFFF" w:themeColor="background1"/>
              <w:left w:val="double" w:sz="4" w:space="0" w:color="auto"/>
              <w:bottom w:val="double" w:sz="4" w:space="0" w:color="auto"/>
            </w:tcBorders>
          </w:tcPr>
          <w:p w14:paraId="0AFD4540"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bottom w:val="double" w:sz="4" w:space="0" w:color="auto"/>
            </w:tcBorders>
          </w:tcPr>
          <w:p w14:paraId="315671D5" w14:textId="77777777" w:rsidR="00977CBF" w:rsidRPr="00977CBF" w:rsidRDefault="00977CBF" w:rsidP="00977CBF">
            <w:pPr>
              <w:pStyle w:val="ListParagraph"/>
              <w:ind w:left="0"/>
              <w:rPr>
                <w:rFonts w:ascii="Times New Roman" w:hAnsi="Times New Roman" w:cs="Times New Roman"/>
                <w:sz w:val="20"/>
                <w:szCs w:val="20"/>
                <w:lang w:val="en-GB"/>
              </w:rPr>
            </w:pPr>
            <w:r w:rsidRPr="00977CBF">
              <w:rPr>
                <w:rFonts w:ascii="Times New Roman" w:hAnsi="Times New Roman" w:cs="Times New Roman"/>
                <w:sz w:val="20"/>
                <w:szCs w:val="20"/>
                <w:lang w:val="en-GB"/>
              </w:rPr>
              <w:t>Grant for DPOs to conduct influencing work</w:t>
            </w:r>
          </w:p>
        </w:tc>
        <w:tc>
          <w:tcPr>
            <w:tcW w:w="3152" w:type="dxa"/>
            <w:tcBorders>
              <w:bottom w:val="double" w:sz="4" w:space="0" w:color="auto"/>
              <w:right w:val="double" w:sz="4" w:space="0" w:color="auto"/>
            </w:tcBorders>
          </w:tcPr>
          <w:p w14:paraId="5C59BA17" w14:textId="77777777" w:rsidR="00977CBF" w:rsidRPr="00977CBF" w:rsidRDefault="00977CBF" w:rsidP="00977CBF">
            <w:pPr>
              <w:pStyle w:val="ListParagraph"/>
              <w:ind w:left="0"/>
              <w:jc w:val="both"/>
              <w:rPr>
                <w:rFonts w:ascii="Times New Roman" w:hAnsi="Times New Roman" w:cs="Times New Roman"/>
                <w:sz w:val="20"/>
                <w:szCs w:val="20"/>
                <w:lang w:val="en-GB"/>
              </w:rPr>
            </w:pPr>
            <w:r w:rsidRPr="00977CBF">
              <w:rPr>
                <w:rFonts w:ascii="Times New Roman" w:hAnsi="Times New Roman" w:cs="Times New Roman"/>
                <w:sz w:val="20"/>
                <w:szCs w:val="20"/>
                <w:lang w:val="en-GB"/>
              </w:rPr>
              <w:t>35,000</w:t>
            </w:r>
          </w:p>
        </w:tc>
      </w:tr>
      <w:tr w:rsidR="00977CBF" w:rsidRPr="00977CBF" w14:paraId="4A9AF4DD" w14:textId="77777777" w:rsidTr="00977CBF">
        <w:tc>
          <w:tcPr>
            <w:tcW w:w="3190" w:type="dxa"/>
            <w:tcBorders>
              <w:top w:val="double" w:sz="4" w:space="0" w:color="auto"/>
              <w:left w:val="double" w:sz="4" w:space="0" w:color="auto"/>
              <w:bottom w:val="double" w:sz="4" w:space="0" w:color="FFFFFF" w:themeColor="background1"/>
            </w:tcBorders>
          </w:tcPr>
          <w:p w14:paraId="63C4C20C" w14:textId="77777777" w:rsidR="00977CBF" w:rsidRPr="00977CBF" w:rsidRDefault="00977CBF" w:rsidP="00977CBF">
            <w:pPr>
              <w:pStyle w:val="ListParagraph"/>
              <w:ind w:left="0"/>
              <w:jc w:val="both"/>
              <w:rPr>
                <w:rFonts w:ascii="Times New Roman" w:hAnsi="Times New Roman" w:cs="Times New Roman"/>
                <w:b/>
                <w:sz w:val="20"/>
                <w:szCs w:val="20"/>
                <w:lang w:val="en-GB"/>
              </w:rPr>
            </w:pPr>
            <w:r w:rsidRPr="00977CBF">
              <w:rPr>
                <w:rFonts w:ascii="Times New Roman" w:hAnsi="Times New Roman" w:cs="Times New Roman"/>
                <w:sz w:val="20"/>
                <w:szCs w:val="20"/>
              </w:rPr>
              <w:t>Direct Impact on DPOs’ capacity</w:t>
            </w:r>
          </w:p>
        </w:tc>
        <w:tc>
          <w:tcPr>
            <w:tcW w:w="3168" w:type="dxa"/>
            <w:tcBorders>
              <w:top w:val="double" w:sz="4" w:space="0" w:color="auto"/>
            </w:tcBorders>
          </w:tcPr>
          <w:p w14:paraId="0E55357B" w14:textId="77777777" w:rsidR="00977CBF" w:rsidRPr="00977CBF" w:rsidRDefault="00F72AFB" w:rsidP="00977CBF">
            <w:pPr>
              <w:pStyle w:val="ListParagraph"/>
              <w:ind w:left="0"/>
              <w:rPr>
                <w:rFonts w:ascii="Times New Roman" w:hAnsi="Times New Roman" w:cs="Times New Roman"/>
                <w:b/>
                <w:bCs/>
                <w:sz w:val="20"/>
                <w:szCs w:val="20"/>
                <w:lang w:val="en-GB"/>
              </w:rPr>
            </w:pPr>
            <w:r>
              <w:rPr>
                <w:rFonts w:ascii="Times New Roman" w:hAnsi="Times New Roman" w:cs="Times New Roman"/>
                <w:sz w:val="20"/>
                <w:szCs w:val="20"/>
                <w:lang w:val="en-GB"/>
              </w:rPr>
              <w:t>Independent Living Workshops</w:t>
            </w:r>
          </w:p>
        </w:tc>
        <w:tc>
          <w:tcPr>
            <w:tcW w:w="3152" w:type="dxa"/>
            <w:tcBorders>
              <w:top w:val="double" w:sz="4" w:space="0" w:color="auto"/>
              <w:right w:val="double" w:sz="4" w:space="0" w:color="auto"/>
            </w:tcBorders>
          </w:tcPr>
          <w:p w14:paraId="75F17178"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63,000</w:t>
            </w:r>
          </w:p>
        </w:tc>
      </w:tr>
      <w:tr w:rsidR="00977CBF" w:rsidRPr="00977CBF" w14:paraId="5C603C1E" w14:textId="77777777" w:rsidTr="00977CBF">
        <w:tc>
          <w:tcPr>
            <w:tcW w:w="3190" w:type="dxa"/>
            <w:tcBorders>
              <w:top w:val="double" w:sz="4" w:space="0" w:color="FFFFFF" w:themeColor="background1"/>
              <w:left w:val="double" w:sz="4" w:space="0" w:color="auto"/>
              <w:bottom w:val="double" w:sz="4" w:space="0" w:color="FFFFFF" w:themeColor="background1"/>
            </w:tcBorders>
          </w:tcPr>
          <w:p w14:paraId="35B0AE42" w14:textId="77777777" w:rsidR="00977CBF" w:rsidRPr="00977CBF" w:rsidRDefault="00977CBF" w:rsidP="00977CBF">
            <w:pPr>
              <w:pStyle w:val="ListParagraph"/>
              <w:ind w:left="360"/>
              <w:jc w:val="both"/>
              <w:rPr>
                <w:rFonts w:ascii="Times New Roman" w:hAnsi="Times New Roman" w:cs="Times New Roman"/>
                <w:i/>
                <w:sz w:val="20"/>
                <w:lang w:val="en-GB"/>
              </w:rPr>
            </w:pPr>
          </w:p>
          <w:p w14:paraId="5619EA00"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Pr>
          <w:p w14:paraId="3B32DB8A" w14:textId="77777777" w:rsidR="00977CBF" w:rsidRPr="00977CBF" w:rsidRDefault="00977CBF" w:rsidP="00977CBF">
            <w:pPr>
              <w:pStyle w:val="ListParagraph"/>
              <w:ind w:left="0"/>
              <w:rPr>
                <w:rFonts w:ascii="Times New Roman" w:hAnsi="Times New Roman" w:cs="Times New Roman"/>
                <w:b/>
                <w:bCs/>
                <w:sz w:val="20"/>
                <w:szCs w:val="20"/>
                <w:lang w:val="en-GB"/>
              </w:rPr>
            </w:pPr>
            <w:r w:rsidRPr="00977CBF">
              <w:rPr>
                <w:rFonts w:ascii="Times New Roman" w:hAnsi="Times New Roman" w:cs="Times New Roman"/>
                <w:sz w:val="20"/>
                <w:szCs w:val="20"/>
                <w:lang w:val="en-GB"/>
              </w:rPr>
              <w:t>Grant for DPOs to conduct influencing work</w:t>
            </w:r>
          </w:p>
        </w:tc>
        <w:tc>
          <w:tcPr>
            <w:tcW w:w="3152" w:type="dxa"/>
            <w:tcBorders>
              <w:right w:val="double" w:sz="4" w:space="0" w:color="auto"/>
            </w:tcBorders>
          </w:tcPr>
          <w:p w14:paraId="291D194C"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35,000</w:t>
            </w:r>
          </w:p>
        </w:tc>
      </w:tr>
      <w:tr w:rsidR="00977CBF" w:rsidRPr="00977CBF" w14:paraId="037B453F" w14:textId="77777777" w:rsidTr="00977CBF">
        <w:tc>
          <w:tcPr>
            <w:tcW w:w="3190" w:type="dxa"/>
            <w:tcBorders>
              <w:top w:val="double" w:sz="4" w:space="0" w:color="auto"/>
              <w:left w:val="double" w:sz="4" w:space="0" w:color="auto"/>
              <w:bottom w:val="double" w:sz="4" w:space="0" w:color="FFFFFF" w:themeColor="background1"/>
            </w:tcBorders>
          </w:tcPr>
          <w:p w14:paraId="72EF3DFC"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top w:val="double" w:sz="4" w:space="0" w:color="auto"/>
            </w:tcBorders>
          </w:tcPr>
          <w:p w14:paraId="5F29ECBF" w14:textId="77777777" w:rsidR="00977CBF" w:rsidRPr="00977CBF" w:rsidRDefault="00977CBF" w:rsidP="00977CBF">
            <w:pPr>
              <w:pStyle w:val="ListParagraph"/>
              <w:ind w:left="0"/>
              <w:rPr>
                <w:rFonts w:ascii="Times New Roman" w:hAnsi="Times New Roman" w:cs="Times New Roman"/>
                <w:sz w:val="20"/>
                <w:szCs w:val="20"/>
                <w:lang w:val="en-GB"/>
              </w:rPr>
            </w:pPr>
            <w:r w:rsidRPr="00977CBF">
              <w:rPr>
                <w:rFonts w:ascii="Times New Roman" w:hAnsi="Times New Roman" w:cs="Times New Roman"/>
                <w:sz w:val="20"/>
                <w:szCs w:val="20"/>
                <w:lang w:val="en-GB"/>
              </w:rPr>
              <w:t>International technical support for training 11 CADs in the inclusive pedagogical model.</w:t>
            </w:r>
          </w:p>
          <w:p w14:paraId="666C537F" w14:textId="77777777" w:rsidR="00977CBF" w:rsidRPr="00977CBF" w:rsidRDefault="00977CBF" w:rsidP="00977CBF">
            <w:pPr>
              <w:pStyle w:val="ListParagraph"/>
              <w:ind w:left="0"/>
              <w:rPr>
                <w:rFonts w:ascii="Times New Roman" w:hAnsi="Times New Roman" w:cs="Times New Roman"/>
                <w:b/>
                <w:bCs/>
                <w:sz w:val="20"/>
                <w:szCs w:val="20"/>
              </w:rPr>
            </w:pPr>
          </w:p>
        </w:tc>
        <w:tc>
          <w:tcPr>
            <w:tcW w:w="3152" w:type="dxa"/>
            <w:tcBorders>
              <w:top w:val="double" w:sz="4" w:space="0" w:color="auto"/>
              <w:right w:val="double" w:sz="4" w:space="0" w:color="auto"/>
            </w:tcBorders>
          </w:tcPr>
          <w:p w14:paraId="64CC0F7E"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43,000</w:t>
            </w:r>
          </w:p>
        </w:tc>
      </w:tr>
      <w:tr w:rsidR="00977CBF" w:rsidRPr="00977CBF" w14:paraId="33849976" w14:textId="77777777" w:rsidTr="00977CBF">
        <w:tc>
          <w:tcPr>
            <w:tcW w:w="3190" w:type="dxa"/>
            <w:tcBorders>
              <w:top w:val="double" w:sz="4" w:space="0" w:color="FFFFFF" w:themeColor="background1"/>
              <w:left w:val="double" w:sz="4" w:space="0" w:color="auto"/>
              <w:bottom w:val="double" w:sz="4" w:space="0" w:color="FFFFFF" w:themeColor="background1"/>
            </w:tcBorders>
          </w:tcPr>
          <w:p w14:paraId="2B1C27A7"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bottom w:val="single" w:sz="4" w:space="0" w:color="auto"/>
            </w:tcBorders>
          </w:tcPr>
          <w:p w14:paraId="7229FA1F" w14:textId="77777777" w:rsidR="00977CBF" w:rsidRPr="00977CBF" w:rsidRDefault="00977CBF" w:rsidP="00977CBF">
            <w:pPr>
              <w:pStyle w:val="ListParagraph"/>
              <w:ind w:left="0"/>
              <w:rPr>
                <w:rFonts w:ascii="Times New Roman" w:hAnsi="Times New Roman" w:cs="Times New Roman"/>
                <w:sz w:val="20"/>
                <w:szCs w:val="20"/>
              </w:rPr>
            </w:pPr>
            <w:r w:rsidRPr="00977CBF">
              <w:rPr>
                <w:rFonts w:ascii="Times New Roman" w:hAnsi="Times New Roman" w:cs="Times New Roman"/>
                <w:sz w:val="20"/>
                <w:szCs w:val="20"/>
              </w:rPr>
              <w:t>Consultancy for the identification of gaps of universal accessibility</w:t>
            </w:r>
          </w:p>
        </w:tc>
        <w:tc>
          <w:tcPr>
            <w:tcW w:w="3152" w:type="dxa"/>
            <w:tcBorders>
              <w:bottom w:val="double" w:sz="4" w:space="0" w:color="auto"/>
              <w:right w:val="double" w:sz="4" w:space="0" w:color="auto"/>
            </w:tcBorders>
          </w:tcPr>
          <w:p w14:paraId="4F6D69E7" w14:textId="77777777" w:rsidR="00977CBF" w:rsidRPr="00977CBF" w:rsidRDefault="00977CBF" w:rsidP="00977CBF">
            <w:pPr>
              <w:pStyle w:val="ListParagraph"/>
              <w:ind w:left="0"/>
              <w:jc w:val="both"/>
              <w:rPr>
                <w:rFonts w:ascii="Times New Roman" w:hAnsi="Times New Roman" w:cs="Times New Roman"/>
                <w:sz w:val="20"/>
                <w:szCs w:val="20"/>
                <w:lang w:val="en-GB"/>
              </w:rPr>
            </w:pPr>
            <w:r w:rsidRPr="00977CBF">
              <w:rPr>
                <w:rFonts w:ascii="Times New Roman" w:hAnsi="Times New Roman" w:cs="Times New Roman"/>
                <w:sz w:val="20"/>
                <w:szCs w:val="20"/>
                <w:lang w:val="en-GB"/>
              </w:rPr>
              <w:t>8,000</w:t>
            </w:r>
          </w:p>
        </w:tc>
      </w:tr>
      <w:tr w:rsidR="00977CBF" w:rsidRPr="00977CBF" w14:paraId="10455E63" w14:textId="77777777" w:rsidTr="00977CBF">
        <w:tc>
          <w:tcPr>
            <w:tcW w:w="3190" w:type="dxa"/>
            <w:tcBorders>
              <w:top w:val="double" w:sz="4" w:space="0" w:color="FFFFFF" w:themeColor="background1"/>
              <w:left w:val="double" w:sz="4" w:space="0" w:color="auto"/>
              <w:bottom w:val="double" w:sz="4" w:space="0" w:color="FFFFFF" w:themeColor="background1"/>
            </w:tcBorders>
          </w:tcPr>
          <w:p w14:paraId="010015D8"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bottom w:val="single" w:sz="4" w:space="0" w:color="auto"/>
            </w:tcBorders>
          </w:tcPr>
          <w:p w14:paraId="7B52A800" w14:textId="77777777" w:rsidR="00977CBF" w:rsidRPr="00977CBF" w:rsidRDefault="00977CBF" w:rsidP="00977CBF">
            <w:pPr>
              <w:pStyle w:val="ListParagraph"/>
              <w:ind w:left="0"/>
              <w:rPr>
                <w:rFonts w:ascii="Times New Roman" w:hAnsi="Times New Roman" w:cs="Times New Roman"/>
                <w:sz w:val="20"/>
                <w:szCs w:val="20"/>
              </w:rPr>
            </w:pPr>
            <w:r w:rsidRPr="00977CBF">
              <w:rPr>
                <w:rFonts w:ascii="Times New Roman" w:hAnsi="Times New Roman" w:cs="Times New Roman"/>
                <w:sz w:val="20"/>
                <w:szCs w:val="20"/>
              </w:rPr>
              <w:t>Consultancy for drawing up a strategy for promoting affirmative action for workplace inclusion in the Ministries of Labour and Public Administration.</w:t>
            </w:r>
          </w:p>
        </w:tc>
        <w:tc>
          <w:tcPr>
            <w:tcW w:w="3152" w:type="dxa"/>
            <w:tcBorders>
              <w:bottom w:val="double" w:sz="4" w:space="0" w:color="auto"/>
              <w:right w:val="double" w:sz="4" w:space="0" w:color="auto"/>
            </w:tcBorders>
          </w:tcPr>
          <w:p w14:paraId="2D041278" w14:textId="77777777" w:rsidR="00977CBF" w:rsidRPr="00977CBF" w:rsidRDefault="00977CBF" w:rsidP="00977CBF">
            <w:pPr>
              <w:pStyle w:val="ListParagraph"/>
              <w:ind w:left="0"/>
              <w:jc w:val="both"/>
              <w:rPr>
                <w:rFonts w:ascii="Times New Roman" w:hAnsi="Times New Roman" w:cs="Times New Roman"/>
                <w:sz w:val="20"/>
                <w:szCs w:val="20"/>
                <w:lang w:val="en-GB"/>
              </w:rPr>
            </w:pPr>
            <w:r w:rsidRPr="00977CBF">
              <w:rPr>
                <w:rFonts w:ascii="Times New Roman" w:hAnsi="Times New Roman" w:cs="Times New Roman"/>
                <w:sz w:val="20"/>
                <w:szCs w:val="20"/>
                <w:lang w:val="en-GB"/>
              </w:rPr>
              <w:t>8,000</w:t>
            </w:r>
          </w:p>
        </w:tc>
      </w:tr>
      <w:tr w:rsidR="00977CBF" w:rsidRPr="00977CBF" w14:paraId="02F11A28" w14:textId="77777777" w:rsidTr="00977CBF">
        <w:tc>
          <w:tcPr>
            <w:tcW w:w="3190" w:type="dxa"/>
            <w:tcBorders>
              <w:top w:val="double" w:sz="4" w:space="0" w:color="FFFFFF" w:themeColor="background1"/>
              <w:left w:val="double" w:sz="4" w:space="0" w:color="auto"/>
              <w:bottom w:val="double" w:sz="4" w:space="0" w:color="FFFFFF" w:themeColor="background1"/>
            </w:tcBorders>
          </w:tcPr>
          <w:p w14:paraId="5042B8CE"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bottom w:val="single" w:sz="4" w:space="0" w:color="auto"/>
            </w:tcBorders>
          </w:tcPr>
          <w:p w14:paraId="2AB8A38F" w14:textId="77777777" w:rsidR="00977CBF" w:rsidRPr="00977CBF" w:rsidRDefault="00977CBF" w:rsidP="00977CBF">
            <w:pPr>
              <w:pStyle w:val="ListParagraph"/>
              <w:ind w:left="0"/>
              <w:rPr>
                <w:rFonts w:ascii="Times New Roman" w:hAnsi="Times New Roman" w:cs="Times New Roman"/>
                <w:b/>
                <w:bCs/>
                <w:sz w:val="20"/>
                <w:szCs w:val="20"/>
              </w:rPr>
            </w:pPr>
            <w:r w:rsidRPr="00977CBF">
              <w:rPr>
                <w:rFonts w:ascii="Times New Roman" w:hAnsi="Times New Roman" w:cs="Times New Roman"/>
                <w:sz w:val="20"/>
                <w:szCs w:val="20"/>
              </w:rPr>
              <w:t>National technical support for designing the methodology with key processes and influencing messages geared at ensuring protection and reducing stigma and discrimination against children with disabilities with a gender-based approach.</w:t>
            </w:r>
          </w:p>
        </w:tc>
        <w:tc>
          <w:tcPr>
            <w:tcW w:w="3152" w:type="dxa"/>
            <w:tcBorders>
              <w:bottom w:val="double" w:sz="4" w:space="0" w:color="auto"/>
              <w:right w:val="double" w:sz="4" w:space="0" w:color="auto"/>
            </w:tcBorders>
          </w:tcPr>
          <w:p w14:paraId="08676DEF" w14:textId="77777777" w:rsidR="00977CBF" w:rsidRPr="00977CBF" w:rsidRDefault="00977CBF" w:rsidP="00977CBF">
            <w:pPr>
              <w:pStyle w:val="ListParagraph"/>
              <w:ind w:left="0"/>
              <w:jc w:val="both"/>
              <w:rPr>
                <w:rFonts w:ascii="Times New Roman" w:hAnsi="Times New Roman" w:cs="Times New Roman"/>
                <w:b/>
                <w:bCs/>
                <w:sz w:val="20"/>
                <w:szCs w:val="20"/>
                <w:lang w:val="en-GB"/>
              </w:rPr>
            </w:pPr>
            <w:r w:rsidRPr="00977CBF">
              <w:rPr>
                <w:rFonts w:ascii="Times New Roman" w:hAnsi="Times New Roman" w:cs="Times New Roman"/>
                <w:sz w:val="20"/>
                <w:szCs w:val="20"/>
                <w:lang w:val="en-GB"/>
              </w:rPr>
              <w:t>10,000</w:t>
            </w:r>
          </w:p>
        </w:tc>
      </w:tr>
      <w:tr w:rsidR="00977CBF" w:rsidRPr="00977CBF" w14:paraId="7F26586F" w14:textId="77777777" w:rsidTr="00977CBF">
        <w:tc>
          <w:tcPr>
            <w:tcW w:w="3190" w:type="dxa"/>
            <w:tcBorders>
              <w:top w:val="double" w:sz="4" w:space="0" w:color="FFFFFF" w:themeColor="background1"/>
              <w:left w:val="double" w:sz="4" w:space="0" w:color="auto"/>
              <w:bottom w:val="double" w:sz="4" w:space="0" w:color="FFFFFF" w:themeColor="background1"/>
            </w:tcBorders>
          </w:tcPr>
          <w:p w14:paraId="76852A13" w14:textId="77777777" w:rsidR="00977CBF" w:rsidRPr="00977CBF" w:rsidRDefault="00977CBF" w:rsidP="00977CBF">
            <w:pPr>
              <w:pStyle w:val="ListParagraph"/>
              <w:ind w:left="0"/>
              <w:jc w:val="both"/>
              <w:rPr>
                <w:rFonts w:ascii="Times New Roman" w:hAnsi="Times New Roman" w:cs="Times New Roman"/>
                <w:b/>
                <w:sz w:val="20"/>
                <w:szCs w:val="20"/>
                <w:lang w:val="en-GB"/>
              </w:rPr>
            </w:pPr>
          </w:p>
        </w:tc>
        <w:tc>
          <w:tcPr>
            <w:tcW w:w="3168" w:type="dxa"/>
            <w:tcBorders>
              <w:bottom w:val="single" w:sz="4" w:space="0" w:color="auto"/>
            </w:tcBorders>
          </w:tcPr>
          <w:p w14:paraId="6DAC07EC" w14:textId="77777777" w:rsidR="00977CBF" w:rsidRPr="00977CBF" w:rsidRDefault="00977CBF" w:rsidP="00977CBF">
            <w:pPr>
              <w:pStyle w:val="ListParagraph"/>
              <w:ind w:left="0"/>
              <w:rPr>
                <w:rFonts w:ascii="Times New Roman" w:hAnsi="Times New Roman" w:cs="Times New Roman"/>
                <w:sz w:val="20"/>
                <w:szCs w:val="20"/>
              </w:rPr>
            </w:pPr>
            <w:r w:rsidRPr="00977CBF">
              <w:rPr>
                <w:rFonts w:ascii="Times New Roman" w:hAnsi="Times New Roman" w:cs="Times New Roman"/>
                <w:sz w:val="20"/>
                <w:szCs w:val="20"/>
              </w:rPr>
              <w:t>50 kits with instruction materials for implementing the inclusive pedagogical method in the classroom</w:t>
            </w:r>
          </w:p>
        </w:tc>
        <w:tc>
          <w:tcPr>
            <w:tcW w:w="3152" w:type="dxa"/>
            <w:tcBorders>
              <w:bottom w:val="double" w:sz="4" w:space="0" w:color="auto"/>
              <w:right w:val="double" w:sz="4" w:space="0" w:color="auto"/>
            </w:tcBorders>
          </w:tcPr>
          <w:p w14:paraId="7BB8E496" w14:textId="77777777" w:rsidR="00977CBF" w:rsidRPr="00977CBF" w:rsidRDefault="00977CBF" w:rsidP="00977CBF">
            <w:pPr>
              <w:pStyle w:val="ListParagraph"/>
              <w:ind w:left="0"/>
              <w:jc w:val="both"/>
              <w:rPr>
                <w:rFonts w:ascii="Times New Roman" w:hAnsi="Times New Roman" w:cs="Times New Roman"/>
                <w:sz w:val="20"/>
                <w:szCs w:val="20"/>
                <w:lang w:val="es-DO"/>
              </w:rPr>
            </w:pPr>
            <w:r w:rsidRPr="00977CBF">
              <w:rPr>
                <w:rFonts w:ascii="Times New Roman" w:hAnsi="Times New Roman" w:cs="Times New Roman"/>
                <w:sz w:val="20"/>
                <w:szCs w:val="20"/>
                <w:lang w:val="es-DO"/>
              </w:rPr>
              <w:t>7,500</w:t>
            </w:r>
          </w:p>
        </w:tc>
      </w:tr>
      <w:tr w:rsidR="00977CBF" w:rsidRPr="00977CBF" w14:paraId="06C723F5" w14:textId="77777777" w:rsidTr="00977CBF">
        <w:tc>
          <w:tcPr>
            <w:tcW w:w="3190" w:type="dxa"/>
            <w:tcBorders>
              <w:top w:val="double" w:sz="4" w:space="0" w:color="FFFFFF" w:themeColor="background1"/>
              <w:left w:val="double" w:sz="4" w:space="0" w:color="auto"/>
              <w:bottom w:val="double" w:sz="4" w:space="0" w:color="FFFFFF" w:themeColor="background1"/>
            </w:tcBorders>
          </w:tcPr>
          <w:p w14:paraId="7D1B8398" w14:textId="77777777" w:rsidR="00977CBF" w:rsidRPr="00977CBF" w:rsidRDefault="00977CBF" w:rsidP="00977CBF">
            <w:pPr>
              <w:pStyle w:val="ListParagraph"/>
              <w:ind w:left="0"/>
              <w:jc w:val="both"/>
              <w:rPr>
                <w:rFonts w:ascii="Times New Roman" w:hAnsi="Times New Roman" w:cs="Times New Roman"/>
                <w:b/>
                <w:sz w:val="20"/>
                <w:szCs w:val="20"/>
                <w:lang w:val="en-GB"/>
              </w:rPr>
            </w:pPr>
            <w:r w:rsidRPr="00977CBF">
              <w:rPr>
                <w:rFonts w:ascii="Times New Roman" w:hAnsi="Times New Roman" w:cs="Times New Roman"/>
                <w:sz w:val="20"/>
                <w:szCs w:val="20"/>
              </w:rPr>
              <w:t>Accessibility costs</w:t>
            </w:r>
            <w:r w:rsidRPr="00977CBF" w:rsidDel="00277170">
              <w:rPr>
                <w:rFonts w:ascii="Times New Roman" w:hAnsi="Times New Roman" w:cs="Times New Roman"/>
                <w:i/>
                <w:iCs/>
                <w:sz w:val="20"/>
                <w:szCs w:val="20"/>
                <w:lang w:val="en-GB"/>
              </w:rPr>
              <w:t xml:space="preserve"> </w:t>
            </w:r>
          </w:p>
        </w:tc>
        <w:tc>
          <w:tcPr>
            <w:tcW w:w="3168" w:type="dxa"/>
            <w:tcBorders>
              <w:top w:val="single" w:sz="4" w:space="0" w:color="auto"/>
              <w:bottom w:val="single" w:sz="4" w:space="0" w:color="auto"/>
              <w:right w:val="double" w:sz="4" w:space="0" w:color="auto"/>
            </w:tcBorders>
          </w:tcPr>
          <w:p w14:paraId="2394665E" w14:textId="77777777" w:rsidR="00977CBF" w:rsidRPr="00977CBF" w:rsidRDefault="00977CBF" w:rsidP="00977CBF">
            <w:pPr>
              <w:pStyle w:val="ListParagraph"/>
              <w:ind w:left="0"/>
              <w:rPr>
                <w:rFonts w:ascii="Times New Roman" w:hAnsi="Times New Roman" w:cs="Times New Roman"/>
                <w:sz w:val="20"/>
                <w:szCs w:val="20"/>
              </w:rPr>
            </w:pPr>
            <w:r w:rsidRPr="00977CBF">
              <w:rPr>
                <w:rFonts w:ascii="Times New Roman" w:hAnsi="Times New Roman" w:cs="Times New Roman"/>
                <w:sz w:val="20"/>
                <w:szCs w:val="20"/>
              </w:rPr>
              <w:t>Accessible transport for the Independent Living workshops</w:t>
            </w:r>
          </w:p>
        </w:tc>
        <w:tc>
          <w:tcPr>
            <w:tcW w:w="3152" w:type="dxa"/>
            <w:tcBorders>
              <w:top w:val="double" w:sz="4" w:space="0" w:color="auto"/>
              <w:left w:val="double" w:sz="4" w:space="0" w:color="auto"/>
              <w:bottom w:val="double" w:sz="4" w:space="0" w:color="auto"/>
              <w:right w:val="double" w:sz="4" w:space="0" w:color="auto"/>
            </w:tcBorders>
          </w:tcPr>
          <w:p w14:paraId="0F27D947" w14:textId="77777777" w:rsidR="00977CBF" w:rsidRPr="00977CBF" w:rsidRDefault="00977CBF" w:rsidP="00977CBF">
            <w:pPr>
              <w:pStyle w:val="ListParagraph"/>
              <w:ind w:left="0"/>
              <w:jc w:val="both"/>
              <w:rPr>
                <w:rFonts w:ascii="Times New Roman" w:hAnsi="Times New Roman" w:cs="Times New Roman"/>
                <w:sz w:val="20"/>
                <w:szCs w:val="20"/>
                <w:lang w:val="en-GB"/>
              </w:rPr>
            </w:pPr>
            <w:r w:rsidRPr="00977CBF">
              <w:rPr>
                <w:rFonts w:ascii="Times New Roman" w:hAnsi="Times New Roman" w:cs="Times New Roman"/>
                <w:sz w:val="20"/>
                <w:szCs w:val="20"/>
                <w:lang w:val="en-GB"/>
              </w:rPr>
              <w:t>9,000</w:t>
            </w:r>
          </w:p>
        </w:tc>
      </w:tr>
      <w:tr w:rsidR="00977CBF" w:rsidRPr="00977CBF" w14:paraId="0F21D413" w14:textId="77777777" w:rsidTr="00977CBF">
        <w:tc>
          <w:tcPr>
            <w:tcW w:w="3190" w:type="dxa"/>
            <w:tcBorders>
              <w:top w:val="double" w:sz="4" w:space="0" w:color="FFFFFF" w:themeColor="background1"/>
              <w:left w:val="double" w:sz="4" w:space="0" w:color="auto"/>
              <w:bottom w:val="double" w:sz="4" w:space="0" w:color="auto"/>
            </w:tcBorders>
          </w:tcPr>
          <w:p w14:paraId="20BB1318" w14:textId="77777777" w:rsidR="00977CBF" w:rsidRPr="00977CBF" w:rsidRDefault="00977CBF" w:rsidP="00977CBF">
            <w:pPr>
              <w:pStyle w:val="ListParagraph"/>
              <w:ind w:left="0"/>
              <w:jc w:val="both"/>
              <w:rPr>
                <w:rFonts w:ascii="Times New Roman" w:hAnsi="Times New Roman" w:cs="Times New Roman"/>
                <w:sz w:val="20"/>
                <w:szCs w:val="20"/>
              </w:rPr>
            </w:pPr>
          </w:p>
        </w:tc>
        <w:tc>
          <w:tcPr>
            <w:tcW w:w="3168" w:type="dxa"/>
            <w:tcBorders>
              <w:top w:val="single" w:sz="4" w:space="0" w:color="auto"/>
              <w:bottom w:val="double" w:sz="4" w:space="0" w:color="auto"/>
              <w:right w:val="double" w:sz="4" w:space="0" w:color="auto"/>
            </w:tcBorders>
          </w:tcPr>
          <w:p w14:paraId="43D85630" w14:textId="77777777" w:rsidR="00977CBF" w:rsidRPr="00977CBF" w:rsidRDefault="00977CBF" w:rsidP="00977CBF">
            <w:pPr>
              <w:pStyle w:val="ListParagraph"/>
              <w:ind w:left="0"/>
              <w:rPr>
                <w:rFonts w:ascii="Times New Roman" w:hAnsi="Times New Roman" w:cs="Times New Roman"/>
                <w:sz w:val="20"/>
                <w:szCs w:val="20"/>
              </w:rPr>
            </w:pPr>
            <w:r w:rsidRPr="00977CBF">
              <w:rPr>
                <w:rFonts w:ascii="Times New Roman" w:hAnsi="Times New Roman" w:cs="Times New Roman"/>
                <w:sz w:val="20"/>
                <w:szCs w:val="20"/>
              </w:rPr>
              <w:t>Reproduction of materials and promotion for the independent living workshops</w:t>
            </w:r>
          </w:p>
        </w:tc>
        <w:tc>
          <w:tcPr>
            <w:tcW w:w="3152" w:type="dxa"/>
            <w:tcBorders>
              <w:top w:val="double" w:sz="4" w:space="0" w:color="auto"/>
              <w:left w:val="double" w:sz="4" w:space="0" w:color="auto"/>
              <w:bottom w:val="double" w:sz="4" w:space="0" w:color="auto"/>
              <w:right w:val="double" w:sz="4" w:space="0" w:color="auto"/>
            </w:tcBorders>
          </w:tcPr>
          <w:p w14:paraId="5D6F3A70" w14:textId="77777777" w:rsidR="00977CBF" w:rsidRPr="00977CBF" w:rsidRDefault="00977CBF" w:rsidP="00977CBF">
            <w:pPr>
              <w:pStyle w:val="ListParagraph"/>
              <w:ind w:left="0"/>
              <w:jc w:val="both"/>
              <w:rPr>
                <w:rFonts w:ascii="Times New Roman" w:hAnsi="Times New Roman" w:cs="Times New Roman"/>
                <w:sz w:val="20"/>
                <w:szCs w:val="20"/>
                <w:lang w:val="en-GB"/>
              </w:rPr>
            </w:pPr>
            <w:r w:rsidRPr="00977CBF">
              <w:rPr>
                <w:rFonts w:ascii="Times New Roman" w:hAnsi="Times New Roman" w:cs="Times New Roman"/>
                <w:sz w:val="20"/>
                <w:szCs w:val="20"/>
                <w:lang w:val="en-GB"/>
              </w:rPr>
              <w:t>4,200</w:t>
            </w:r>
          </w:p>
        </w:tc>
      </w:tr>
    </w:tbl>
    <w:p w14:paraId="1FD19A45" w14:textId="77777777" w:rsidR="00A45397" w:rsidRPr="000D4C6A" w:rsidRDefault="00986A15" w:rsidP="000D4C6A">
      <w:pPr>
        <w:pStyle w:val="Normal1"/>
        <w:pBdr>
          <w:top w:val="nil"/>
          <w:left w:val="nil"/>
          <w:bottom w:val="nil"/>
          <w:right w:val="nil"/>
          <w:between w:val="nil"/>
        </w:pBdr>
        <w:ind w:left="360" w:hanging="720"/>
        <w:jc w:val="both"/>
        <w:rPr>
          <w:rFonts w:eastAsia="Calibri"/>
          <w:i/>
        </w:rPr>
      </w:pPr>
      <w:r w:rsidRPr="000D4C6A">
        <w:rPr>
          <w:rFonts w:eastAsia="Calibri"/>
          <w:i/>
        </w:rPr>
        <w:t xml:space="preserve"> </w:t>
      </w:r>
    </w:p>
    <w:p w14:paraId="471819D7" w14:textId="77777777" w:rsidR="00A45397" w:rsidRPr="000D4C6A" w:rsidRDefault="00ED66D0" w:rsidP="000D4C6A">
      <w:pPr>
        <w:pStyle w:val="Normal1"/>
        <w:jc w:val="both"/>
        <w:rPr>
          <w:i/>
        </w:rPr>
      </w:pPr>
      <w:r>
        <w:rPr>
          <w:i/>
        </w:rPr>
        <w:t>*Please note that in this budget not all the items from the general budget are included.</w:t>
      </w:r>
    </w:p>
    <w:sectPr w:rsidR="00A45397" w:rsidRPr="000D4C6A" w:rsidSect="00A45397">
      <w:type w:val="continuous"/>
      <w:pgSz w:w="12240" w:h="15840"/>
      <w:pgMar w:top="1170" w:right="1440" w:bottom="171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0187" w14:textId="77777777" w:rsidR="00FD6C3C" w:rsidRDefault="00FD6C3C" w:rsidP="00A45397">
      <w:r>
        <w:separator/>
      </w:r>
    </w:p>
  </w:endnote>
  <w:endnote w:type="continuationSeparator" w:id="0">
    <w:p w14:paraId="7081EB54" w14:textId="77777777" w:rsidR="00FD6C3C" w:rsidRDefault="00FD6C3C" w:rsidP="00A4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Times New Roman"/>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AC53" w14:textId="77777777" w:rsidR="00FD6C3C" w:rsidRDefault="00FD6C3C" w:rsidP="00A45397">
      <w:r>
        <w:separator/>
      </w:r>
    </w:p>
  </w:footnote>
  <w:footnote w:type="continuationSeparator" w:id="0">
    <w:p w14:paraId="68B5CF40" w14:textId="77777777" w:rsidR="00FD6C3C" w:rsidRDefault="00FD6C3C" w:rsidP="00A45397">
      <w:r>
        <w:continuationSeparator/>
      </w:r>
    </w:p>
  </w:footnote>
  <w:footnote w:id="1">
    <w:p w14:paraId="7BC2393C" w14:textId="77777777" w:rsidR="00FD6C3C" w:rsidRPr="00711519" w:rsidRDefault="00FD6C3C">
      <w:pPr>
        <w:pStyle w:val="Normal1"/>
        <w:pBdr>
          <w:top w:val="nil"/>
          <w:left w:val="nil"/>
          <w:bottom w:val="nil"/>
          <w:right w:val="nil"/>
          <w:between w:val="nil"/>
        </w:pBdr>
        <w:rPr>
          <w:rFonts w:ascii="Calibri" w:eastAsia="Calibri" w:hAnsi="Calibri" w:cs="Calibri"/>
          <w:color w:val="000000"/>
          <w:sz w:val="20"/>
          <w:szCs w:val="20"/>
        </w:rPr>
      </w:pPr>
      <w:r w:rsidRPr="00711519">
        <w:rPr>
          <w:vertAlign w:val="superscript"/>
        </w:rPr>
        <w:footnoteRef/>
      </w:r>
      <w:r w:rsidRPr="00711519">
        <w:rPr>
          <w:rFonts w:ascii="Calibri" w:hAnsi="Calibri"/>
          <w:color w:val="000000"/>
          <w:sz w:val="20"/>
          <w:szCs w:val="20"/>
        </w:rPr>
        <w:t xml:space="preserve"> ENHOGAR National Household Survey 2013</w:t>
      </w:r>
    </w:p>
  </w:footnote>
  <w:footnote w:id="2">
    <w:p w14:paraId="651AAECD" w14:textId="77777777" w:rsidR="00FD6C3C" w:rsidRPr="00711519" w:rsidRDefault="00FD6C3C">
      <w:pPr>
        <w:pStyle w:val="Normal1"/>
        <w:pBdr>
          <w:top w:val="nil"/>
          <w:left w:val="nil"/>
          <w:bottom w:val="nil"/>
          <w:right w:val="nil"/>
          <w:between w:val="nil"/>
        </w:pBdr>
        <w:rPr>
          <w:rFonts w:ascii="Calibri" w:eastAsia="Calibri" w:hAnsi="Calibri" w:cs="Calibri"/>
          <w:color w:val="000000"/>
          <w:sz w:val="20"/>
          <w:szCs w:val="20"/>
        </w:rPr>
      </w:pPr>
      <w:r w:rsidRPr="00711519">
        <w:rPr>
          <w:vertAlign w:val="superscript"/>
        </w:rPr>
        <w:footnoteRef/>
      </w:r>
      <w:r w:rsidRPr="00711519">
        <w:rPr>
          <w:rFonts w:ascii="Calibri" w:hAnsi="Calibri"/>
          <w:color w:val="000000"/>
          <w:sz w:val="20"/>
          <w:szCs w:val="20"/>
        </w:rPr>
        <w:t xml:space="preserve"> Disability in children and adolescents in the Dominican Republic, UNICEF 2015</w:t>
      </w:r>
    </w:p>
  </w:footnote>
  <w:footnote w:id="3">
    <w:p w14:paraId="4BB0DFFD" w14:textId="77777777" w:rsidR="00FD6C3C" w:rsidRPr="00711519" w:rsidRDefault="00FD6C3C">
      <w:pPr>
        <w:pStyle w:val="Normal1"/>
        <w:pBdr>
          <w:top w:val="nil"/>
          <w:left w:val="nil"/>
          <w:bottom w:val="nil"/>
          <w:right w:val="nil"/>
          <w:between w:val="nil"/>
        </w:pBdr>
        <w:rPr>
          <w:rFonts w:ascii="Calibri" w:eastAsia="Calibri" w:hAnsi="Calibri" w:cs="Calibri"/>
          <w:color w:val="000000"/>
          <w:sz w:val="20"/>
          <w:szCs w:val="20"/>
        </w:rPr>
      </w:pPr>
      <w:r w:rsidRPr="00711519">
        <w:rPr>
          <w:vertAlign w:val="superscript"/>
        </w:rPr>
        <w:footnoteRef/>
      </w:r>
      <w:r w:rsidRPr="00711519">
        <w:rPr>
          <w:rFonts w:ascii="Calibri" w:hAnsi="Calibri"/>
          <w:color w:val="000000"/>
          <w:sz w:val="20"/>
          <w:szCs w:val="20"/>
        </w:rPr>
        <w:t xml:space="preserve"> Disability in children and adolescents in the Dominican Republic, UNICEF 2015</w:t>
      </w:r>
    </w:p>
  </w:footnote>
  <w:footnote w:id="4">
    <w:p w14:paraId="5B8DCDDE" w14:textId="77777777" w:rsidR="00FD6C3C" w:rsidRPr="00711519" w:rsidRDefault="00FD6C3C">
      <w:pPr>
        <w:pStyle w:val="Normal1"/>
        <w:pBdr>
          <w:top w:val="nil"/>
          <w:left w:val="nil"/>
          <w:bottom w:val="nil"/>
          <w:right w:val="nil"/>
          <w:between w:val="nil"/>
        </w:pBdr>
        <w:rPr>
          <w:rFonts w:ascii="Calibri" w:eastAsia="Calibri" w:hAnsi="Calibri" w:cs="Calibri"/>
          <w:color w:val="000000"/>
          <w:sz w:val="20"/>
          <w:szCs w:val="20"/>
        </w:rPr>
      </w:pPr>
      <w:r w:rsidRPr="00711519">
        <w:rPr>
          <w:vertAlign w:val="superscript"/>
        </w:rPr>
        <w:footnoteRef/>
      </w:r>
      <w:r w:rsidRPr="00711519">
        <w:rPr>
          <w:rFonts w:ascii="Calibri" w:hAnsi="Calibri"/>
          <w:color w:val="000000"/>
          <w:sz w:val="20"/>
          <w:szCs w:val="20"/>
        </w:rPr>
        <w:t xml:space="preserve"> ENHOGAR National Household Survey 2013</w:t>
      </w:r>
    </w:p>
  </w:footnote>
  <w:footnote w:id="5">
    <w:p w14:paraId="6A1F9922" w14:textId="77777777" w:rsidR="00FD6C3C" w:rsidRPr="00711519" w:rsidRDefault="00FD6C3C">
      <w:pPr>
        <w:pStyle w:val="Normal1"/>
        <w:pBdr>
          <w:top w:val="nil"/>
          <w:left w:val="nil"/>
          <w:bottom w:val="nil"/>
          <w:right w:val="nil"/>
          <w:between w:val="nil"/>
        </w:pBdr>
        <w:rPr>
          <w:rFonts w:ascii="Calibri" w:eastAsia="Calibri" w:hAnsi="Calibri" w:cs="Calibri"/>
          <w:color w:val="000000"/>
          <w:sz w:val="20"/>
          <w:szCs w:val="20"/>
        </w:rPr>
      </w:pPr>
      <w:r w:rsidRPr="00711519">
        <w:rPr>
          <w:vertAlign w:val="superscript"/>
        </w:rPr>
        <w:footnoteRef/>
      </w:r>
      <w:r w:rsidRPr="00711519">
        <w:rPr>
          <w:rFonts w:ascii="Calibri" w:hAnsi="Calibri"/>
          <w:color w:val="000000"/>
          <w:sz w:val="20"/>
          <w:szCs w:val="20"/>
        </w:rPr>
        <w:t xml:space="preserve"> Information gathering about students with signs of disability, MINERD 2013</w:t>
      </w:r>
    </w:p>
  </w:footnote>
  <w:footnote w:id="6">
    <w:p w14:paraId="5942A53C" w14:textId="77777777" w:rsidR="00FD6C3C" w:rsidRPr="00476682" w:rsidRDefault="00FD6C3C">
      <w:pPr>
        <w:pStyle w:val="Normal1"/>
        <w:pBdr>
          <w:top w:val="nil"/>
          <w:left w:val="nil"/>
          <w:bottom w:val="nil"/>
          <w:right w:val="nil"/>
          <w:between w:val="nil"/>
        </w:pBdr>
        <w:rPr>
          <w:rFonts w:ascii="Calibri" w:eastAsia="Calibri" w:hAnsi="Calibri" w:cs="Calibri"/>
          <w:color w:val="000000"/>
          <w:sz w:val="20"/>
          <w:szCs w:val="20"/>
        </w:rPr>
      </w:pPr>
      <w:r w:rsidRPr="00711519">
        <w:rPr>
          <w:vertAlign w:val="superscript"/>
        </w:rPr>
        <w:footnoteRef/>
      </w:r>
      <w:r w:rsidRPr="00711519">
        <w:rPr>
          <w:rFonts w:ascii="Calibri" w:hAnsi="Calibri"/>
          <w:color w:val="000000"/>
          <w:sz w:val="20"/>
          <w:szCs w:val="20"/>
        </w:rPr>
        <w:t xml:space="preserve"> Information gathering about students with signs of disability, MINERD 2013</w:t>
      </w:r>
      <w:r>
        <w:rPr>
          <w:rFonts w:ascii="Calibri" w:hAnsi="Calibri"/>
          <w:color w:val="000000"/>
          <w:sz w:val="20"/>
          <w:szCs w:val="20"/>
        </w:rPr>
        <w:t xml:space="preserve"> </w:t>
      </w:r>
    </w:p>
  </w:footnote>
  <w:footnote w:id="7">
    <w:p w14:paraId="6CC9E09C" w14:textId="77777777" w:rsidR="00FD6C3C" w:rsidRPr="00E942FE" w:rsidRDefault="00FD6C3C">
      <w:pPr>
        <w:pStyle w:val="Normal1"/>
        <w:pBdr>
          <w:top w:val="nil"/>
          <w:left w:val="nil"/>
          <w:bottom w:val="nil"/>
          <w:right w:val="nil"/>
          <w:between w:val="nil"/>
        </w:pBdr>
        <w:jc w:val="both"/>
        <w:rPr>
          <w:rFonts w:ascii="Calibri" w:eastAsia="Calibri" w:hAnsi="Calibri" w:cs="Calibri"/>
          <w:color w:val="000000"/>
          <w:sz w:val="16"/>
          <w:szCs w:val="16"/>
        </w:rPr>
      </w:pPr>
      <w:r w:rsidRPr="00935E25">
        <w:rPr>
          <w:vertAlign w:val="superscript"/>
        </w:rPr>
        <w:footnoteRef/>
      </w:r>
      <w:r w:rsidRPr="00935E25">
        <w:rPr>
          <w:rFonts w:ascii="Calibri" w:hAnsi="Calibri"/>
          <w:color w:val="000000"/>
          <w:sz w:val="20"/>
          <w:szCs w:val="20"/>
        </w:rPr>
        <w:t xml:space="preserve"> </w:t>
      </w:r>
      <w:r w:rsidRPr="00935E25">
        <w:rPr>
          <w:rFonts w:ascii="Calibri" w:hAnsi="Calibri"/>
          <w:color w:val="000000"/>
          <w:sz w:val="16"/>
          <w:szCs w:val="16"/>
        </w:rPr>
        <w:t>The Rights of Persons with Disabilities in the Dominican Republic. “</w:t>
      </w:r>
      <w:r w:rsidRPr="00935E25">
        <w:rPr>
          <w:rFonts w:ascii="Calibri" w:hAnsi="Calibri"/>
          <w:i/>
          <w:color w:val="000000"/>
          <w:sz w:val="16"/>
          <w:szCs w:val="16"/>
        </w:rPr>
        <w:t>Observatory for the implementation of the Convention on the Rights of Persons with Disabilities” (OPcD in Spanish)</w:t>
      </w:r>
      <w:r w:rsidRPr="00935E25">
        <w:rPr>
          <w:rFonts w:ascii="Calibri" w:hAnsi="Calibri"/>
          <w:color w:val="000000"/>
          <w:sz w:val="16"/>
          <w:szCs w:val="16"/>
        </w:rPr>
        <w:t>, implemented by the Association of People with Physical-Motor Disabilities (ASODIFIMO) in partnership with the Pedro Francisco Bonó Centre and in collaboration with the Circle of Women with Disabilities (CIMUDIS) and the Dominican Foundation</w:t>
      </w:r>
      <w:r>
        <w:rPr>
          <w:rFonts w:ascii="Calibri" w:hAnsi="Calibri"/>
          <w:color w:val="000000"/>
          <w:sz w:val="16"/>
          <w:szCs w:val="16"/>
        </w:rPr>
        <w:t xml:space="preserve"> for</w:t>
      </w:r>
      <w:r w:rsidRPr="00935E25">
        <w:rPr>
          <w:rFonts w:ascii="Calibri" w:hAnsi="Calibri"/>
          <w:color w:val="000000"/>
          <w:sz w:val="16"/>
          <w:szCs w:val="16"/>
        </w:rPr>
        <w:t xml:space="preserve"> </w:t>
      </w:r>
      <w:r>
        <w:rPr>
          <w:rFonts w:ascii="Calibri" w:hAnsi="Calibri"/>
          <w:color w:val="000000"/>
          <w:sz w:val="16"/>
          <w:szCs w:val="16"/>
        </w:rPr>
        <w:t>Blind People</w:t>
      </w:r>
      <w:r w:rsidRPr="00935E25">
        <w:rPr>
          <w:rFonts w:ascii="Calibri" w:hAnsi="Calibri"/>
          <w:color w:val="000000"/>
          <w:sz w:val="16"/>
          <w:szCs w:val="16"/>
        </w:rPr>
        <w:t xml:space="preserve"> (FUDCI); with support from the European Union.</w:t>
      </w:r>
    </w:p>
  </w:footnote>
  <w:footnote w:id="8">
    <w:p w14:paraId="17BABD81" w14:textId="77777777" w:rsidR="00FD6C3C" w:rsidRDefault="00FD6C3C" w:rsidP="00977CBF">
      <w:pPr>
        <w:pStyle w:val="FootnoteText"/>
      </w:pPr>
      <w:r w:rsidRPr="00277170">
        <w:rPr>
          <w:rStyle w:val="FootnoteReference"/>
        </w:rPr>
        <w:footnoteRef/>
      </w:r>
      <w:r w:rsidRPr="00277170">
        <w:t xml:space="preserve"> Please include costs for a final external evaluation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D64"/>
    <w:multiLevelType w:val="multilevel"/>
    <w:tmpl w:val="B2DE6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D92BD1"/>
    <w:multiLevelType w:val="multilevel"/>
    <w:tmpl w:val="607A803A"/>
    <w:lvl w:ilvl="0">
      <w:start w:val="1"/>
      <w:numFmt w:val="decimal"/>
      <w:lvlText w:val="%1."/>
      <w:lvlJc w:val="left"/>
      <w:pPr>
        <w:ind w:left="360" w:hanging="360"/>
      </w:pPr>
      <w:rPr>
        <w:b w:val="0"/>
        <w:sz w:val="32"/>
        <w:szCs w:val="3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8436B11"/>
    <w:multiLevelType w:val="multilevel"/>
    <w:tmpl w:val="825CA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5F2D6B"/>
    <w:multiLevelType w:val="multilevel"/>
    <w:tmpl w:val="250CC884"/>
    <w:lvl w:ilvl="0">
      <w:start w:val="1"/>
      <w:numFmt w:val="decimal"/>
      <w:lvlText w:val="%1."/>
      <w:lvlJc w:val="left"/>
      <w:pPr>
        <w:ind w:left="720" w:hanging="360"/>
      </w:pPr>
      <w:rPr>
        <w:b/>
      </w:rPr>
    </w:lvl>
    <w:lvl w:ilvl="1">
      <w:start w:val="2"/>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8D42959"/>
    <w:multiLevelType w:val="multilevel"/>
    <w:tmpl w:val="E9D04E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765F2C"/>
    <w:multiLevelType w:val="multilevel"/>
    <w:tmpl w:val="CD04C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B43065"/>
    <w:multiLevelType w:val="multilevel"/>
    <w:tmpl w:val="A59AA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B20A53"/>
    <w:multiLevelType w:val="multilevel"/>
    <w:tmpl w:val="97866C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F006887"/>
    <w:multiLevelType w:val="multilevel"/>
    <w:tmpl w:val="800273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827148"/>
    <w:multiLevelType w:val="multilevel"/>
    <w:tmpl w:val="43F8EE00"/>
    <w:lvl w:ilvl="0">
      <w:start w:val="1"/>
      <w:numFmt w:val="decimal"/>
      <w:lvlText w:val="%1."/>
      <w:lvlJc w:val="left"/>
      <w:pPr>
        <w:ind w:left="720" w:hanging="360"/>
      </w:pPr>
      <w:rPr>
        <w:rFonts w:ascii="Calibri" w:eastAsia="Calibri" w:hAnsi="Calibri" w:cs="Calibri"/>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78510F"/>
    <w:multiLevelType w:val="multilevel"/>
    <w:tmpl w:val="DAD240A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55124"/>
    <w:multiLevelType w:val="multilevel"/>
    <w:tmpl w:val="144AB64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0711517"/>
    <w:multiLevelType w:val="multilevel"/>
    <w:tmpl w:val="889E832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0CE7A2E"/>
    <w:multiLevelType w:val="multilevel"/>
    <w:tmpl w:val="171E4A6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AA4FC6"/>
    <w:multiLevelType w:val="multilevel"/>
    <w:tmpl w:val="6B224D9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3E6A56"/>
    <w:multiLevelType w:val="multilevel"/>
    <w:tmpl w:val="14E27E5E"/>
    <w:lvl w:ilvl="0">
      <w:start w:val="1"/>
      <w:numFmt w:val="decimal"/>
      <w:lvlText w:val="%1."/>
      <w:lvlJc w:val="left"/>
      <w:pPr>
        <w:ind w:left="720" w:hanging="360"/>
      </w:pPr>
      <w:rPr>
        <w:rFonts w:ascii="Calibri" w:eastAsia="Calibri" w:hAnsi="Calibri" w:cs="Calibri"/>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672C54"/>
    <w:multiLevelType w:val="multilevel"/>
    <w:tmpl w:val="9350E128"/>
    <w:lvl w:ilvl="0">
      <w:start w:val="1"/>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7" w15:restartNumberingAfterBreak="0">
    <w:nsid w:val="3F5147EC"/>
    <w:multiLevelType w:val="multilevel"/>
    <w:tmpl w:val="E94C852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66779A"/>
    <w:multiLevelType w:val="multilevel"/>
    <w:tmpl w:val="3BC45496"/>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9" w15:restartNumberingAfterBreak="0">
    <w:nsid w:val="40024639"/>
    <w:multiLevelType w:val="multilevel"/>
    <w:tmpl w:val="90EAC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0F7AB4"/>
    <w:multiLevelType w:val="multilevel"/>
    <w:tmpl w:val="223E1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927905"/>
    <w:multiLevelType w:val="multilevel"/>
    <w:tmpl w:val="250CC884"/>
    <w:lvl w:ilvl="0">
      <w:start w:val="1"/>
      <w:numFmt w:val="decimal"/>
      <w:lvlText w:val="%1."/>
      <w:lvlJc w:val="left"/>
      <w:pPr>
        <w:ind w:left="720" w:hanging="360"/>
      </w:pPr>
      <w:rPr>
        <w:b/>
      </w:rPr>
    </w:lvl>
    <w:lvl w:ilvl="1">
      <w:start w:val="2"/>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463F12A2"/>
    <w:multiLevelType w:val="multilevel"/>
    <w:tmpl w:val="0B6A31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97556"/>
    <w:multiLevelType w:val="multilevel"/>
    <w:tmpl w:val="5C04594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D00708"/>
    <w:multiLevelType w:val="multilevel"/>
    <w:tmpl w:val="F1642FD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C6236A"/>
    <w:multiLevelType w:val="multilevel"/>
    <w:tmpl w:val="C188F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485F83"/>
    <w:multiLevelType w:val="multilevel"/>
    <w:tmpl w:val="EA16D6F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03B029C"/>
    <w:multiLevelType w:val="multilevel"/>
    <w:tmpl w:val="A0F68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8B5EE6"/>
    <w:multiLevelType w:val="multilevel"/>
    <w:tmpl w:val="EB0231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27E1828"/>
    <w:multiLevelType w:val="multilevel"/>
    <w:tmpl w:val="F98AE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266476"/>
    <w:multiLevelType w:val="multilevel"/>
    <w:tmpl w:val="944C8D4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0"/>
  </w:num>
  <w:num w:numId="4">
    <w:abstractNumId w:val="5"/>
  </w:num>
  <w:num w:numId="5">
    <w:abstractNumId w:val="27"/>
  </w:num>
  <w:num w:numId="6">
    <w:abstractNumId w:val="25"/>
  </w:num>
  <w:num w:numId="7">
    <w:abstractNumId w:val="18"/>
  </w:num>
  <w:num w:numId="8">
    <w:abstractNumId w:val="20"/>
  </w:num>
  <w:num w:numId="9">
    <w:abstractNumId w:val="19"/>
  </w:num>
  <w:num w:numId="10">
    <w:abstractNumId w:val="2"/>
  </w:num>
  <w:num w:numId="11">
    <w:abstractNumId w:val="7"/>
  </w:num>
  <w:num w:numId="12">
    <w:abstractNumId w:val="3"/>
  </w:num>
  <w:num w:numId="13">
    <w:abstractNumId w:val="29"/>
  </w:num>
  <w:num w:numId="14">
    <w:abstractNumId w:val="11"/>
  </w:num>
  <w:num w:numId="15">
    <w:abstractNumId w:val="12"/>
  </w:num>
  <w:num w:numId="16">
    <w:abstractNumId w:val="28"/>
  </w:num>
  <w:num w:numId="17">
    <w:abstractNumId w:val="1"/>
  </w:num>
  <w:num w:numId="18">
    <w:abstractNumId w:val="26"/>
  </w:num>
  <w:num w:numId="19">
    <w:abstractNumId w:val="4"/>
  </w:num>
  <w:num w:numId="20">
    <w:abstractNumId w:val="16"/>
  </w:num>
  <w:num w:numId="21">
    <w:abstractNumId w:val="6"/>
  </w:num>
  <w:num w:numId="22">
    <w:abstractNumId w:val="17"/>
  </w:num>
  <w:num w:numId="23">
    <w:abstractNumId w:val="24"/>
  </w:num>
  <w:num w:numId="24">
    <w:abstractNumId w:val="22"/>
  </w:num>
  <w:num w:numId="25">
    <w:abstractNumId w:val="8"/>
  </w:num>
  <w:num w:numId="26">
    <w:abstractNumId w:val="10"/>
  </w:num>
  <w:num w:numId="27">
    <w:abstractNumId w:val="30"/>
  </w:num>
  <w:num w:numId="28">
    <w:abstractNumId w:val="13"/>
  </w:num>
  <w:num w:numId="29">
    <w:abstractNumId w:val="14"/>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97"/>
    <w:rsid w:val="00004746"/>
    <w:rsid w:val="00052FB2"/>
    <w:rsid w:val="000739D8"/>
    <w:rsid w:val="00075C94"/>
    <w:rsid w:val="00080C6A"/>
    <w:rsid w:val="000D4C6A"/>
    <w:rsid w:val="000E0D28"/>
    <w:rsid w:val="000F012E"/>
    <w:rsid w:val="000F165D"/>
    <w:rsid w:val="0010615C"/>
    <w:rsid w:val="00107BD4"/>
    <w:rsid w:val="00115ED9"/>
    <w:rsid w:val="00116E6B"/>
    <w:rsid w:val="00130FF6"/>
    <w:rsid w:val="00140D5C"/>
    <w:rsid w:val="00185028"/>
    <w:rsid w:val="00196788"/>
    <w:rsid w:val="001A6A4B"/>
    <w:rsid w:val="001B02A0"/>
    <w:rsid w:val="001B3C01"/>
    <w:rsid w:val="001B4E85"/>
    <w:rsid w:val="001C16EA"/>
    <w:rsid w:val="001C3954"/>
    <w:rsid w:val="001C4410"/>
    <w:rsid w:val="001D2CFB"/>
    <w:rsid w:val="001D2D8D"/>
    <w:rsid w:val="001E027D"/>
    <w:rsid w:val="001E41E3"/>
    <w:rsid w:val="001F1FC5"/>
    <w:rsid w:val="00201FFA"/>
    <w:rsid w:val="002058EB"/>
    <w:rsid w:val="002234AE"/>
    <w:rsid w:val="00244B2F"/>
    <w:rsid w:val="002562B1"/>
    <w:rsid w:val="00262FC0"/>
    <w:rsid w:val="00267899"/>
    <w:rsid w:val="00272E40"/>
    <w:rsid w:val="00277D56"/>
    <w:rsid w:val="00296F98"/>
    <w:rsid w:val="002A222C"/>
    <w:rsid w:val="002A2908"/>
    <w:rsid w:val="002B7654"/>
    <w:rsid w:val="002C5716"/>
    <w:rsid w:val="002E6079"/>
    <w:rsid w:val="002E66E0"/>
    <w:rsid w:val="002E7B5D"/>
    <w:rsid w:val="002F4D43"/>
    <w:rsid w:val="002F66C3"/>
    <w:rsid w:val="00326C26"/>
    <w:rsid w:val="003549F9"/>
    <w:rsid w:val="003616CC"/>
    <w:rsid w:val="0036189C"/>
    <w:rsid w:val="00376D61"/>
    <w:rsid w:val="0037737C"/>
    <w:rsid w:val="003A5E8C"/>
    <w:rsid w:val="003C3F53"/>
    <w:rsid w:val="00413B77"/>
    <w:rsid w:val="00425A41"/>
    <w:rsid w:val="00436396"/>
    <w:rsid w:val="00440709"/>
    <w:rsid w:val="00447044"/>
    <w:rsid w:val="004563CE"/>
    <w:rsid w:val="00460569"/>
    <w:rsid w:val="0047332A"/>
    <w:rsid w:val="00476682"/>
    <w:rsid w:val="00490553"/>
    <w:rsid w:val="004A11C3"/>
    <w:rsid w:val="004B4B62"/>
    <w:rsid w:val="004B5EF4"/>
    <w:rsid w:val="004C6B61"/>
    <w:rsid w:val="004C7481"/>
    <w:rsid w:val="004D0FE2"/>
    <w:rsid w:val="004D30A0"/>
    <w:rsid w:val="00512AA3"/>
    <w:rsid w:val="00521ECD"/>
    <w:rsid w:val="0053226A"/>
    <w:rsid w:val="00561177"/>
    <w:rsid w:val="00564687"/>
    <w:rsid w:val="005716AF"/>
    <w:rsid w:val="0058276D"/>
    <w:rsid w:val="00590455"/>
    <w:rsid w:val="005A0FD6"/>
    <w:rsid w:val="005B4665"/>
    <w:rsid w:val="005B4BF2"/>
    <w:rsid w:val="005B5279"/>
    <w:rsid w:val="005B5F00"/>
    <w:rsid w:val="005C6158"/>
    <w:rsid w:val="005D26E4"/>
    <w:rsid w:val="005D55B9"/>
    <w:rsid w:val="006169CC"/>
    <w:rsid w:val="00617F25"/>
    <w:rsid w:val="00624D32"/>
    <w:rsid w:val="00631885"/>
    <w:rsid w:val="00636552"/>
    <w:rsid w:val="0065785A"/>
    <w:rsid w:val="00665D17"/>
    <w:rsid w:val="00665EE8"/>
    <w:rsid w:val="0066709A"/>
    <w:rsid w:val="0067269E"/>
    <w:rsid w:val="00686593"/>
    <w:rsid w:val="006934D4"/>
    <w:rsid w:val="006A229D"/>
    <w:rsid w:val="006B6CC7"/>
    <w:rsid w:val="006E24FF"/>
    <w:rsid w:val="006F2AC8"/>
    <w:rsid w:val="00706A97"/>
    <w:rsid w:val="00711519"/>
    <w:rsid w:val="007219E5"/>
    <w:rsid w:val="00731281"/>
    <w:rsid w:val="0073209E"/>
    <w:rsid w:val="0073299E"/>
    <w:rsid w:val="00733528"/>
    <w:rsid w:val="00733D7E"/>
    <w:rsid w:val="00735BA0"/>
    <w:rsid w:val="00742C72"/>
    <w:rsid w:val="00775C62"/>
    <w:rsid w:val="0078035D"/>
    <w:rsid w:val="00780B2A"/>
    <w:rsid w:val="007A078E"/>
    <w:rsid w:val="007A5979"/>
    <w:rsid w:val="007D613C"/>
    <w:rsid w:val="007E0C05"/>
    <w:rsid w:val="008005D5"/>
    <w:rsid w:val="00806259"/>
    <w:rsid w:val="0081082F"/>
    <w:rsid w:val="008115E8"/>
    <w:rsid w:val="00814D90"/>
    <w:rsid w:val="00822EA0"/>
    <w:rsid w:val="00831778"/>
    <w:rsid w:val="00844F4F"/>
    <w:rsid w:val="00847AE6"/>
    <w:rsid w:val="008642FB"/>
    <w:rsid w:val="0086433E"/>
    <w:rsid w:val="00891138"/>
    <w:rsid w:val="008A01F7"/>
    <w:rsid w:val="008A223A"/>
    <w:rsid w:val="008A5D4A"/>
    <w:rsid w:val="008C1006"/>
    <w:rsid w:val="008C13E6"/>
    <w:rsid w:val="008D20E3"/>
    <w:rsid w:val="008F0E31"/>
    <w:rsid w:val="008F71BA"/>
    <w:rsid w:val="00900392"/>
    <w:rsid w:val="00900AC1"/>
    <w:rsid w:val="009015D1"/>
    <w:rsid w:val="0090559F"/>
    <w:rsid w:val="00921BF3"/>
    <w:rsid w:val="00926D48"/>
    <w:rsid w:val="00935E25"/>
    <w:rsid w:val="00944A23"/>
    <w:rsid w:val="009503FC"/>
    <w:rsid w:val="00950486"/>
    <w:rsid w:val="00966373"/>
    <w:rsid w:val="0096691E"/>
    <w:rsid w:val="0097763F"/>
    <w:rsid w:val="00977CBF"/>
    <w:rsid w:val="00986A15"/>
    <w:rsid w:val="0099607F"/>
    <w:rsid w:val="009A3D20"/>
    <w:rsid w:val="009B4D53"/>
    <w:rsid w:val="009C042E"/>
    <w:rsid w:val="009D2C99"/>
    <w:rsid w:val="009E33E8"/>
    <w:rsid w:val="009F3E4F"/>
    <w:rsid w:val="00A04222"/>
    <w:rsid w:val="00A05C1F"/>
    <w:rsid w:val="00A06446"/>
    <w:rsid w:val="00A25063"/>
    <w:rsid w:val="00A40D9F"/>
    <w:rsid w:val="00A45397"/>
    <w:rsid w:val="00A847DE"/>
    <w:rsid w:val="00A9442A"/>
    <w:rsid w:val="00A94E56"/>
    <w:rsid w:val="00AA53D6"/>
    <w:rsid w:val="00AA76A5"/>
    <w:rsid w:val="00AC632D"/>
    <w:rsid w:val="00AD0ED4"/>
    <w:rsid w:val="00AE2F82"/>
    <w:rsid w:val="00B06C3C"/>
    <w:rsid w:val="00B072CE"/>
    <w:rsid w:val="00B23C25"/>
    <w:rsid w:val="00B343B2"/>
    <w:rsid w:val="00B344A0"/>
    <w:rsid w:val="00B367D0"/>
    <w:rsid w:val="00B76BD0"/>
    <w:rsid w:val="00B81EA4"/>
    <w:rsid w:val="00B90B3C"/>
    <w:rsid w:val="00B9401A"/>
    <w:rsid w:val="00BA0E33"/>
    <w:rsid w:val="00BB6F1A"/>
    <w:rsid w:val="00BC1C02"/>
    <w:rsid w:val="00BE2C88"/>
    <w:rsid w:val="00C10C7F"/>
    <w:rsid w:val="00C23456"/>
    <w:rsid w:val="00C320FF"/>
    <w:rsid w:val="00C42774"/>
    <w:rsid w:val="00C52ED3"/>
    <w:rsid w:val="00C54DDE"/>
    <w:rsid w:val="00C81E36"/>
    <w:rsid w:val="00C873C1"/>
    <w:rsid w:val="00C91709"/>
    <w:rsid w:val="00CB7399"/>
    <w:rsid w:val="00CF3B1E"/>
    <w:rsid w:val="00D21BC1"/>
    <w:rsid w:val="00D365CF"/>
    <w:rsid w:val="00D370F0"/>
    <w:rsid w:val="00D43FD0"/>
    <w:rsid w:val="00D44B16"/>
    <w:rsid w:val="00D63578"/>
    <w:rsid w:val="00D63C86"/>
    <w:rsid w:val="00D67462"/>
    <w:rsid w:val="00D74ED7"/>
    <w:rsid w:val="00D847BF"/>
    <w:rsid w:val="00D8502C"/>
    <w:rsid w:val="00D93857"/>
    <w:rsid w:val="00DC79BB"/>
    <w:rsid w:val="00DD73E4"/>
    <w:rsid w:val="00DD7DA4"/>
    <w:rsid w:val="00DF761F"/>
    <w:rsid w:val="00E00213"/>
    <w:rsid w:val="00E00AD9"/>
    <w:rsid w:val="00E03CB5"/>
    <w:rsid w:val="00E071CA"/>
    <w:rsid w:val="00E07224"/>
    <w:rsid w:val="00E226F3"/>
    <w:rsid w:val="00E4069F"/>
    <w:rsid w:val="00E4768B"/>
    <w:rsid w:val="00E90B84"/>
    <w:rsid w:val="00E9116E"/>
    <w:rsid w:val="00E942FE"/>
    <w:rsid w:val="00EA6BFC"/>
    <w:rsid w:val="00EB0EA1"/>
    <w:rsid w:val="00EC5170"/>
    <w:rsid w:val="00EC7352"/>
    <w:rsid w:val="00ED5810"/>
    <w:rsid w:val="00ED66D0"/>
    <w:rsid w:val="00ED6FAC"/>
    <w:rsid w:val="00F04530"/>
    <w:rsid w:val="00F05C33"/>
    <w:rsid w:val="00F162ED"/>
    <w:rsid w:val="00F1792A"/>
    <w:rsid w:val="00F44E8A"/>
    <w:rsid w:val="00F513FD"/>
    <w:rsid w:val="00F531BE"/>
    <w:rsid w:val="00F56621"/>
    <w:rsid w:val="00F634B1"/>
    <w:rsid w:val="00F63AEE"/>
    <w:rsid w:val="00F64F9F"/>
    <w:rsid w:val="00F72AFB"/>
    <w:rsid w:val="00F90F09"/>
    <w:rsid w:val="00F97248"/>
    <w:rsid w:val="00FA273F"/>
    <w:rsid w:val="00FC0B1C"/>
    <w:rsid w:val="00FD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BAC7"/>
  <w15:docId w15:val="{B81B080F-5370-AA43-AF53-08FE6D03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10"/>
  </w:style>
  <w:style w:type="paragraph" w:styleId="Heading1">
    <w:name w:val="heading 1"/>
    <w:basedOn w:val="Normal1"/>
    <w:next w:val="Normal1"/>
    <w:rsid w:val="00A45397"/>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1"/>
    <w:next w:val="Normal1"/>
    <w:rsid w:val="00A45397"/>
    <w:pPr>
      <w:keepNext/>
      <w:keepLines/>
      <w:spacing w:before="40" w:line="276" w:lineRule="auto"/>
      <w:outlineLvl w:val="1"/>
    </w:pPr>
    <w:rPr>
      <w:rFonts w:ascii="Cambria" w:eastAsia="Cambria" w:hAnsi="Cambria" w:cs="Cambria"/>
      <w:color w:val="366091"/>
      <w:sz w:val="26"/>
      <w:szCs w:val="26"/>
    </w:rPr>
  </w:style>
  <w:style w:type="paragraph" w:styleId="Heading3">
    <w:name w:val="heading 3"/>
    <w:basedOn w:val="Normal1"/>
    <w:next w:val="Normal1"/>
    <w:rsid w:val="00A45397"/>
    <w:pPr>
      <w:keepNext/>
      <w:keepLines/>
      <w:spacing w:before="280" w:after="80"/>
      <w:outlineLvl w:val="2"/>
    </w:pPr>
    <w:rPr>
      <w:b/>
      <w:sz w:val="28"/>
      <w:szCs w:val="28"/>
    </w:rPr>
  </w:style>
  <w:style w:type="paragraph" w:styleId="Heading4">
    <w:name w:val="heading 4"/>
    <w:basedOn w:val="Normal1"/>
    <w:next w:val="Normal1"/>
    <w:rsid w:val="00A45397"/>
    <w:pPr>
      <w:keepNext/>
      <w:keepLines/>
      <w:spacing w:before="240" w:after="40"/>
      <w:outlineLvl w:val="3"/>
    </w:pPr>
    <w:rPr>
      <w:b/>
    </w:rPr>
  </w:style>
  <w:style w:type="paragraph" w:styleId="Heading5">
    <w:name w:val="heading 5"/>
    <w:basedOn w:val="Normal1"/>
    <w:next w:val="Normal1"/>
    <w:rsid w:val="00A45397"/>
    <w:pPr>
      <w:keepNext/>
      <w:keepLines/>
      <w:spacing w:before="220" w:after="40"/>
      <w:outlineLvl w:val="4"/>
    </w:pPr>
    <w:rPr>
      <w:b/>
      <w:sz w:val="22"/>
      <w:szCs w:val="22"/>
    </w:rPr>
  </w:style>
  <w:style w:type="paragraph" w:styleId="Heading6">
    <w:name w:val="heading 6"/>
    <w:basedOn w:val="Normal1"/>
    <w:next w:val="Normal1"/>
    <w:rsid w:val="00A453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5397"/>
  </w:style>
  <w:style w:type="paragraph" w:styleId="Title">
    <w:name w:val="Title"/>
    <w:basedOn w:val="Normal1"/>
    <w:next w:val="Normal1"/>
    <w:rsid w:val="00A45397"/>
    <w:pPr>
      <w:keepNext/>
      <w:keepLines/>
      <w:spacing w:before="480" w:after="120"/>
    </w:pPr>
    <w:rPr>
      <w:b/>
      <w:sz w:val="72"/>
      <w:szCs w:val="72"/>
    </w:rPr>
  </w:style>
  <w:style w:type="paragraph" w:styleId="Subtitle">
    <w:name w:val="Subtitle"/>
    <w:basedOn w:val="Normal1"/>
    <w:next w:val="Normal1"/>
    <w:rsid w:val="00A45397"/>
    <w:pPr>
      <w:keepNext/>
      <w:keepLines/>
      <w:spacing w:before="360" w:after="80"/>
    </w:pPr>
    <w:rPr>
      <w:rFonts w:ascii="Georgia" w:eastAsia="Georgia" w:hAnsi="Georgia" w:cs="Georgia"/>
      <w:i/>
      <w:color w:val="666666"/>
      <w:sz w:val="48"/>
      <w:szCs w:val="48"/>
    </w:rPr>
  </w:style>
  <w:style w:type="table" w:customStyle="1" w:styleId="a">
    <w:basedOn w:val="TableNormal"/>
    <w:rsid w:val="00A45397"/>
    <w:tblPr>
      <w:tblStyleRowBandSize w:val="1"/>
      <w:tblStyleColBandSize w:val="1"/>
    </w:tblPr>
  </w:style>
  <w:style w:type="table" w:customStyle="1" w:styleId="a0">
    <w:basedOn w:val="TableNormal"/>
    <w:rsid w:val="00A45397"/>
    <w:tblPr>
      <w:tblStyleRowBandSize w:val="1"/>
      <w:tblStyleColBandSize w:val="1"/>
    </w:tblPr>
  </w:style>
  <w:style w:type="table" w:customStyle="1" w:styleId="a1">
    <w:basedOn w:val="TableNormal"/>
    <w:rsid w:val="00A45397"/>
    <w:tblPr>
      <w:tblStyleRowBandSize w:val="1"/>
      <w:tblStyleColBandSize w:val="1"/>
    </w:tblPr>
  </w:style>
  <w:style w:type="table" w:customStyle="1" w:styleId="a2">
    <w:basedOn w:val="TableNormal"/>
    <w:rsid w:val="00A45397"/>
    <w:tblPr>
      <w:tblStyleRowBandSize w:val="1"/>
      <w:tblStyleColBandSize w:val="1"/>
    </w:tblPr>
  </w:style>
  <w:style w:type="table" w:customStyle="1" w:styleId="a3">
    <w:basedOn w:val="TableNormal"/>
    <w:rsid w:val="00A45397"/>
    <w:tblPr>
      <w:tblStyleRowBandSize w:val="1"/>
      <w:tblStyleColBandSize w:val="1"/>
    </w:tblPr>
  </w:style>
  <w:style w:type="table" w:customStyle="1" w:styleId="a4">
    <w:basedOn w:val="TableNormal"/>
    <w:rsid w:val="00A45397"/>
    <w:tblPr>
      <w:tblStyleRowBandSize w:val="1"/>
      <w:tblStyleColBandSize w:val="1"/>
    </w:tblPr>
  </w:style>
  <w:style w:type="table" w:customStyle="1" w:styleId="a5">
    <w:basedOn w:val="TableNormal"/>
    <w:rsid w:val="00A45397"/>
    <w:tblPr>
      <w:tblStyleRowBandSize w:val="1"/>
      <w:tblStyleColBandSize w:val="1"/>
    </w:tblPr>
  </w:style>
  <w:style w:type="table" w:customStyle="1" w:styleId="a6">
    <w:basedOn w:val="TableNormal"/>
    <w:rsid w:val="00A45397"/>
    <w:tblPr>
      <w:tblStyleRowBandSize w:val="1"/>
      <w:tblStyleColBandSize w:val="1"/>
    </w:tblPr>
  </w:style>
  <w:style w:type="table" w:customStyle="1" w:styleId="a7">
    <w:basedOn w:val="TableNormal"/>
    <w:rsid w:val="00A45397"/>
    <w:tblPr>
      <w:tblStyleRowBandSize w:val="1"/>
      <w:tblStyleColBandSize w:val="1"/>
    </w:tblPr>
  </w:style>
  <w:style w:type="table" w:customStyle="1" w:styleId="a8">
    <w:basedOn w:val="TableNormal"/>
    <w:rsid w:val="00A45397"/>
    <w:tblPr>
      <w:tblStyleRowBandSize w:val="1"/>
      <w:tblStyleColBandSize w:val="1"/>
    </w:tblPr>
  </w:style>
  <w:style w:type="table" w:customStyle="1" w:styleId="a9">
    <w:basedOn w:val="TableNormal"/>
    <w:rsid w:val="00A45397"/>
    <w:tblPr>
      <w:tblStyleRowBandSize w:val="1"/>
      <w:tblStyleColBandSize w:val="1"/>
    </w:tblPr>
  </w:style>
  <w:style w:type="table" w:customStyle="1" w:styleId="aa">
    <w:basedOn w:val="TableNormal"/>
    <w:rsid w:val="00A45397"/>
    <w:tblPr>
      <w:tblStyleRowBandSize w:val="1"/>
      <w:tblStyleColBandSize w:val="1"/>
    </w:tblPr>
  </w:style>
  <w:style w:type="paragraph" w:styleId="CommentText">
    <w:name w:val="annotation text"/>
    <w:basedOn w:val="Normal"/>
    <w:link w:val="CommentTextChar"/>
    <w:uiPriority w:val="99"/>
    <w:semiHidden/>
    <w:unhideWhenUsed/>
    <w:rsid w:val="00A45397"/>
    <w:rPr>
      <w:sz w:val="20"/>
      <w:szCs w:val="20"/>
    </w:rPr>
  </w:style>
  <w:style w:type="character" w:customStyle="1" w:styleId="CommentTextChar">
    <w:name w:val="Comment Text Char"/>
    <w:basedOn w:val="DefaultParagraphFont"/>
    <w:link w:val="CommentText"/>
    <w:uiPriority w:val="99"/>
    <w:semiHidden/>
    <w:rsid w:val="00A45397"/>
    <w:rPr>
      <w:sz w:val="20"/>
      <w:szCs w:val="20"/>
    </w:rPr>
  </w:style>
  <w:style w:type="character" w:styleId="CommentReference">
    <w:name w:val="annotation reference"/>
    <w:basedOn w:val="DefaultParagraphFont"/>
    <w:uiPriority w:val="99"/>
    <w:semiHidden/>
    <w:unhideWhenUsed/>
    <w:rsid w:val="00A45397"/>
    <w:rPr>
      <w:sz w:val="16"/>
      <w:szCs w:val="16"/>
    </w:rPr>
  </w:style>
  <w:style w:type="paragraph" w:styleId="BalloonText">
    <w:name w:val="Balloon Text"/>
    <w:basedOn w:val="Normal"/>
    <w:link w:val="BalloonTextChar"/>
    <w:uiPriority w:val="99"/>
    <w:semiHidden/>
    <w:unhideWhenUsed/>
    <w:rsid w:val="00DD73E4"/>
    <w:rPr>
      <w:rFonts w:ascii="Tahoma" w:hAnsi="Tahoma" w:cs="Tahoma"/>
      <w:sz w:val="16"/>
      <w:szCs w:val="16"/>
    </w:rPr>
  </w:style>
  <w:style w:type="character" w:customStyle="1" w:styleId="BalloonTextChar">
    <w:name w:val="Balloon Text Char"/>
    <w:basedOn w:val="DefaultParagraphFont"/>
    <w:link w:val="BalloonText"/>
    <w:uiPriority w:val="99"/>
    <w:semiHidden/>
    <w:rsid w:val="00DD73E4"/>
    <w:rPr>
      <w:rFonts w:ascii="Tahoma" w:hAnsi="Tahoma" w:cs="Tahoma"/>
      <w:sz w:val="16"/>
      <w:szCs w:val="16"/>
    </w:rPr>
  </w:style>
  <w:style w:type="paragraph" w:styleId="ListParagraph">
    <w:name w:val="List Paragraph"/>
    <w:basedOn w:val="Normal"/>
    <w:link w:val="ListParagraphChar"/>
    <w:uiPriority w:val="99"/>
    <w:qFormat/>
    <w:rsid w:val="008A5D4A"/>
    <w:pPr>
      <w:ind w:left="720"/>
      <w:contextualSpacing/>
    </w:pPr>
  </w:style>
  <w:style w:type="paragraph" w:styleId="Header">
    <w:name w:val="header"/>
    <w:basedOn w:val="Normal"/>
    <w:link w:val="HeaderChar"/>
    <w:uiPriority w:val="99"/>
    <w:semiHidden/>
    <w:unhideWhenUsed/>
    <w:rsid w:val="00B9401A"/>
    <w:pPr>
      <w:tabs>
        <w:tab w:val="center" w:pos="4513"/>
        <w:tab w:val="right" w:pos="9026"/>
      </w:tabs>
    </w:pPr>
  </w:style>
  <w:style w:type="character" w:customStyle="1" w:styleId="HeaderChar">
    <w:name w:val="Header Char"/>
    <w:basedOn w:val="DefaultParagraphFont"/>
    <w:link w:val="Header"/>
    <w:uiPriority w:val="99"/>
    <w:semiHidden/>
    <w:rsid w:val="00B9401A"/>
  </w:style>
  <w:style w:type="paragraph" w:styleId="Footer">
    <w:name w:val="footer"/>
    <w:basedOn w:val="Normal"/>
    <w:link w:val="FooterChar"/>
    <w:uiPriority w:val="99"/>
    <w:semiHidden/>
    <w:unhideWhenUsed/>
    <w:rsid w:val="00B9401A"/>
    <w:pPr>
      <w:tabs>
        <w:tab w:val="center" w:pos="4513"/>
        <w:tab w:val="right" w:pos="9026"/>
      </w:tabs>
    </w:pPr>
  </w:style>
  <w:style w:type="character" w:customStyle="1" w:styleId="FooterChar">
    <w:name w:val="Footer Char"/>
    <w:basedOn w:val="DefaultParagraphFont"/>
    <w:link w:val="Footer"/>
    <w:uiPriority w:val="99"/>
    <w:semiHidden/>
    <w:rsid w:val="00B9401A"/>
  </w:style>
  <w:style w:type="paragraph" w:styleId="CommentSubject">
    <w:name w:val="annotation subject"/>
    <w:basedOn w:val="CommentText"/>
    <w:next w:val="CommentText"/>
    <w:link w:val="CommentSubjectChar"/>
    <w:uiPriority w:val="99"/>
    <w:semiHidden/>
    <w:unhideWhenUsed/>
    <w:rsid w:val="00326C26"/>
    <w:rPr>
      <w:b/>
      <w:bCs/>
    </w:rPr>
  </w:style>
  <w:style w:type="character" w:customStyle="1" w:styleId="CommentSubjectChar">
    <w:name w:val="Comment Subject Char"/>
    <w:basedOn w:val="CommentTextChar"/>
    <w:link w:val="CommentSubject"/>
    <w:uiPriority w:val="99"/>
    <w:semiHidden/>
    <w:rsid w:val="00326C26"/>
    <w:rPr>
      <w:b/>
      <w:bCs/>
      <w:sz w:val="20"/>
      <w:szCs w:val="20"/>
    </w:rPr>
  </w:style>
  <w:style w:type="paragraph" w:styleId="FootnoteText">
    <w:name w:val="footnote text"/>
    <w:basedOn w:val="Normal"/>
    <w:link w:val="FootnoteTextChar"/>
    <w:uiPriority w:val="99"/>
    <w:semiHidden/>
    <w:unhideWhenUsed/>
    <w:rsid w:val="00977CBF"/>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977CBF"/>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977CBF"/>
    <w:rPr>
      <w:vertAlign w:val="superscript"/>
    </w:rPr>
  </w:style>
  <w:style w:type="table" w:styleId="TableGrid">
    <w:name w:val="Table Grid"/>
    <w:basedOn w:val="TableNormal"/>
    <w:uiPriority w:val="39"/>
    <w:rsid w:val="00977CB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977CBF"/>
  </w:style>
  <w:style w:type="character" w:styleId="Hyperlink">
    <w:name w:val="Hyperlink"/>
    <w:basedOn w:val="DefaultParagraphFont"/>
    <w:uiPriority w:val="99"/>
    <w:unhideWhenUsed/>
    <w:rsid w:val="00F90F09"/>
    <w:rPr>
      <w:color w:val="0000FF" w:themeColor="hyperlink"/>
      <w:u w:val="single"/>
    </w:rPr>
  </w:style>
  <w:style w:type="character" w:styleId="UnresolvedMention">
    <w:name w:val="Unresolved Mention"/>
    <w:basedOn w:val="DefaultParagraphFont"/>
    <w:uiPriority w:val="99"/>
    <w:semiHidden/>
    <w:unhideWhenUsed/>
    <w:rsid w:val="00F90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6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z5WKsBEOc"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MPTF_00068_00046</ProjectId>
    <FundCode xmlns="f9695bc1-6109-4dcd-a27a-f8a0370b00e2">MPTF_00068</FundCode>
    <Comments xmlns="f9695bc1-6109-4dcd-a27a-f8a0370b00e2" xsi:nil="true"/>
    <Active xmlns="f9695bc1-6109-4dcd-a27a-f8a0370b00e2">Yes</Active>
    <DocumentDate xmlns="b1528a4b-5ccb-40f7-a09e-43427183cd95">2019-04-18T07:00:00+00:00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55725914-58A4-41C4-8184-8B97A599E4CA}"/>
</file>

<file path=customXml/itemProps2.xml><?xml version="1.0" encoding="utf-8"?>
<ds:datastoreItem xmlns:ds="http://schemas.openxmlformats.org/officeDocument/2006/customXml" ds:itemID="{00CF5CBC-1E0D-465B-AD40-2FAFD56A2A4A}"/>
</file>

<file path=customXml/itemProps3.xml><?xml version="1.0" encoding="utf-8"?>
<ds:datastoreItem xmlns:ds="http://schemas.openxmlformats.org/officeDocument/2006/customXml" ds:itemID="{39268037-EBB5-45EA-A8FF-159B9167F8B0}"/>
</file>

<file path=docProps/app.xml><?xml version="1.0" encoding="utf-8"?>
<Properties xmlns="http://schemas.openxmlformats.org/officeDocument/2006/extended-properties" xmlns:vt="http://schemas.openxmlformats.org/officeDocument/2006/docPropsVTypes">
  <Template>Normal.dotm</Template>
  <TotalTime>9</TotalTime>
  <Pages>32</Pages>
  <Words>9848</Words>
  <Characters>56135</Characters>
  <Application>Microsoft Office Word</Application>
  <DocSecurity>0</DocSecurity>
  <Lines>467</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65852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FINAL_UNPRPD Fund_Programme Description DR  ACC.docx</dc:title>
  <dc:creator>Ilana</dc:creator>
  <cp:lastModifiedBy>Natalia Mattioli</cp:lastModifiedBy>
  <cp:revision>4</cp:revision>
  <dcterms:created xsi:type="dcterms:W3CDTF">2019-01-04T17:15:00Z</dcterms:created>
  <dcterms:modified xsi:type="dcterms:W3CDTF">2019-01-04T17:19:00Z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1145900</vt:r8>
  </property>
  <property fmtid="{D5CDD505-2E9C-101B-9397-08002B2CF9AE}" pid="4" name="MediaServiceImageTags">
    <vt:lpwstr/>
  </property>
</Properties>
</file>